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C4F" w:rsidRPr="00C10C4F" w:rsidRDefault="00CB5F11" w:rsidP="00C10C4F">
      <w:pPr>
        <w:widowControl w:val="0"/>
        <w:spacing w:after="0" w:line="480" w:lineRule="auto"/>
        <w:jc w:val="center"/>
        <w:rPr>
          <w:rFonts w:ascii="Times New Roman" w:eastAsia="PMingLiU" w:hAnsi="Times New Roman" w:cs="Times New Roman"/>
          <w:b/>
          <w:kern w:val="2"/>
          <w:sz w:val="24"/>
          <w:szCs w:val="24"/>
          <w:lang w:val="en-US" w:eastAsia="zh-TW"/>
        </w:rPr>
      </w:pPr>
      <w:r>
        <w:rPr>
          <w:rFonts w:ascii="Times New Roman" w:eastAsia="PMingLiU" w:hAnsi="Times New Roman" w:cs="Times New Roman"/>
          <w:b/>
          <w:noProof/>
          <w:kern w:val="2"/>
          <w:sz w:val="24"/>
          <w:szCs w:val="24"/>
          <w:lang w:eastAsia="id-ID"/>
        </w:rPr>
        <w:drawing>
          <wp:inline distT="0" distB="0" distL="0" distR="0">
            <wp:extent cx="1319319" cy="161822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dip.jpg"/>
                    <pic:cNvPicPr/>
                  </pic:nvPicPr>
                  <pic:blipFill>
                    <a:blip r:embed="rId9">
                      <a:extLst>
                        <a:ext uri="{28A0092B-C50C-407E-A947-70E740481C1C}">
                          <a14:useLocalDpi xmlns:a14="http://schemas.microsoft.com/office/drawing/2010/main" val="0"/>
                        </a:ext>
                      </a:extLst>
                    </a:blip>
                    <a:stretch>
                      <a:fillRect/>
                    </a:stretch>
                  </pic:blipFill>
                  <pic:spPr>
                    <a:xfrm>
                      <a:off x="0" y="0"/>
                      <a:ext cx="1336880" cy="1639766"/>
                    </a:xfrm>
                    <a:prstGeom prst="rect">
                      <a:avLst/>
                    </a:prstGeom>
                  </pic:spPr>
                </pic:pic>
              </a:graphicData>
            </a:graphic>
          </wp:inline>
        </w:drawing>
      </w:r>
    </w:p>
    <w:p w:rsidR="00C10C4F" w:rsidRPr="00C10C4F" w:rsidRDefault="00C10C4F" w:rsidP="00C10C4F">
      <w:pPr>
        <w:widowControl w:val="0"/>
        <w:spacing w:after="0" w:line="480" w:lineRule="auto"/>
        <w:jc w:val="center"/>
        <w:rPr>
          <w:rFonts w:ascii="Times New Roman" w:eastAsia="PMingLiU" w:hAnsi="Times New Roman" w:cs="Times New Roman"/>
          <w:b/>
          <w:kern w:val="2"/>
          <w:sz w:val="24"/>
          <w:szCs w:val="24"/>
          <w:lang w:val="en-US" w:eastAsia="zh-TW"/>
        </w:rPr>
      </w:pPr>
    </w:p>
    <w:p w:rsidR="00C10C4F" w:rsidRPr="00C10C4F" w:rsidRDefault="00C10C4F" w:rsidP="00C10C4F">
      <w:pPr>
        <w:widowControl w:val="0"/>
        <w:spacing w:after="0" w:line="360" w:lineRule="auto"/>
        <w:jc w:val="center"/>
        <w:rPr>
          <w:rFonts w:ascii="Times New Roman" w:eastAsia="PMingLiU" w:hAnsi="Times New Roman" w:cs="Times New Roman"/>
          <w:b/>
          <w:kern w:val="2"/>
          <w:sz w:val="24"/>
          <w:szCs w:val="24"/>
          <w:lang w:eastAsia="zh-TW"/>
        </w:rPr>
      </w:pPr>
      <w:r w:rsidRPr="00C10C4F">
        <w:rPr>
          <w:rFonts w:ascii="Times New Roman" w:eastAsia="PMingLiU" w:hAnsi="Times New Roman" w:cs="Times New Roman"/>
          <w:b/>
          <w:kern w:val="2"/>
          <w:sz w:val="24"/>
          <w:szCs w:val="24"/>
          <w:lang w:eastAsia="zh-TW"/>
        </w:rPr>
        <w:t>ANALISIS DAMPAK KEBIJAKAN PEMERINTAH INDONESIA TERHADAP PERSAINGAN PERDAGANGAN JASA</w:t>
      </w:r>
      <w:r w:rsidR="00811D72">
        <w:rPr>
          <w:rFonts w:ascii="Times New Roman" w:eastAsia="PMingLiU" w:hAnsi="Times New Roman" w:cs="Times New Roman"/>
          <w:b/>
          <w:kern w:val="2"/>
          <w:sz w:val="24"/>
          <w:szCs w:val="24"/>
          <w:lang w:eastAsia="zh-TW"/>
        </w:rPr>
        <w:t xml:space="preserve"> DI BIDANG</w:t>
      </w:r>
      <w:r w:rsidRPr="00C10C4F">
        <w:rPr>
          <w:rFonts w:ascii="Times New Roman" w:eastAsia="PMingLiU" w:hAnsi="Times New Roman" w:cs="Times New Roman"/>
          <w:b/>
          <w:kern w:val="2"/>
          <w:sz w:val="24"/>
          <w:szCs w:val="24"/>
          <w:lang w:eastAsia="zh-TW"/>
        </w:rPr>
        <w:t xml:space="preserve"> KONSTRUKSI DALAM </w:t>
      </w:r>
      <w:r w:rsidR="00904C8A">
        <w:rPr>
          <w:rFonts w:ascii="Times New Roman" w:eastAsia="PMingLiU" w:hAnsi="Times New Roman" w:cs="Times New Roman"/>
          <w:b/>
          <w:kern w:val="2"/>
          <w:sz w:val="24"/>
          <w:szCs w:val="24"/>
          <w:lang w:eastAsia="zh-TW"/>
        </w:rPr>
        <w:t xml:space="preserve">RANGKA </w:t>
      </w:r>
      <w:r w:rsidRPr="00C10C4F">
        <w:rPr>
          <w:rFonts w:ascii="Times New Roman" w:eastAsia="PMingLiU" w:hAnsi="Times New Roman" w:cs="Times New Roman"/>
          <w:b/>
          <w:kern w:val="2"/>
          <w:sz w:val="24"/>
          <w:szCs w:val="24"/>
          <w:lang w:eastAsia="zh-TW"/>
        </w:rPr>
        <w:t>MASYARAKAT EKONOMI ASEAN</w:t>
      </w:r>
    </w:p>
    <w:p w:rsidR="00C10C4F" w:rsidRPr="00C10C4F" w:rsidRDefault="00C10C4F" w:rsidP="00C10C4F">
      <w:pPr>
        <w:widowControl w:val="0"/>
        <w:spacing w:after="0" w:line="360" w:lineRule="auto"/>
        <w:jc w:val="center"/>
        <w:rPr>
          <w:rFonts w:ascii="Times New Roman" w:eastAsia="PMingLiU" w:hAnsi="Times New Roman" w:cs="Times New Roman"/>
          <w:b/>
          <w:kern w:val="2"/>
          <w:sz w:val="24"/>
          <w:szCs w:val="24"/>
          <w:lang w:eastAsia="zh-TW"/>
        </w:rPr>
      </w:pPr>
    </w:p>
    <w:p w:rsidR="00C10C4F" w:rsidRPr="00C10C4F" w:rsidRDefault="00C10C4F" w:rsidP="00C10C4F">
      <w:pPr>
        <w:widowControl w:val="0"/>
        <w:spacing w:after="0" w:line="360" w:lineRule="auto"/>
        <w:jc w:val="center"/>
        <w:rPr>
          <w:rFonts w:ascii="Times New Roman" w:eastAsia="PMingLiU" w:hAnsi="Times New Roman" w:cs="Times New Roman"/>
          <w:b/>
          <w:kern w:val="2"/>
          <w:sz w:val="24"/>
          <w:szCs w:val="24"/>
          <w:lang w:eastAsia="zh-TW"/>
        </w:rPr>
      </w:pPr>
      <w:r w:rsidRPr="00C10C4F">
        <w:rPr>
          <w:rFonts w:ascii="Times New Roman" w:eastAsia="PMingLiU" w:hAnsi="Times New Roman" w:cs="Times New Roman"/>
          <w:b/>
          <w:kern w:val="2"/>
          <w:sz w:val="24"/>
          <w:szCs w:val="24"/>
          <w:lang w:eastAsia="zh-TW"/>
        </w:rPr>
        <w:t>TESIS</w:t>
      </w:r>
    </w:p>
    <w:p w:rsidR="00C10C4F" w:rsidRPr="00C10C4F" w:rsidRDefault="00C10C4F" w:rsidP="00C10C4F">
      <w:pPr>
        <w:widowControl w:val="0"/>
        <w:spacing w:after="0" w:line="360" w:lineRule="auto"/>
        <w:jc w:val="center"/>
        <w:rPr>
          <w:rFonts w:ascii="Times New Roman" w:eastAsia="PMingLiU" w:hAnsi="Times New Roman" w:cs="Times New Roman"/>
          <w:b/>
          <w:kern w:val="2"/>
          <w:sz w:val="24"/>
          <w:szCs w:val="24"/>
          <w:lang w:eastAsia="zh-TW"/>
        </w:rPr>
      </w:pPr>
    </w:p>
    <w:p w:rsidR="00C10C4F" w:rsidRPr="00CB5F11" w:rsidRDefault="00C10C4F" w:rsidP="00C10C4F">
      <w:pPr>
        <w:widowControl w:val="0"/>
        <w:spacing w:after="0" w:line="360" w:lineRule="auto"/>
        <w:jc w:val="center"/>
        <w:rPr>
          <w:rFonts w:ascii="Times New Roman" w:eastAsia="PMingLiU" w:hAnsi="Times New Roman" w:cs="Times New Roman"/>
          <w:b/>
          <w:kern w:val="2"/>
          <w:sz w:val="24"/>
          <w:szCs w:val="24"/>
          <w:lang w:eastAsia="zh-TW"/>
        </w:rPr>
      </w:pPr>
      <w:r w:rsidRPr="00CB5F11">
        <w:rPr>
          <w:rFonts w:ascii="Times New Roman" w:eastAsia="PMingLiU" w:hAnsi="Times New Roman" w:cs="Times New Roman"/>
          <w:b/>
          <w:kern w:val="2"/>
          <w:sz w:val="24"/>
          <w:szCs w:val="24"/>
          <w:lang w:eastAsia="zh-TW"/>
        </w:rPr>
        <w:t>Disusun Dalam Rangka Memenuhi Persyaratan</w:t>
      </w:r>
    </w:p>
    <w:p w:rsidR="00C10C4F" w:rsidRPr="00C10C4F" w:rsidRDefault="00C10C4F" w:rsidP="00C10C4F">
      <w:pPr>
        <w:widowControl w:val="0"/>
        <w:spacing w:after="0" w:line="360" w:lineRule="auto"/>
        <w:jc w:val="center"/>
        <w:rPr>
          <w:rFonts w:ascii="Times New Roman" w:eastAsia="PMingLiU" w:hAnsi="Times New Roman" w:cs="Times New Roman"/>
          <w:kern w:val="2"/>
          <w:sz w:val="24"/>
          <w:szCs w:val="24"/>
          <w:lang w:val="sv-SE" w:eastAsia="zh-TW"/>
        </w:rPr>
      </w:pPr>
      <w:r w:rsidRPr="00CB5F11">
        <w:rPr>
          <w:rFonts w:ascii="Times New Roman" w:eastAsia="PMingLiU" w:hAnsi="Times New Roman" w:cs="Times New Roman"/>
          <w:b/>
          <w:kern w:val="2"/>
          <w:sz w:val="24"/>
          <w:szCs w:val="24"/>
          <w:lang w:eastAsia="zh-TW"/>
        </w:rPr>
        <w:t>Program Magister Ilmu Hukum</w:t>
      </w:r>
    </w:p>
    <w:p w:rsidR="00C10C4F" w:rsidRPr="00C10C4F" w:rsidRDefault="00C10C4F" w:rsidP="00C10C4F">
      <w:pPr>
        <w:widowControl w:val="0"/>
        <w:spacing w:after="0" w:line="360" w:lineRule="auto"/>
        <w:jc w:val="center"/>
        <w:rPr>
          <w:rFonts w:ascii="Times New Roman" w:eastAsia="PMingLiU" w:hAnsi="Times New Roman" w:cs="Times New Roman"/>
          <w:kern w:val="2"/>
          <w:sz w:val="24"/>
          <w:szCs w:val="24"/>
          <w:lang w:val="en-US" w:eastAsia="zh-TW"/>
        </w:rPr>
      </w:pPr>
    </w:p>
    <w:p w:rsidR="00C10C4F" w:rsidRPr="00CB5F11" w:rsidRDefault="00C10C4F" w:rsidP="00C10C4F">
      <w:pPr>
        <w:widowControl w:val="0"/>
        <w:spacing w:after="0" w:line="360" w:lineRule="auto"/>
        <w:jc w:val="center"/>
        <w:rPr>
          <w:rFonts w:ascii="Times New Roman" w:eastAsia="PMingLiU" w:hAnsi="Times New Roman" w:cs="Times New Roman"/>
          <w:b/>
          <w:kern w:val="2"/>
          <w:sz w:val="24"/>
          <w:szCs w:val="24"/>
          <w:lang w:val="en-US" w:eastAsia="zh-TW"/>
        </w:rPr>
      </w:pPr>
      <w:r w:rsidRPr="00CB5F11">
        <w:rPr>
          <w:rFonts w:ascii="Times New Roman" w:eastAsia="PMingLiU" w:hAnsi="Times New Roman" w:cs="Times New Roman"/>
          <w:b/>
          <w:kern w:val="2"/>
          <w:sz w:val="24"/>
          <w:szCs w:val="24"/>
          <w:lang w:val="en-US" w:eastAsia="zh-TW"/>
        </w:rPr>
        <w:t>Oleh :</w:t>
      </w:r>
    </w:p>
    <w:p w:rsidR="00C10C4F" w:rsidRPr="00C10C4F" w:rsidRDefault="00C10C4F" w:rsidP="00C10C4F">
      <w:pPr>
        <w:widowControl w:val="0"/>
        <w:spacing w:after="0" w:line="360" w:lineRule="auto"/>
        <w:jc w:val="center"/>
        <w:rPr>
          <w:rFonts w:ascii="Times New Roman" w:eastAsia="PMingLiU" w:hAnsi="Times New Roman" w:cs="Times New Roman"/>
          <w:b/>
          <w:kern w:val="2"/>
          <w:sz w:val="24"/>
          <w:szCs w:val="24"/>
          <w:lang w:eastAsia="zh-TW"/>
        </w:rPr>
      </w:pPr>
      <w:r w:rsidRPr="00C10C4F">
        <w:rPr>
          <w:rFonts w:ascii="Times New Roman" w:eastAsia="PMingLiU" w:hAnsi="Times New Roman" w:cs="Times New Roman"/>
          <w:b/>
          <w:kern w:val="2"/>
          <w:sz w:val="24"/>
          <w:szCs w:val="24"/>
          <w:lang w:eastAsia="zh-TW"/>
        </w:rPr>
        <w:t>FARIDA NUR HIDAYAH</w:t>
      </w:r>
      <w:r w:rsidR="00476394">
        <w:rPr>
          <w:rFonts w:ascii="Times New Roman" w:eastAsia="PMingLiU" w:hAnsi="Times New Roman" w:cs="Times New Roman"/>
          <w:b/>
          <w:kern w:val="2"/>
          <w:sz w:val="24"/>
          <w:szCs w:val="24"/>
          <w:lang w:eastAsia="zh-TW"/>
        </w:rPr>
        <w:t>, S.H</w:t>
      </w:r>
    </w:p>
    <w:p w:rsidR="00C10C4F" w:rsidRPr="00C10C4F" w:rsidRDefault="00C10C4F" w:rsidP="00C10C4F">
      <w:pPr>
        <w:widowControl w:val="0"/>
        <w:spacing w:after="0" w:line="360" w:lineRule="auto"/>
        <w:jc w:val="center"/>
        <w:rPr>
          <w:rFonts w:ascii="Times New Roman" w:eastAsia="PMingLiU" w:hAnsi="Times New Roman" w:cs="Times New Roman"/>
          <w:b/>
          <w:kern w:val="2"/>
          <w:sz w:val="24"/>
          <w:szCs w:val="24"/>
          <w:lang w:eastAsia="zh-TW"/>
        </w:rPr>
      </w:pPr>
      <w:r w:rsidRPr="00C10C4F">
        <w:rPr>
          <w:rFonts w:ascii="Times New Roman" w:eastAsia="PMingLiU" w:hAnsi="Times New Roman" w:cs="Times New Roman"/>
          <w:b/>
          <w:kern w:val="2"/>
          <w:sz w:val="24"/>
          <w:szCs w:val="24"/>
          <w:lang w:eastAsia="zh-TW"/>
        </w:rPr>
        <w:t>11010115410053</w:t>
      </w:r>
    </w:p>
    <w:p w:rsidR="00C10C4F" w:rsidRPr="00C10C4F" w:rsidRDefault="00C10C4F" w:rsidP="00C10C4F">
      <w:pPr>
        <w:widowControl w:val="0"/>
        <w:spacing w:after="0" w:line="360" w:lineRule="auto"/>
        <w:jc w:val="center"/>
        <w:rPr>
          <w:rFonts w:ascii="Times New Roman" w:eastAsia="PMingLiU" w:hAnsi="Times New Roman" w:cs="Times New Roman"/>
          <w:b/>
          <w:kern w:val="2"/>
          <w:sz w:val="24"/>
          <w:szCs w:val="24"/>
          <w:lang w:eastAsia="zh-TW"/>
        </w:rPr>
      </w:pPr>
    </w:p>
    <w:p w:rsidR="00C10C4F" w:rsidRPr="00C10C4F" w:rsidRDefault="00C10C4F" w:rsidP="00C10C4F">
      <w:pPr>
        <w:widowControl w:val="0"/>
        <w:spacing w:after="0" w:line="360" w:lineRule="auto"/>
        <w:jc w:val="center"/>
        <w:rPr>
          <w:rFonts w:ascii="Times New Roman" w:eastAsia="PMingLiU" w:hAnsi="Times New Roman" w:cs="Times New Roman"/>
          <w:b/>
          <w:kern w:val="2"/>
          <w:sz w:val="24"/>
          <w:szCs w:val="24"/>
          <w:lang w:eastAsia="zh-TW"/>
        </w:rPr>
      </w:pPr>
    </w:p>
    <w:p w:rsidR="00C10C4F" w:rsidRPr="00C10C4F" w:rsidRDefault="00C10C4F" w:rsidP="00C10C4F">
      <w:pPr>
        <w:widowControl w:val="0"/>
        <w:spacing w:after="0" w:line="360" w:lineRule="auto"/>
        <w:jc w:val="center"/>
        <w:rPr>
          <w:rFonts w:ascii="Times New Roman" w:eastAsia="PMingLiU" w:hAnsi="Times New Roman" w:cs="Times New Roman"/>
          <w:b/>
          <w:kern w:val="2"/>
          <w:sz w:val="24"/>
          <w:szCs w:val="24"/>
          <w:lang w:eastAsia="zh-TW"/>
        </w:rPr>
      </w:pPr>
      <w:r w:rsidRPr="00C10C4F">
        <w:rPr>
          <w:rFonts w:ascii="Times New Roman" w:eastAsia="PMingLiU" w:hAnsi="Times New Roman" w:cs="Times New Roman"/>
          <w:b/>
          <w:kern w:val="2"/>
          <w:sz w:val="24"/>
          <w:szCs w:val="24"/>
          <w:lang w:eastAsia="zh-TW"/>
        </w:rPr>
        <w:t>PEMBIMBING:</w:t>
      </w:r>
    </w:p>
    <w:p w:rsidR="00C10C4F" w:rsidRPr="00C10C4F" w:rsidRDefault="00C10C4F" w:rsidP="00C10C4F">
      <w:pPr>
        <w:widowControl w:val="0"/>
        <w:spacing w:after="0" w:line="360" w:lineRule="auto"/>
        <w:jc w:val="center"/>
        <w:rPr>
          <w:rFonts w:ascii="Times New Roman" w:eastAsia="PMingLiU" w:hAnsi="Times New Roman" w:cs="Times New Roman"/>
          <w:b/>
          <w:kern w:val="2"/>
          <w:sz w:val="24"/>
          <w:szCs w:val="24"/>
          <w:lang w:eastAsia="zh-TW"/>
        </w:rPr>
      </w:pPr>
      <w:r w:rsidRPr="00C10C4F">
        <w:rPr>
          <w:rFonts w:ascii="Times New Roman" w:eastAsia="PMingLiU" w:hAnsi="Times New Roman" w:cs="Times New Roman"/>
          <w:b/>
          <w:kern w:val="2"/>
          <w:sz w:val="24"/>
          <w:szCs w:val="24"/>
          <w:lang w:eastAsia="zh-TW"/>
        </w:rPr>
        <w:t>Dr. K</w:t>
      </w:r>
      <w:r w:rsidR="00CB5F11">
        <w:rPr>
          <w:rFonts w:ascii="Times New Roman" w:eastAsia="PMingLiU" w:hAnsi="Times New Roman" w:cs="Times New Roman"/>
          <w:b/>
          <w:kern w:val="2"/>
          <w:sz w:val="24"/>
          <w:szCs w:val="24"/>
          <w:lang w:eastAsia="zh-TW"/>
        </w:rPr>
        <w:t>HOLIS ROISAH</w:t>
      </w:r>
      <w:r w:rsidRPr="00C10C4F">
        <w:rPr>
          <w:rFonts w:ascii="Times New Roman" w:eastAsia="PMingLiU" w:hAnsi="Times New Roman" w:cs="Times New Roman"/>
          <w:b/>
          <w:kern w:val="2"/>
          <w:sz w:val="24"/>
          <w:szCs w:val="24"/>
          <w:lang w:eastAsia="zh-TW"/>
        </w:rPr>
        <w:t>, S.H., M.Hum</w:t>
      </w:r>
    </w:p>
    <w:p w:rsidR="00C10C4F" w:rsidRPr="00C10C4F" w:rsidRDefault="00C10C4F" w:rsidP="00C10C4F">
      <w:pPr>
        <w:widowControl w:val="0"/>
        <w:spacing w:after="0" w:line="360" w:lineRule="auto"/>
        <w:jc w:val="center"/>
        <w:rPr>
          <w:rFonts w:ascii="Times New Roman" w:eastAsia="PMingLiU" w:hAnsi="Times New Roman" w:cs="Times New Roman"/>
          <w:b/>
          <w:kern w:val="2"/>
          <w:sz w:val="24"/>
          <w:szCs w:val="24"/>
          <w:lang w:eastAsia="zh-TW"/>
        </w:rPr>
      </w:pPr>
    </w:p>
    <w:p w:rsidR="00C10C4F" w:rsidRPr="00C10C4F" w:rsidRDefault="00C10C4F" w:rsidP="00C10C4F">
      <w:pPr>
        <w:widowControl w:val="0"/>
        <w:spacing w:after="0" w:line="360" w:lineRule="auto"/>
        <w:jc w:val="center"/>
        <w:rPr>
          <w:rFonts w:ascii="Times New Roman" w:eastAsia="PMingLiU" w:hAnsi="Times New Roman" w:cs="Times New Roman"/>
          <w:b/>
          <w:kern w:val="2"/>
          <w:sz w:val="24"/>
          <w:szCs w:val="24"/>
          <w:lang w:eastAsia="zh-TW"/>
        </w:rPr>
      </w:pPr>
    </w:p>
    <w:p w:rsidR="00C10C4F" w:rsidRPr="00C10C4F" w:rsidRDefault="00C10C4F" w:rsidP="00C10C4F">
      <w:pPr>
        <w:widowControl w:val="0"/>
        <w:spacing w:after="0" w:line="360" w:lineRule="auto"/>
        <w:jc w:val="center"/>
        <w:rPr>
          <w:rFonts w:ascii="Times New Roman" w:eastAsia="PMingLiU" w:hAnsi="Times New Roman" w:cs="Times New Roman"/>
          <w:b/>
          <w:kern w:val="2"/>
          <w:sz w:val="24"/>
          <w:szCs w:val="24"/>
          <w:lang w:eastAsia="zh-TW"/>
        </w:rPr>
      </w:pPr>
      <w:r w:rsidRPr="00C10C4F">
        <w:rPr>
          <w:rFonts w:ascii="Times New Roman" w:eastAsia="PMingLiU" w:hAnsi="Times New Roman" w:cs="Times New Roman"/>
          <w:b/>
          <w:kern w:val="2"/>
          <w:sz w:val="24"/>
          <w:szCs w:val="24"/>
          <w:lang w:eastAsia="zh-TW"/>
        </w:rPr>
        <w:t>PROGRAM MAGISTER ILMU HUKUM</w:t>
      </w:r>
    </w:p>
    <w:p w:rsidR="00C10C4F" w:rsidRPr="00C10C4F" w:rsidRDefault="00C10C4F" w:rsidP="00C10C4F">
      <w:pPr>
        <w:widowControl w:val="0"/>
        <w:spacing w:after="0" w:line="360" w:lineRule="auto"/>
        <w:jc w:val="center"/>
        <w:rPr>
          <w:rFonts w:ascii="Times New Roman" w:eastAsia="PMingLiU" w:hAnsi="Times New Roman" w:cs="Times New Roman"/>
          <w:b/>
          <w:kern w:val="2"/>
          <w:sz w:val="24"/>
          <w:szCs w:val="24"/>
          <w:lang w:val="en-US" w:eastAsia="zh-TW"/>
        </w:rPr>
      </w:pPr>
      <w:r w:rsidRPr="00C10C4F">
        <w:rPr>
          <w:rFonts w:ascii="Times New Roman" w:eastAsia="PMingLiU" w:hAnsi="Times New Roman" w:cs="Times New Roman"/>
          <w:b/>
          <w:kern w:val="2"/>
          <w:sz w:val="24"/>
          <w:szCs w:val="24"/>
          <w:lang w:eastAsia="zh-TW"/>
        </w:rPr>
        <w:t>F</w:t>
      </w:r>
      <w:r w:rsidRPr="00C10C4F">
        <w:rPr>
          <w:rFonts w:ascii="Times New Roman" w:eastAsia="PMingLiU" w:hAnsi="Times New Roman" w:cs="Times New Roman"/>
          <w:b/>
          <w:kern w:val="2"/>
          <w:sz w:val="24"/>
          <w:szCs w:val="24"/>
          <w:lang w:val="en-US" w:eastAsia="zh-TW"/>
        </w:rPr>
        <w:t>AKULTAS HUKUM</w:t>
      </w:r>
    </w:p>
    <w:p w:rsidR="00C10C4F" w:rsidRPr="00C10C4F" w:rsidRDefault="00C10C4F" w:rsidP="00C10C4F">
      <w:pPr>
        <w:widowControl w:val="0"/>
        <w:spacing w:after="0" w:line="360" w:lineRule="auto"/>
        <w:jc w:val="center"/>
        <w:rPr>
          <w:rFonts w:ascii="Times New Roman" w:eastAsia="PMingLiU" w:hAnsi="Times New Roman" w:cs="Times New Roman"/>
          <w:b/>
          <w:kern w:val="2"/>
          <w:sz w:val="24"/>
          <w:szCs w:val="24"/>
          <w:lang w:val="en-US" w:eastAsia="zh-TW"/>
        </w:rPr>
      </w:pPr>
      <w:r w:rsidRPr="00C10C4F">
        <w:rPr>
          <w:rFonts w:ascii="Times New Roman" w:eastAsia="PMingLiU" w:hAnsi="Times New Roman" w:cs="Times New Roman"/>
          <w:b/>
          <w:kern w:val="2"/>
          <w:sz w:val="24"/>
          <w:szCs w:val="24"/>
          <w:lang w:val="en-US" w:eastAsia="zh-TW"/>
        </w:rPr>
        <w:t>UNIVERSITAS DIPONEGORO</w:t>
      </w:r>
    </w:p>
    <w:p w:rsidR="00C10C4F" w:rsidRPr="00C10C4F" w:rsidRDefault="00C10C4F" w:rsidP="00C10C4F">
      <w:pPr>
        <w:widowControl w:val="0"/>
        <w:spacing w:after="0" w:line="360" w:lineRule="auto"/>
        <w:jc w:val="center"/>
        <w:rPr>
          <w:rFonts w:ascii="Times New Roman" w:eastAsia="PMingLiU" w:hAnsi="Times New Roman" w:cs="Times New Roman"/>
          <w:b/>
          <w:kern w:val="2"/>
          <w:sz w:val="24"/>
          <w:szCs w:val="24"/>
          <w:lang w:val="en-US" w:eastAsia="zh-TW"/>
        </w:rPr>
      </w:pPr>
      <w:r w:rsidRPr="00C10C4F">
        <w:rPr>
          <w:rFonts w:ascii="Times New Roman" w:eastAsia="PMingLiU" w:hAnsi="Times New Roman" w:cs="Times New Roman"/>
          <w:b/>
          <w:kern w:val="2"/>
          <w:sz w:val="24"/>
          <w:szCs w:val="24"/>
          <w:lang w:val="en-US" w:eastAsia="zh-TW"/>
        </w:rPr>
        <w:t>SEMARANG</w:t>
      </w:r>
    </w:p>
    <w:p w:rsidR="00F855D9" w:rsidRDefault="00CB5F11" w:rsidP="00915C1B">
      <w:pPr>
        <w:widowControl w:val="0"/>
        <w:spacing w:after="0" w:line="360" w:lineRule="auto"/>
        <w:jc w:val="center"/>
        <w:rPr>
          <w:rFonts w:ascii="Times New Roman" w:eastAsia="PMingLiU" w:hAnsi="Times New Roman" w:cs="Times New Roman"/>
          <w:b/>
          <w:kern w:val="2"/>
          <w:sz w:val="24"/>
          <w:szCs w:val="24"/>
          <w:lang w:eastAsia="zh-TW"/>
        </w:rPr>
        <w:sectPr w:rsidR="00F855D9" w:rsidSect="00F855D9">
          <w:footerReference w:type="even" r:id="rId10"/>
          <w:footerReference w:type="default" r:id="rId11"/>
          <w:footerReference w:type="first" r:id="rId12"/>
          <w:pgSz w:w="11906" w:h="16838"/>
          <w:pgMar w:top="2268" w:right="1701" w:bottom="1701" w:left="2268" w:header="709" w:footer="709" w:gutter="0"/>
          <w:pgNumType w:chapStyle="1"/>
          <w:cols w:space="708"/>
          <w:titlePg/>
          <w:docGrid w:linePitch="360"/>
        </w:sectPr>
      </w:pPr>
      <w:r>
        <w:rPr>
          <w:rFonts w:ascii="Times New Roman" w:eastAsia="PMingLiU" w:hAnsi="Times New Roman" w:cs="Times New Roman"/>
          <w:b/>
          <w:kern w:val="2"/>
          <w:sz w:val="24"/>
          <w:szCs w:val="24"/>
          <w:lang w:eastAsia="zh-TW"/>
        </w:rPr>
        <w:t>2017</w:t>
      </w:r>
    </w:p>
    <w:p w:rsidR="00F855D9" w:rsidRPr="00C10C4F" w:rsidRDefault="00F855D9" w:rsidP="00915C1B">
      <w:pPr>
        <w:widowControl w:val="0"/>
        <w:spacing w:after="0" w:line="360" w:lineRule="auto"/>
        <w:rPr>
          <w:rFonts w:ascii="Times New Roman" w:eastAsia="PMingLiU" w:hAnsi="Times New Roman" w:cs="Times New Roman"/>
          <w:b/>
          <w:kern w:val="2"/>
          <w:sz w:val="24"/>
          <w:szCs w:val="24"/>
          <w:lang w:eastAsia="zh-TW"/>
        </w:rPr>
      </w:pPr>
    </w:p>
    <w:p w:rsidR="00F855D9" w:rsidRPr="00C10C4F" w:rsidRDefault="00F855D9" w:rsidP="00F855D9">
      <w:pPr>
        <w:widowControl w:val="0"/>
        <w:spacing w:after="0" w:line="480" w:lineRule="auto"/>
        <w:jc w:val="center"/>
        <w:rPr>
          <w:rFonts w:ascii="Times New Roman" w:eastAsia="PMingLiU" w:hAnsi="Times New Roman" w:cs="Times New Roman"/>
          <w:b/>
          <w:kern w:val="2"/>
          <w:sz w:val="24"/>
          <w:szCs w:val="24"/>
          <w:lang w:val="en-US" w:eastAsia="zh-TW"/>
        </w:rPr>
      </w:pPr>
      <w:r>
        <w:rPr>
          <w:rFonts w:ascii="Times New Roman" w:eastAsia="PMingLiU" w:hAnsi="Times New Roman" w:cs="Times New Roman"/>
          <w:b/>
          <w:noProof/>
          <w:kern w:val="2"/>
          <w:sz w:val="24"/>
          <w:szCs w:val="24"/>
          <w:lang w:eastAsia="id-ID"/>
        </w:rPr>
        <w:drawing>
          <wp:inline distT="0" distB="0" distL="0" distR="0" wp14:anchorId="739D8E45" wp14:editId="7E67D6DD">
            <wp:extent cx="1319319" cy="161822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dip.jpg"/>
                    <pic:cNvPicPr/>
                  </pic:nvPicPr>
                  <pic:blipFill>
                    <a:blip r:embed="rId9">
                      <a:extLst>
                        <a:ext uri="{28A0092B-C50C-407E-A947-70E740481C1C}">
                          <a14:useLocalDpi xmlns:a14="http://schemas.microsoft.com/office/drawing/2010/main" val="0"/>
                        </a:ext>
                      </a:extLst>
                    </a:blip>
                    <a:stretch>
                      <a:fillRect/>
                    </a:stretch>
                  </pic:blipFill>
                  <pic:spPr>
                    <a:xfrm>
                      <a:off x="0" y="0"/>
                      <a:ext cx="1336880" cy="1639766"/>
                    </a:xfrm>
                    <a:prstGeom prst="rect">
                      <a:avLst/>
                    </a:prstGeom>
                  </pic:spPr>
                </pic:pic>
              </a:graphicData>
            </a:graphic>
          </wp:inline>
        </w:drawing>
      </w:r>
    </w:p>
    <w:p w:rsidR="00F855D9" w:rsidRPr="00C10C4F" w:rsidRDefault="00F855D9" w:rsidP="00F855D9">
      <w:pPr>
        <w:widowControl w:val="0"/>
        <w:spacing w:after="0" w:line="480" w:lineRule="auto"/>
        <w:jc w:val="center"/>
        <w:rPr>
          <w:rFonts w:ascii="Times New Roman" w:eastAsia="PMingLiU" w:hAnsi="Times New Roman" w:cs="Times New Roman"/>
          <w:b/>
          <w:kern w:val="2"/>
          <w:sz w:val="24"/>
          <w:szCs w:val="24"/>
          <w:lang w:val="en-US" w:eastAsia="zh-TW"/>
        </w:rPr>
      </w:pPr>
    </w:p>
    <w:p w:rsidR="00F855D9" w:rsidRPr="00C10C4F" w:rsidRDefault="00F855D9" w:rsidP="00F855D9">
      <w:pPr>
        <w:widowControl w:val="0"/>
        <w:spacing w:after="0" w:line="360" w:lineRule="auto"/>
        <w:jc w:val="center"/>
        <w:rPr>
          <w:rFonts w:ascii="Times New Roman" w:eastAsia="PMingLiU" w:hAnsi="Times New Roman" w:cs="Times New Roman"/>
          <w:b/>
          <w:kern w:val="2"/>
          <w:sz w:val="24"/>
          <w:szCs w:val="24"/>
          <w:lang w:eastAsia="zh-TW"/>
        </w:rPr>
      </w:pPr>
      <w:r w:rsidRPr="00C10C4F">
        <w:rPr>
          <w:rFonts w:ascii="Times New Roman" w:eastAsia="PMingLiU" w:hAnsi="Times New Roman" w:cs="Times New Roman"/>
          <w:b/>
          <w:kern w:val="2"/>
          <w:sz w:val="24"/>
          <w:szCs w:val="24"/>
          <w:lang w:eastAsia="zh-TW"/>
        </w:rPr>
        <w:t>ANALISIS DAMPAK KEBIJAKAN PEMERINTAH INDONESIA TERHADAP PERSAINGAN PERDAGANGAN JASA</w:t>
      </w:r>
      <w:r>
        <w:rPr>
          <w:rFonts w:ascii="Times New Roman" w:eastAsia="PMingLiU" w:hAnsi="Times New Roman" w:cs="Times New Roman"/>
          <w:b/>
          <w:kern w:val="2"/>
          <w:sz w:val="24"/>
          <w:szCs w:val="24"/>
          <w:lang w:eastAsia="zh-TW"/>
        </w:rPr>
        <w:t xml:space="preserve"> DI BIDANG</w:t>
      </w:r>
      <w:r w:rsidRPr="00C10C4F">
        <w:rPr>
          <w:rFonts w:ascii="Times New Roman" w:eastAsia="PMingLiU" w:hAnsi="Times New Roman" w:cs="Times New Roman"/>
          <w:b/>
          <w:kern w:val="2"/>
          <w:sz w:val="24"/>
          <w:szCs w:val="24"/>
          <w:lang w:eastAsia="zh-TW"/>
        </w:rPr>
        <w:t xml:space="preserve"> KONSTRUKSI DALAM </w:t>
      </w:r>
      <w:r>
        <w:rPr>
          <w:rFonts w:ascii="Times New Roman" w:eastAsia="PMingLiU" w:hAnsi="Times New Roman" w:cs="Times New Roman"/>
          <w:b/>
          <w:kern w:val="2"/>
          <w:sz w:val="24"/>
          <w:szCs w:val="24"/>
          <w:lang w:eastAsia="zh-TW"/>
        </w:rPr>
        <w:t xml:space="preserve">RANGKA </w:t>
      </w:r>
      <w:r w:rsidRPr="00C10C4F">
        <w:rPr>
          <w:rFonts w:ascii="Times New Roman" w:eastAsia="PMingLiU" w:hAnsi="Times New Roman" w:cs="Times New Roman"/>
          <w:b/>
          <w:kern w:val="2"/>
          <w:sz w:val="24"/>
          <w:szCs w:val="24"/>
          <w:lang w:eastAsia="zh-TW"/>
        </w:rPr>
        <w:t>MASYARAKAT EKONOMI ASEAN</w:t>
      </w:r>
    </w:p>
    <w:p w:rsidR="00F855D9" w:rsidRPr="00C10C4F" w:rsidRDefault="00F855D9" w:rsidP="00F855D9">
      <w:pPr>
        <w:widowControl w:val="0"/>
        <w:spacing w:after="0" w:line="360" w:lineRule="auto"/>
        <w:jc w:val="center"/>
        <w:rPr>
          <w:rFonts w:ascii="Times New Roman" w:eastAsia="PMingLiU" w:hAnsi="Times New Roman" w:cs="Times New Roman"/>
          <w:b/>
          <w:kern w:val="2"/>
          <w:sz w:val="24"/>
          <w:szCs w:val="24"/>
          <w:lang w:eastAsia="zh-TW"/>
        </w:rPr>
      </w:pPr>
    </w:p>
    <w:p w:rsidR="00F855D9" w:rsidRPr="00C10C4F" w:rsidRDefault="00F855D9" w:rsidP="00F855D9">
      <w:pPr>
        <w:widowControl w:val="0"/>
        <w:spacing w:after="0" w:line="360" w:lineRule="auto"/>
        <w:jc w:val="center"/>
        <w:rPr>
          <w:rFonts w:ascii="Times New Roman" w:eastAsia="PMingLiU" w:hAnsi="Times New Roman" w:cs="Times New Roman"/>
          <w:b/>
          <w:kern w:val="2"/>
          <w:sz w:val="24"/>
          <w:szCs w:val="24"/>
          <w:lang w:eastAsia="zh-TW"/>
        </w:rPr>
      </w:pPr>
      <w:r w:rsidRPr="00C10C4F">
        <w:rPr>
          <w:rFonts w:ascii="Times New Roman" w:eastAsia="PMingLiU" w:hAnsi="Times New Roman" w:cs="Times New Roman"/>
          <w:b/>
          <w:kern w:val="2"/>
          <w:sz w:val="24"/>
          <w:szCs w:val="24"/>
          <w:lang w:eastAsia="zh-TW"/>
        </w:rPr>
        <w:t>TESIS</w:t>
      </w:r>
    </w:p>
    <w:p w:rsidR="00F855D9" w:rsidRPr="00C10C4F" w:rsidRDefault="00F855D9" w:rsidP="00F855D9">
      <w:pPr>
        <w:widowControl w:val="0"/>
        <w:spacing w:after="0" w:line="360" w:lineRule="auto"/>
        <w:jc w:val="center"/>
        <w:rPr>
          <w:rFonts w:ascii="Times New Roman" w:eastAsia="PMingLiU" w:hAnsi="Times New Roman" w:cs="Times New Roman"/>
          <w:b/>
          <w:kern w:val="2"/>
          <w:sz w:val="24"/>
          <w:szCs w:val="24"/>
          <w:lang w:eastAsia="zh-TW"/>
        </w:rPr>
      </w:pPr>
    </w:p>
    <w:p w:rsidR="00F855D9" w:rsidRPr="00CB5F11" w:rsidRDefault="00F855D9" w:rsidP="00F855D9">
      <w:pPr>
        <w:widowControl w:val="0"/>
        <w:spacing w:after="0" w:line="360" w:lineRule="auto"/>
        <w:jc w:val="center"/>
        <w:rPr>
          <w:rFonts w:ascii="Times New Roman" w:eastAsia="PMingLiU" w:hAnsi="Times New Roman" w:cs="Times New Roman"/>
          <w:b/>
          <w:kern w:val="2"/>
          <w:sz w:val="24"/>
          <w:szCs w:val="24"/>
          <w:lang w:eastAsia="zh-TW"/>
        </w:rPr>
      </w:pPr>
      <w:r w:rsidRPr="00CB5F11">
        <w:rPr>
          <w:rFonts w:ascii="Times New Roman" w:eastAsia="PMingLiU" w:hAnsi="Times New Roman" w:cs="Times New Roman"/>
          <w:b/>
          <w:kern w:val="2"/>
          <w:sz w:val="24"/>
          <w:szCs w:val="24"/>
          <w:lang w:eastAsia="zh-TW"/>
        </w:rPr>
        <w:t>Disusun Dalam Rangka Memenuhi Persyaratan</w:t>
      </w:r>
    </w:p>
    <w:p w:rsidR="00F855D9" w:rsidRPr="00C10C4F" w:rsidRDefault="00F855D9" w:rsidP="00F855D9">
      <w:pPr>
        <w:widowControl w:val="0"/>
        <w:spacing w:after="0" w:line="360" w:lineRule="auto"/>
        <w:jc w:val="center"/>
        <w:rPr>
          <w:rFonts w:ascii="Times New Roman" w:eastAsia="PMingLiU" w:hAnsi="Times New Roman" w:cs="Times New Roman"/>
          <w:kern w:val="2"/>
          <w:sz w:val="24"/>
          <w:szCs w:val="24"/>
          <w:lang w:val="sv-SE" w:eastAsia="zh-TW"/>
        </w:rPr>
      </w:pPr>
      <w:r w:rsidRPr="00CB5F11">
        <w:rPr>
          <w:rFonts w:ascii="Times New Roman" w:eastAsia="PMingLiU" w:hAnsi="Times New Roman" w:cs="Times New Roman"/>
          <w:b/>
          <w:kern w:val="2"/>
          <w:sz w:val="24"/>
          <w:szCs w:val="24"/>
          <w:lang w:eastAsia="zh-TW"/>
        </w:rPr>
        <w:t>Program Magister Ilmu Hukum</w:t>
      </w:r>
    </w:p>
    <w:p w:rsidR="00F855D9" w:rsidRPr="00C10C4F" w:rsidRDefault="00F855D9" w:rsidP="00F855D9">
      <w:pPr>
        <w:widowControl w:val="0"/>
        <w:spacing w:after="0" w:line="360" w:lineRule="auto"/>
        <w:jc w:val="center"/>
        <w:rPr>
          <w:rFonts w:ascii="Times New Roman" w:eastAsia="PMingLiU" w:hAnsi="Times New Roman" w:cs="Times New Roman"/>
          <w:kern w:val="2"/>
          <w:sz w:val="24"/>
          <w:szCs w:val="24"/>
          <w:lang w:val="en-US" w:eastAsia="zh-TW"/>
        </w:rPr>
      </w:pPr>
    </w:p>
    <w:p w:rsidR="00F855D9" w:rsidRPr="00CB5F11" w:rsidRDefault="00F855D9" w:rsidP="00F855D9">
      <w:pPr>
        <w:widowControl w:val="0"/>
        <w:spacing w:after="0" w:line="360" w:lineRule="auto"/>
        <w:jc w:val="center"/>
        <w:rPr>
          <w:rFonts w:ascii="Times New Roman" w:eastAsia="PMingLiU" w:hAnsi="Times New Roman" w:cs="Times New Roman"/>
          <w:b/>
          <w:kern w:val="2"/>
          <w:sz w:val="24"/>
          <w:szCs w:val="24"/>
          <w:lang w:val="en-US" w:eastAsia="zh-TW"/>
        </w:rPr>
      </w:pPr>
      <w:r w:rsidRPr="00CB5F11">
        <w:rPr>
          <w:rFonts w:ascii="Times New Roman" w:eastAsia="PMingLiU" w:hAnsi="Times New Roman" w:cs="Times New Roman"/>
          <w:b/>
          <w:kern w:val="2"/>
          <w:sz w:val="24"/>
          <w:szCs w:val="24"/>
          <w:lang w:val="en-US" w:eastAsia="zh-TW"/>
        </w:rPr>
        <w:t>Oleh :</w:t>
      </w:r>
    </w:p>
    <w:p w:rsidR="00F855D9" w:rsidRPr="00C10C4F" w:rsidRDefault="00F855D9" w:rsidP="00F855D9">
      <w:pPr>
        <w:widowControl w:val="0"/>
        <w:spacing w:after="0" w:line="360" w:lineRule="auto"/>
        <w:jc w:val="center"/>
        <w:rPr>
          <w:rFonts w:ascii="Times New Roman" w:eastAsia="PMingLiU" w:hAnsi="Times New Roman" w:cs="Times New Roman"/>
          <w:b/>
          <w:kern w:val="2"/>
          <w:sz w:val="24"/>
          <w:szCs w:val="24"/>
          <w:lang w:eastAsia="zh-TW"/>
        </w:rPr>
      </w:pPr>
      <w:r w:rsidRPr="00C10C4F">
        <w:rPr>
          <w:rFonts w:ascii="Times New Roman" w:eastAsia="PMingLiU" w:hAnsi="Times New Roman" w:cs="Times New Roman"/>
          <w:b/>
          <w:kern w:val="2"/>
          <w:sz w:val="24"/>
          <w:szCs w:val="24"/>
          <w:lang w:eastAsia="zh-TW"/>
        </w:rPr>
        <w:t>FARIDA NUR HIDAYAH</w:t>
      </w:r>
      <w:r>
        <w:rPr>
          <w:rFonts w:ascii="Times New Roman" w:eastAsia="PMingLiU" w:hAnsi="Times New Roman" w:cs="Times New Roman"/>
          <w:b/>
          <w:kern w:val="2"/>
          <w:sz w:val="24"/>
          <w:szCs w:val="24"/>
          <w:lang w:eastAsia="zh-TW"/>
        </w:rPr>
        <w:t>, S.H</w:t>
      </w:r>
    </w:p>
    <w:p w:rsidR="00F855D9" w:rsidRPr="00C10C4F" w:rsidRDefault="00F855D9" w:rsidP="00F855D9">
      <w:pPr>
        <w:widowControl w:val="0"/>
        <w:spacing w:after="0" w:line="360" w:lineRule="auto"/>
        <w:jc w:val="center"/>
        <w:rPr>
          <w:rFonts w:ascii="Times New Roman" w:eastAsia="PMingLiU" w:hAnsi="Times New Roman" w:cs="Times New Roman"/>
          <w:b/>
          <w:kern w:val="2"/>
          <w:sz w:val="24"/>
          <w:szCs w:val="24"/>
          <w:lang w:eastAsia="zh-TW"/>
        </w:rPr>
      </w:pPr>
      <w:r w:rsidRPr="00C10C4F">
        <w:rPr>
          <w:rFonts w:ascii="Times New Roman" w:eastAsia="PMingLiU" w:hAnsi="Times New Roman" w:cs="Times New Roman"/>
          <w:b/>
          <w:kern w:val="2"/>
          <w:sz w:val="24"/>
          <w:szCs w:val="24"/>
          <w:lang w:eastAsia="zh-TW"/>
        </w:rPr>
        <w:t>11010115410053</w:t>
      </w:r>
    </w:p>
    <w:p w:rsidR="00F855D9" w:rsidRPr="00C10C4F" w:rsidRDefault="00F855D9" w:rsidP="00F855D9">
      <w:pPr>
        <w:widowControl w:val="0"/>
        <w:spacing w:after="0" w:line="360" w:lineRule="auto"/>
        <w:jc w:val="center"/>
        <w:rPr>
          <w:rFonts w:ascii="Times New Roman" w:eastAsia="PMingLiU" w:hAnsi="Times New Roman" w:cs="Times New Roman"/>
          <w:b/>
          <w:kern w:val="2"/>
          <w:sz w:val="24"/>
          <w:szCs w:val="24"/>
          <w:lang w:eastAsia="zh-TW"/>
        </w:rPr>
      </w:pPr>
    </w:p>
    <w:p w:rsidR="00F855D9" w:rsidRPr="00C10C4F" w:rsidRDefault="00F855D9" w:rsidP="00F855D9">
      <w:pPr>
        <w:widowControl w:val="0"/>
        <w:spacing w:after="0" w:line="360" w:lineRule="auto"/>
        <w:jc w:val="center"/>
        <w:rPr>
          <w:rFonts w:ascii="Times New Roman" w:eastAsia="PMingLiU" w:hAnsi="Times New Roman" w:cs="Times New Roman"/>
          <w:b/>
          <w:kern w:val="2"/>
          <w:sz w:val="24"/>
          <w:szCs w:val="24"/>
          <w:lang w:eastAsia="zh-TW"/>
        </w:rPr>
      </w:pPr>
    </w:p>
    <w:p w:rsidR="00F855D9" w:rsidRPr="00C10C4F" w:rsidRDefault="00F855D9" w:rsidP="00F855D9">
      <w:pPr>
        <w:widowControl w:val="0"/>
        <w:spacing w:after="0" w:line="360" w:lineRule="auto"/>
        <w:jc w:val="center"/>
        <w:rPr>
          <w:rFonts w:ascii="Times New Roman" w:eastAsia="PMingLiU" w:hAnsi="Times New Roman" w:cs="Times New Roman"/>
          <w:b/>
          <w:kern w:val="2"/>
          <w:sz w:val="24"/>
          <w:szCs w:val="24"/>
          <w:lang w:eastAsia="zh-TW"/>
        </w:rPr>
      </w:pPr>
      <w:r w:rsidRPr="00C10C4F">
        <w:rPr>
          <w:rFonts w:ascii="Times New Roman" w:eastAsia="PMingLiU" w:hAnsi="Times New Roman" w:cs="Times New Roman"/>
          <w:b/>
          <w:kern w:val="2"/>
          <w:sz w:val="24"/>
          <w:szCs w:val="24"/>
          <w:lang w:eastAsia="zh-TW"/>
        </w:rPr>
        <w:t>PEMBIMBING:</w:t>
      </w:r>
    </w:p>
    <w:p w:rsidR="00F855D9" w:rsidRPr="00C10C4F" w:rsidRDefault="00F855D9" w:rsidP="00F855D9">
      <w:pPr>
        <w:widowControl w:val="0"/>
        <w:spacing w:after="0" w:line="360" w:lineRule="auto"/>
        <w:jc w:val="center"/>
        <w:rPr>
          <w:rFonts w:ascii="Times New Roman" w:eastAsia="PMingLiU" w:hAnsi="Times New Roman" w:cs="Times New Roman"/>
          <w:b/>
          <w:kern w:val="2"/>
          <w:sz w:val="24"/>
          <w:szCs w:val="24"/>
          <w:lang w:eastAsia="zh-TW"/>
        </w:rPr>
      </w:pPr>
      <w:r w:rsidRPr="00C10C4F">
        <w:rPr>
          <w:rFonts w:ascii="Times New Roman" w:eastAsia="PMingLiU" w:hAnsi="Times New Roman" w:cs="Times New Roman"/>
          <w:b/>
          <w:kern w:val="2"/>
          <w:sz w:val="24"/>
          <w:szCs w:val="24"/>
          <w:lang w:eastAsia="zh-TW"/>
        </w:rPr>
        <w:t>Dr. K</w:t>
      </w:r>
      <w:r>
        <w:rPr>
          <w:rFonts w:ascii="Times New Roman" w:eastAsia="PMingLiU" w:hAnsi="Times New Roman" w:cs="Times New Roman"/>
          <w:b/>
          <w:kern w:val="2"/>
          <w:sz w:val="24"/>
          <w:szCs w:val="24"/>
          <w:lang w:eastAsia="zh-TW"/>
        </w:rPr>
        <w:t>HOLIS ROISAH</w:t>
      </w:r>
      <w:r w:rsidRPr="00C10C4F">
        <w:rPr>
          <w:rFonts w:ascii="Times New Roman" w:eastAsia="PMingLiU" w:hAnsi="Times New Roman" w:cs="Times New Roman"/>
          <w:b/>
          <w:kern w:val="2"/>
          <w:sz w:val="24"/>
          <w:szCs w:val="24"/>
          <w:lang w:eastAsia="zh-TW"/>
        </w:rPr>
        <w:t>, S.H., M.Hum</w:t>
      </w:r>
    </w:p>
    <w:p w:rsidR="00F855D9" w:rsidRPr="00C10C4F" w:rsidRDefault="00F855D9" w:rsidP="00F855D9">
      <w:pPr>
        <w:widowControl w:val="0"/>
        <w:spacing w:after="0" w:line="360" w:lineRule="auto"/>
        <w:jc w:val="center"/>
        <w:rPr>
          <w:rFonts w:ascii="Times New Roman" w:eastAsia="PMingLiU" w:hAnsi="Times New Roman" w:cs="Times New Roman"/>
          <w:b/>
          <w:kern w:val="2"/>
          <w:sz w:val="24"/>
          <w:szCs w:val="24"/>
          <w:lang w:eastAsia="zh-TW"/>
        </w:rPr>
      </w:pPr>
    </w:p>
    <w:p w:rsidR="00F855D9" w:rsidRPr="00C10C4F" w:rsidRDefault="00F855D9" w:rsidP="00F855D9">
      <w:pPr>
        <w:widowControl w:val="0"/>
        <w:spacing w:after="0" w:line="360" w:lineRule="auto"/>
        <w:jc w:val="center"/>
        <w:rPr>
          <w:rFonts w:ascii="Times New Roman" w:eastAsia="PMingLiU" w:hAnsi="Times New Roman" w:cs="Times New Roman"/>
          <w:b/>
          <w:kern w:val="2"/>
          <w:sz w:val="24"/>
          <w:szCs w:val="24"/>
          <w:lang w:eastAsia="zh-TW"/>
        </w:rPr>
      </w:pPr>
    </w:p>
    <w:p w:rsidR="00F855D9" w:rsidRPr="00C10C4F" w:rsidRDefault="00F855D9" w:rsidP="00F855D9">
      <w:pPr>
        <w:widowControl w:val="0"/>
        <w:spacing w:after="0" w:line="360" w:lineRule="auto"/>
        <w:jc w:val="center"/>
        <w:rPr>
          <w:rFonts w:ascii="Times New Roman" w:eastAsia="PMingLiU" w:hAnsi="Times New Roman" w:cs="Times New Roman"/>
          <w:b/>
          <w:kern w:val="2"/>
          <w:sz w:val="24"/>
          <w:szCs w:val="24"/>
          <w:lang w:eastAsia="zh-TW"/>
        </w:rPr>
      </w:pPr>
      <w:r w:rsidRPr="00C10C4F">
        <w:rPr>
          <w:rFonts w:ascii="Times New Roman" w:eastAsia="PMingLiU" w:hAnsi="Times New Roman" w:cs="Times New Roman"/>
          <w:b/>
          <w:kern w:val="2"/>
          <w:sz w:val="24"/>
          <w:szCs w:val="24"/>
          <w:lang w:eastAsia="zh-TW"/>
        </w:rPr>
        <w:t>PROGRAM MAGISTER ILMU HUKUM</w:t>
      </w:r>
    </w:p>
    <w:p w:rsidR="00F855D9" w:rsidRPr="00C10C4F" w:rsidRDefault="00F855D9" w:rsidP="00F855D9">
      <w:pPr>
        <w:widowControl w:val="0"/>
        <w:spacing w:after="0" w:line="360" w:lineRule="auto"/>
        <w:jc w:val="center"/>
        <w:rPr>
          <w:rFonts w:ascii="Times New Roman" w:eastAsia="PMingLiU" w:hAnsi="Times New Roman" w:cs="Times New Roman"/>
          <w:b/>
          <w:kern w:val="2"/>
          <w:sz w:val="24"/>
          <w:szCs w:val="24"/>
          <w:lang w:val="en-US" w:eastAsia="zh-TW"/>
        </w:rPr>
      </w:pPr>
      <w:r w:rsidRPr="00C10C4F">
        <w:rPr>
          <w:rFonts w:ascii="Times New Roman" w:eastAsia="PMingLiU" w:hAnsi="Times New Roman" w:cs="Times New Roman"/>
          <w:b/>
          <w:kern w:val="2"/>
          <w:sz w:val="24"/>
          <w:szCs w:val="24"/>
          <w:lang w:eastAsia="zh-TW"/>
        </w:rPr>
        <w:t>F</w:t>
      </w:r>
      <w:r w:rsidRPr="00C10C4F">
        <w:rPr>
          <w:rFonts w:ascii="Times New Roman" w:eastAsia="PMingLiU" w:hAnsi="Times New Roman" w:cs="Times New Roman"/>
          <w:b/>
          <w:kern w:val="2"/>
          <w:sz w:val="24"/>
          <w:szCs w:val="24"/>
          <w:lang w:val="en-US" w:eastAsia="zh-TW"/>
        </w:rPr>
        <w:t>AKULTAS HUKUM</w:t>
      </w:r>
    </w:p>
    <w:p w:rsidR="00F855D9" w:rsidRPr="00C10C4F" w:rsidRDefault="00F855D9" w:rsidP="00F855D9">
      <w:pPr>
        <w:widowControl w:val="0"/>
        <w:spacing w:after="0" w:line="360" w:lineRule="auto"/>
        <w:jc w:val="center"/>
        <w:rPr>
          <w:rFonts w:ascii="Times New Roman" w:eastAsia="PMingLiU" w:hAnsi="Times New Roman" w:cs="Times New Roman"/>
          <w:b/>
          <w:kern w:val="2"/>
          <w:sz w:val="24"/>
          <w:szCs w:val="24"/>
          <w:lang w:val="en-US" w:eastAsia="zh-TW"/>
        </w:rPr>
      </w:pPr>
      <w:r w:rsidRPr="00C10C4F">
        <w:rPr>
          <w:rFonts w:ascii="Times New Roman" w:eastAsia="PMingLiU" w:hAnsi="Times New Roman" w:cs="Times New Roman"/>
          <w:b/>
          <w:kern w:val="2"/>
          <w:sz w:val="24"/>
          <w:szCs w:val="24"/>
          <w:lang w:val="en-US" w:eastAsia="zh-TW"/>
        </w:rPr>
        <w:t>UNIVERSITAS DIPONEGORO</w:t>
      </w:r>
    </w:p>
    <w:p w:rsidR="00F855D9" w:rsidRPr="00C10C4F" w:rsidRDefault="00F855D9" w:rsidP="00F855D9">
      <w:pPr>
        <w:widowControl w:val="0"/>
        <w:spacing w:after="0" w:line="360" w:lineRule="auto"/>
        <w:jc w:val="center"/>
        <w:rPr>
          <w:rFonts w:ascii="Times New Roman" w:eastAsia="PMingLiU" w:hAnsi="Times New Roman" w:cs="Times New Roman"/>
          <w:b/>
          <w:kern w:val="2"/>
          <w:sz w:val="24"/>
          <w:szCs w:val="24"/>
          <w:lang w:val="en-US" w:eastAsia="zh-TW"/>
        </w:rPr>
      </w:pPr>
      <w:r w:rsidRPr="00C10C4F">
        <w:rPr>
          <w:rFonts w:ascii="Times New Roman" w:eastAsia="PMingLiU" w:hAnsi="Times New Roman" w:cs="Times New Roman"/>
          <w:b/>
          <w:kern w:val="2"/>
          <w:sz w:val="24"/>
          <w:szCs w:val="24"/>
          <w:lang w:val="en-US" w:eastAsia="zh-TW"/>
        </w:rPr>
        <w:t>SEMARANG</w:t>
      </w:r>
    </w:p>
    <w:p w:rsidR="00065000" w:rsidRDefault="00F855D9" w:rsidP="00F855D9">
      <w:pPr>
        <w:widowControl w:val="0"/>
        <w:spacing w:after="0" w:line="360" w:lineRule="auto"/>
        <w:jc w:val="center"/>
        <w:rPr>
          <w:rFonts w:ascii="Times New Roman" w:eastAsia="PMingLiU" w:hAnsi="Times New Roman" w:cs="Times New Roman"/>
          <w:b/>
          <w:kern w:val="2"/>
          <w:sz w:val="24"/>
          <w:szCs w:val="24"/>
          <w:lang w:eastAsia="zh-TW"/>
        </w:rPr>
      </w:pPr>
      <w:r>
        <w:rPr>
          <w:rFonts w:ascii="Times New Roman" w:eastAsia="PMingLiU" w:hAnsi="Times New Roman" w:cs="Times New Roman"/>
          <w:b/>
          <w:kern w:val="2"/>
          <w:sz w:val="24"/>
          <w:szCs w:val="24"/>
          <w:lang w:eastAsia="zh-TW"/>
        </w:rPr>
        <w:t>2017</w:t>
      </w:r>
    </w:p>
    <w:p w:rsidR="00065000" w:rsidRDefault="006C53A8" w:rsidP="006C53A8">
      <w:pPr>
        <w:widowControl w:val="0"/>
        <w:spacing w:after="0" w:line="360" w:lineRule="auto"/>
        <w:jc w:val="center"/>
        <w:rPr>
          <w:rFonts w:ascii="Times New Roman" w:eastAsia="PMingLiU" w:hAnsi="Times New Roman" w:cs="Times New Roman"/>
          <w:b/>
          <w:kern w:val="2"/>
          <w:sz w:val="24"/>
          <w:szCs w:val="24"/>
          <w:lang w:eastAsia="zh-TW"/>
        </w:rPr>
      </w:pPr>
      <w:r>
        <w:rPr>
          <w:rFonts w:ascii="Times New Roman" w:eastAsia="PMingLiU" w:hAnsi="Times New Roman" w:cs="Times New Roman"/>
          <w:b/>
          <w:noProof/>
          <w:kern w:val="2"/>
          <w:sz w:val="24"/>
          <w:szCs w:val="24"/>
          <w:lang w:eastAsia="id-ID"/>
        </w:rPr>
        <w:lastRenderedPageBreak/>
        <w:drawing>
          <wp:anchor distT="0" distB="0" distL="114300" distR="114300" simplePos="0" relativeHeight="251721216" behindDoc="0" locked="0" layoutInCell="1" allowOverlap="1">
            <wp:simplePos x="0" y="0"/>
            <wp:positionH relativeFrom="page">
              <wp:align>center</wp:align>
            </wp:positionH>
            <wp:positionV relativeFrom="paragraph">
              <wp:posOffset>354</wp:posOffset>
            </wp:positionV>
            <wp:extent cx="6213638" cy="8282763"/>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_f60e4b2.jpg"/>
                    <pic:cNvPicPr/>
                  </pic:nvPicPr>
                  <pic:blipFill>
                    <a:blip r:embed="rId13">
                      <a:extLst>
                        <a:ext uri="{28A0092B-C50C-407E-A947-70E740481C1C}">
                          <a14:useLocalDpi xmlns:a14="http://schemas.microsoft.com/office/drawing/2010/main" val="0"/>
                        </a:ext>
                      </a:extLst>
                    </a:blip>
                    <a:stretch>
                      <a:fillRect/>
                    </a:stretch>
                  </pic:blipFill>
                  <pic:spPr>
                    <a:xfrm>
                      <a:off x="0" y="0"/>
                      <a:ext cx="6213638" cy="8282763"/>
                    </a:xfrm>
                    <a:prstGeom prst="rect">
                      <a:avLst/>
                    </a:prstGeom>
                  </pic:spPr>
                </pic:pic>
              </a:graphicData>
            </a:graphic>
          </wp:anchor>
        </w:drawing>
      </w:r>
    </w:p>
    <w:p w:rsidR="00915C1B" w:rsidRDefault="006C53A8" w:rsidP="006C53A8">
      <w:pPr>
        <w:widowControl w:val="0"/>
        <w:tabs>
          <w:tab w:val="center" w:pos="3968"/>
          <w:tab w:val="left" w:pos="6912"/>
        </w:tabs>
        <w:spacing w:after="0" w:line="360" w:lineRule="auto"/>
        <w:jc w:val="center"/>
        <w:rPr>
          <w:rFonts w:ascii="Times New Roman" w:eastAsia="PMingLiU" w:hAnsi="Times New Roman" w:cs="Times New Roman"/>
          <w:b/>
          <w:kern w:val="2"/>
          <w:sz w:val="24"/>
          <w:szCs w:val="24"/>
          <w:lang w:eastAsia="zh-TW"/>
        </w:rPr>
      </w:pPr>
      <w:r>
        <w:rPr>
          <w:rFonts w:ascii="Times New Roman" w:eastAsia="PMingLiU" w:hAnsi="Times New Roman" w:cs="Times New Roman"/>
          <w:b/>
          <w:noProof/>
          <w:kern w:val="2"/>
          <w:sz w:val="24"/>
          <w:szCs w:val="24"/>
          <w:lang w:eastAsia="id-ID"/>
        </w:rPr>
        <w:lastRenderedPageBreak/>
        <w:drawing>
          <wp:anchor distT="0" distB="0" distL="114300" distR="114300" simplePos="0" relativeHeight="251722240" behindDoc="0" locked="0" layoutInCell="1" allowOverlap="1">
            <wp:simplePos x="0" y="0"/>
            <wp:positionH relativeFrom="page">
              <wp:posOffset>1000760</wp:posOffset>
            </wp:positionH>
            <wp:positionV relativeFrom="paragraph">
              <wp:posOffset>3175</wp:posOffset>
            </wp:positionV>
            <wp:extent cx="6036945" cy="8122920"/>
            <wp:effectExtent l="0" t="0" r="190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_859b638.jpg"/>
                    <pic:cNvPicPr/>
                  </pic:nvPicPr>
                  <pic:blipFill>
                    <a:blip r:embed="rId14">
                      <a:extLst>
                        <a:ext uri="{28A0092B-C50C-407E-A947-70E740481C1C}">
                          <a14:useLocalDpi xmlns:a14="http://schemas.microsoft.com/office/drawing/2010/main" val="0"/>
                        </a:ext>
                      </a:extLst>
                    </a:blip>
                    <a:stretch>
                      <a:fillRect/>
                    </a:stretch>
                  </pic:blipFill>
                  <pic:spPr>
                    <a:xfrm>
                      <a:off x="0" y="0"/>
                      <a:ext cx="6036945" cy="81229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PMingLiU" w:hAnsi="Times New Roman" w:cs="Times New Roman"/>
          <w:b/>
          <w:kern w:val="2"/>
          <w:sz w:val="24"/>
          <w:szCs w:val="24"/>
          <w:lang w:eastAsia="zh-TW"/>
        </w:rPr>
        <w:t xml:space="preserve"> </w:t>
      </w:r>
    </w:p>
    <w:p w:rsidR="00065000" w:rsidRPr="00F0762C" w:rsidRDefault="00065000" w:rsidP="00F0762C">
      <w:pPr>
        <w:widowControl w:val="0"/>
        <w:spacing w:after="0" w:line="360" w:lineRule="auto"/>
        <w:jc w:val="center"/>
        <w:rPr>
          <w:rFonts w:ascii="Times New Roman" w:eastAsia="PMingLiU" w:hAnsi="Times New Roman" w:cs="Times New Roman"/>
          <w:b/>
          <w:kern w:val="2"/>
          <w:sz w:val="24"/>
          <w:szCs w:val="24"/>
          <w:lang w:eastAsia="zh-TW"/>
        </w:rPr>
      </w:pPr>
    </w:p>
    <w:p w:rsidR="00031334" w:rsidRDefault="00031334" w:rsidP="00C10C4F">
      <w:pPr>
        <w:widowControl w:val="0"/>
        <w:spacing w:after="0" w:line="480" w:lineRule="auto"/>
        <w:jc w:val="center"/>
        <w:rPr>
          <w:rFonts w:ascii="Times New Roman" w:eastAsia="PMingLiU" w:hAnsi="Times New Roman" w:cs="Times New Roman"/>
          <w:b/>
          <w:kern w:val="2"/>
          <w:sz w:val="24"/>
          <w:szCs w:val="24"/>
          <w:lang w:eastAsia="zh-TW"/>
        </w:rPr>
      </w:pPr>
      <w:r>
        <w:rPr>
          <w:rFonts w:ascii="Times New Roman" w:eastAsia="PMingLiU" w:hAnsi="Times New Roman" w:cs="Times New Roman"/>
          <w:b/>
          <w:kern w:val="2"/>
          <w:sz w:val="24"/>
          <w:szCs w:val="24"/>
          <w:lang w:eastAsia="zh-TW"/>
        </w:rPr>
        <w:t>PERNYATAAN KEASLIAN KARYA ILMIAH</w:t>
      </w:r>
    </w:p>
    <w:p w:rsidR="00031334" w:rsidRDefault="00031334" w:rsidP="00C10C4F">
      <w:pPr>
        <w:widowControl w:val="0"/>
        <w:spacing w:after="0" w:line="480" w:lineRule="auto"/>
        <w:jc w:val="center"/>
        <w:rPr>
          <w:rFonts w:ascii="Times New Roman" w:eastAsia="PMingLiU" w:hAnsi="Times New Roman" w:cs="Times New Roman"/>
          <w:b/>
          <w:kern w:val="2"/>
          <w:sz w:val="24"/>
          <w:szCs w:val="24"/>
          <w:lang w:eastAsia="zh-TW"/>
        </w:rPr>
      </w:pPr>
    </w:p>
    <w:p w:rsidR="00031334" w:rsidRDefault="00031334" w:rsidP="00C10C4F">
      <w:pPr>
        <w:widowControl w:val="0"/>
        <w:spacing w:after="0" w:line="480" w:lineRule="auto"/>
        <w:jc w:val="center"/>
        <w:rPr>
          <w:rFonts w:ascii="Times New Roman" w:eastAsia="PMingLiU" w:hAnsi="Times New Roman" w:cs="Times New Roman"/>
          <w:b/>
          <w:kern w:val="2"/>
          <w:sz w:val="24"/>
          <w:szCs w:val="24"/>
          <w:lang w:eastAsia="zh-TW"/>
        </w:rPr>
      </w:pPr>
    </w:p>
    <w:p w:rsidR="00031334" w:rsidRDefault="00031334" w:rsidP="00AE5EA0">
      <w:pPr>
        <w:widowControl w:val="0"/>
        <w:spacing w:after="0" w:line="480" w:lineRule="auto"/>
        <w:ind w:firstLine="720"/>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Dengan ini saya Farida Nur Hidayah, meyatakan bahwa Karya Ilmiah/ Tesis ini adalah asli karya saya sendiri dan karya ilmiah ini belum pernah diajukan sebagai pemenuhan persyaratan untuk memperoleh gelar kesarjanaan  Strata Satu (S1) maupuan Magister (S2) dari Universitas Diponegoro maupuan Perguruan Tinggi lain.</w:t>
      </w:r>
    </w:p>
    <w:p w:rsidR="00031334" w:rsidRDefault="00031334" w:rsidP="00AE5EA0">
      <w:pPr>
        <w:widowControl w:val="0"/>
        <w:spacing w:after="0" w:line="480" w:lineRule="auto"/>
        <w:ind w:firstLine="720"/>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Semua informasi yang dibuat dalam Karya Ilmiah ini yang berasal dari penulis lain baik yang dipublikasikan atau tidak, telah diberikan penghargaan dengan mengutip nama sumber penulis secara benar dan semua isi dari Karya Ilmiah/Tesis ini sepenuhnya menjadi tanggung jawab saya sebagai penulis.</w:t>
      </w:r>
    </w:p>
    <w:p w:rsidR="00031334" w:rsidRDefault="00031334" w:rsidP="00031334">
      <w:pPr>
        <w:widowControl w:val="0"/>
        <w:spacing w:after="0" w:line="480" w:lineRule="auto"/>
        <w:jc w:val="both"/>
        <w:rPr>
          <w:rFonts w:ascii="Times New Roman" w:eastAsia="PMingLiU" w:hAnsi="Times New Roman" w:cs="Times New Roman"/>
          <w:kern w:val="2"/>
          <w:sz w:val="24"/>
          <w:szCs w:val="24"/>
          <w:lang w:eastAsia="zh-TW"/>
        </w:rPr>
      </w:pPr>
    </w:p>
    <w:p w:rsidR="00031334" w:rsidRDefault="00031334" w:rsidP="00031334">
      <w:pPr>
        <w:widowControl w:val="0"/>
        <w:spacing w:after="0" w:line="480" w:lineRule="auto"/>
        <w:jc w:val="both"/>
        <w:rPr>
          <w:rFonts w:ascii="Times New Roman" w:eastAsia="PMingLiU" w:hAnsi="Times New Roman" w:cs="Times New Roman"/>
          <w:kern w:val="2"/>
          <w:sz w:val="24"/>
          <w:szCs w:val="24"/>
          <w:lang w:eastAsia="zh-TW"/>
        </w:rPr>
      </w:pPr>
    </w:p>
    <w:p w:rsidR="00031334" w:rsidRDefault="00031334" w:rsidP="00031334">
      <w:pPr>
        <w:widowControl w:val="0"/>
        <w:spacing w:after="0" w:line="48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p>
    <w:p w:rsidR="00031334" w:rsidRDefault="00031334" w:rsidP="00031334">
      <w:pPr>
        <w:widowControl w:val="0"/>
        <w:spacing w:after="0" w:line="48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t>Penulis</w:t>
      </w:r>
    </w:p>
    <w:p w:rsidR="00031334" w:rsidRDefault="00031334" w:rsidP="00031334">
      <w:pPr>
        <w:widowControl w:val="0"/>
        <w:spacing w:after="0" w:line="480" w:lineRule="auto"/>
        <w:jc w:val="both"/>
        <w:rPr>
          <w:rFonts w:ascii="Times New Roman" w:eastAsia="PMingLiU" w:hAnsi="Times New Roman" w:cs="Times New Roman"/>
          <w:kern w:val="2"/>
          <w:sz w:val="24"/>
          <w:szCs w:val="24"/>
          <w:lang w:eastAsia="zh-TW"/>
        </w:rPr>
      </w:pPr>
    </w:p>
    <w:p w:rsidR="00031334" w:rsidRDefault="00031334" w:rsidP="00031334">
      <w:pPr>
        <w:widowControl w:val="0"/>
        <w:spacing w:after="0" w:line="480" w:lineRule="auto"/>
        <w:jc w:val="both"/>
        <w:rPr>
          <w:rFonts w:ascii="Times New Roman" w:eastAsia="PMingLiU" w:hAnsi="Times New Roman" w:cs="Times New Roman"/>
          <w:kern w:val="2"/>
          <w:sz w:val="24"/>
          <w:szCs w:val="24"/>
          <w:lang w:eastAsia="zh-TW"/>
        </w:rPr>
      </w:pPr>
    </w:p>
    <w:p w:rsidR="00031334" w:rsidRDefault="00031334" w:rsidP="00031334">
      <w:pPr>
        <w:widowControl w:val="0"/>
        <w:spacing w:after="0" w:line="48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t>Farida Nur Hidayah</w:t>
      </w:r>
      <w:r w:rsidR="00F768F2">
        <w:rPr>
          <w:rFonts w:ascii="Times New Roman" w:eastAsia="PMingLiU" w:hAnsi="Times New Roman" w:cs="Times New Roman"/>
          <w:kern w:val="2"/>
          <w:sz w:val="24"/>
          <w:szCs w:val="24"/>
          <w:lang w:eastAsia="zh-TW"/>
        </w:rPr>
        <w:t>, S.H</w:t>
      </w:r>
    </w:p>
    <w:p w:rsidR="00F768F2" w:rsidRDefault="00F768F2" w:rsidP="00031334">
      <w:pPr>
        <w:widowControl w:val="0"/>
        <w:spacing w:after="0" w:line="48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r>
      <w:r>
        <w:rPr>
          <w:rFonts w:ascii="Times New Roman" w:eastAsia="PMingLiU" w:hAnsi="Times New Roman" w:cs="Times New Roman"/>
          <w:kern w:val="2"/>
          <w:sz w:val="24"/>
          <w:szCs w:val="24"/>
          <w:lang w:eastAsia="zh-TW"/>
        </w:rPr>
        <w:tab/>
        <w:t>NIM. 11010115410053</w:t>
      </w:r>
    </w:p>
    <w:p w:rsidR="00F768F2" w:rsidRDefault="00F768F2" w:rsidP="00031334">
      <w:pPr>
        <w:widowControl w:val="0"/>
        <w:spacing w:after="0" w:line="480" w:lineRule="auto"/>
        <w:jc w:val="both"/>
        <w:rPr>
          <w:rFonts w:ascii="Times New Roman" w:eastAsia="PMingLiU" w:hAnsi="Times New Roman" w:cs="Times New Roman"/>
          <w:kern w:val="2"/>
          <w:sz w:val="24"/>
          <w:szCs w:val="24"/>
          <w:lang w:eastAsia="zh-TW"/>
        </w:rPr>
      </w:pPr>
    </w:p>
    <w:p w:rsidR="00F768F2" w:rsidRDefault="00F768F2" w:rsidP="00031334">
      <w:pPr>
        <w:widowControl w:val="0"/>
        <w:spacing w:after="0" w:line="480" w:lineRule="auto"/>
        <w:jc w:val="both"/>
        <w:rPr>
          <w:rFonts w:ascii="Times New Roman" w:eastAsia="PMingLiU" w:hAnsi="Times New Roman" w:cs="Times New Roman"/>
          <w:kern w:val="2"/>
          <w:sz w:val="24"/>
          <w:szCs w:val="24"/>
          <w:lang w:eastAsia="zh-TW"/>
        </w:rPr>
      </w:pPr>
    </w:p>
    <w:p w:rsidR="00AE5EA0" w:rsidRDefault="00AE5EA0" w:rsidP="00031334">
      <w:pPr>
        <w:widowControl w:val="0"/>
        <w:spacing w:after="0" w:line="480" w:lineRule="auto"/>
        <w:jc w:val="both"/>
        <w:rPr>
          <w:rFonts w:ascii="Times New Roman" w:eastAsia="PMingLiU" w:hAnsi="Times New Roman" w:cs="Times New Roman"/>
          <w:kern w:val="2"/>
          <w:sz w:val="24"/>
          <w:szCs w:val="24"/>
          <w:lang w:eastAsia="zh-TW"/>
        </w:rPr>
      </w:pPr>
    </w:p>
    <w:p w:rsidR="00915C1B" w:rsidRDefault="00915C1B" w:rsidP="00031334">
      <w:pPr>
        <w:widowControl w:val="0"/>
        <w:spacing w:after="0" w:line="480" w:lineRule="auto"/>
        <w:jc w:val="both"/>
        <w:rPr>
          <w:rFonts w:ascii="Times New Roman" w:eastAsia="PMingLiU" w:hAnsi="Times New Roman" w:cs="Times New Roman"/>
          <w:kern w:val="2"/>
          <w:sz w:val="24"/>
          <w:szCs w:val="24"/>
          <w:lang w:eastAsia="zh-TW"/>
        </w:rPr>
      </w:pPr>
    </w:p>
    <w:p w:rsidR="00F768F2" w:rsidRDefault="00830601" w:rsidP="00830601">
      <w:pPr>
        <w:widowControl w:val="0"/>
        <w:spacing w:after="0" w:line="480" w:lineRule="auto"/>
        <w:jc w:val="center"/>
        <w:rPr>
          <w:rFonts w:ascii="Times New Roman" w:eastAsia="PMingLiU" w:hAnsi="Times New Roman" w:cs="Times New Roman"/>
          <w:b/>
          <w:kern w:val="2"/>
          <w:sz w:val="24"/>
          <w:szCs w:val="24"/>
          <w:lang w:eastAsia="zh-TW"/>
        </w:rPr>
      </w:pPr>
      <w:r w:rsidRPr="00830601">
        <w:rPr>
          <w:rFonts w:ascii="Times New Roman" w:eastAsia="PMingLiU" w:hAnsi="Times New Roman" w:cs="Times New Roman"/>
          <w:b/>
          <w:kern w:val="2"/>
          <w:sz w:val="28"/>
          <w:szCs w:val="28"/>
          <w:lang w:eastAsia="zh-TW"/>
        </w:rPr>
        <w:lastRenderedPageBreak/>
        <w:t>MOTTO DAN PERSEMBAHAN</w:t>
      </w:r>
    </w:p>
    <w:p w:rsidR="00830601" w:rsidRDefault="00830601" w:rsidP="00830601">
      <w:pPr>
        <w:widowControl w:val="0"/>
        <w:spacing w:after="0" w:line="480" w:lineRule="auto"/>
        <w:jc w:val="both"/>
        <w:rPr>
          <w:rFonts w:ascii="Times New Roman" w:eastAsia="PMingLiU" w:hAnsi="Times New Roman" w:cs="Times New Roman"/>
          <w:b/>
          <w:kern w:val="2"/>
          <w:sz w:val="24"/>
          <w:szCs w:val="24"/>
          <w:lang w:eastAsia="zh-TW"/>
        </w:rPr>
      </w:pPr>
    </w:p>
    <w:p w:rsidR="0040144F" w:rsidRDefault="0040144F" w:rsidP="00830601">
      <w:pPr>
        <w:widowControl w:val="0"/>
        <w:spacing w:after="0" w:line="480" w:lineRule="auto"/>
        <w:jc w:val="both"/>
        <w:rPr>
          <w:rFonts w:ascii="Times New Roman" w:eastAsia="PMingLiU" w:hAnsi="Times New Roman" w:cs="Times New Roman"/>
          <w:b/>
          <w:kern w:val="2"/>
          <w:sz w:val="24"/>
          <w:szCs w:val="24"/>
          <w:lang w:eastAsia="zh-TW"/>
        </w:rPr>
      </w:pPr>
    </w:p>
    <w:p w:rsidR="00830601" w:rsidRDefault="00830601" w:rsidP="00830601">
      <w:pPr>
        <w:widowControl w:val="0"/>
        <w:spacing w:after="0" w:line="480" w:lineRule="auto"/>
        <w:jc w:val="both"/>
        <w:rPr>
          <w:rFonts w:ascii="Times New Roman" w:eastAsia="PMingLiU" w:hAnsi="Times New Roman" w:cs="Times New Roman"/>
          <w:b/>
          <w:kern w:val="2"/>
          <w:sz w:val="24"/>
          <w:szCs w:val="24"/>
          <w:lang w:eastAsia="zh-TW"/>
        </w:rPr>
      </w:pPr>
      <w:r>
        <w:rPr>
          <w:rFonts w:ascii="Times New Roman" w:eastAsia="PMingLiU" w:hAnsi="Times New Roman" w:cs="Times New Roman"/>
          <w:b/>
          <w:kern w:val="2"/>
          <w:sz w:val="24"/>
          <w:szCs w:val="24"/>
          <w:lang w:eastAsia="zh-TW"/>
        </w:rPr>
        <w:t>MOTTO</w:t>
      </w:r>
    </w:p>
    <w:p w:rsidR="00830601" w:rsidRDefault="00830601" w:rsidP="00830601">
      <w:pPr>
        <w:widowControl w:val="0"/>
        <w:spacing w:after="0" w:line="480" w:lineRule="auto"/>
        <w:jc w:val="both"/>
        <w:rPr>
          <w:rFonts w:ascii="Times New Roman" w:eastAsia="PMingLiU" w:hAnsi="Times New Roman" w:cs="Times New Roman"/>
          <w:b/>
          <w:kern w:val="2"/>
          <w:sz w:val="24"/>
          <w:szCs w:val="24"/>
          <w:lang w:eastAsia="zh-TW"/>
        </w:rPr>
      </w:pPr>
    </w:p>
    <w:p w:rsidR="00830601" w:rsidRPr="00065000" w:rsidRDefault="0040144F" w:rsidP="00830601">
      <w:pPr>
        <w:widowControl w:val="0"/>
        <w:spacing w:after="0" w:line="480" w:lineRule="auto"/>
        <w:jc w:val="both"/>
        <w:rPr>
          <w:rFonts w:ascii="Lucida Handwriting" w:eastAsia="PMingLiU" w:hAnsi="Lucida Handwriting" w:cs="Times New Roman"/>
          <w:i/>
          <w:kern w:val="2"/>
          <w:sz w:val="24"/>
          <w:szCs w:val="24"/>
          <w:lang w:eastAsia="zh-TW"/>
        </w:rPr>
      </w:pPr>
      <w:r w:rsidRPr="00065000">
        <w:rPr>
          <w:rFonts w:ascii="Lucida Handwriting" w:eastAsia="PMingLiU" w:hAnsi="Lucida Handwriting" w:cs="Times New Roman"/>
          <w:i/>
          <w:kern w:val="2"/>
          <w:sz w:val="24"/>
          <w:szCs w:val="24"/>
          <w:lang w:eastAsia="zh-TW"/>
        </w:rPr>
        <w:t>A dream doesn’t become reality through magic,</w:t>
      </w:r>
    </w:p>
    <w:p w:rsidR="0040144F" w:rsidRPr="00065000" w:rsidRDefault="0040144F" w:rsidP="00830601">
      <w:pPr>
        <w:widowControl w:val="0"/>
        <w:spacing w:after="0" w:line="480" w:lineRule="auto"/>
        <w:jc w:val="both"/>
        <w:rPr>
          <w:rFonts w:ascii="Lucida Handwriting" w:eastAsia="PMingLiU" w:hAnsi="Lucida Handwriting" w:cs="Times New Roman"/>
          <w:i/>
          <w:kern w:val="2"/>
          <w:sz w:val="24"/>
          <w:szCs w:val="24"/>
          <w:lang w:eastAsia="zh-TW"/>
        </w:rPr>
      </w:pPr>
      <w:r w:rsidRPr="00065000">
        <w:rPr>
          <w:rFonts w:ascii="Lucida Handwriting" w:eastAsia="PMingLiU" w:hAnsi="Lucida Handwriting" w:cs="Times New Roman"/>
          <w:i/>
          <w:kern w:val="2"/>
          <w:sz w:val="24"/>
          <w:szCs w:val="24"/>
          <w:lang w:eastAsia="zh-TW"/>
        </w:rPr>
        <w:t>It takes sweat, determination and hard work</w:t>
      </w:r>
    </w:p>
    <w:p w:rsidR="00830601" w:rsidRPr="00065000" w:rsidRDefault="00830601" w:rsidP="00830601">
      <w:pPr>
        <w:widowControl w:val="0"/>
        <w:spacing w:after="0" w:line="480" w:lineRule="auto"/>
        <w:jc w:val="both"/>
        <w:rPr>
          <w:rFonts w:ascii="Lucida Handwriting" w:eastAsia="PMingLiU" w:hAnsi="Lucida Handwriting" w:cs="Times New Roman"/>
          <w:kern w:val="2"/>
          <w:sz w:val="24"/>
          <w:szCs w:val="24"/>
          <w:lang w:eastAsia="zh-TW"/>
        </w:rPr>
      </w:pPr>
      <w:r w:rsidRPr="00065000">
        <w:rPr>
          <w:rFonts w:ascii="Lucida Handwriting" w:eastAsia="PMingLiU" w:hAnsi="Lucida Handwriting" w:cs="Times New Roman"/>
          <w:kern w:val="2"/>
          <w:sz w:val="24"/>
          <w:szCs w:val="24"/>
          <w:lang w:eastAsia="zh-TW"/>
        </w:rPr>
        <w:tab/>
      </w:r>
      <w:r w:rsidRPr="00065000">
        <w:rPr>
          <w:rFonts w:ascii="Lucida Handwriting" w:eastAsia="PMingLiU" w:hAnsi="Lucida Handwriting" w:cs="Times New Roman"/>
          <w:kern w:val="2"/>
          <w:sz w:val="24"/>
          <w:szCs w:val="24"/>
          <w:lang w:eastAsia="zh-TW"/>
        </w:rPr>
        <w:tab/>
      </w:r>
      <w:r w:rsidRPr="00065000">
        <w:rPr>
          <w:rFonts w:ascii="Lucida Handwriting" w:eastAsia="PMingLiU" w:hAnsi="Lucida Handwriting" w:cs="Times New Roman"/>
          <w:kern w:val="2"/>
          <w:sz w:val="24"/>
          <w:szCs w:val="24"/>
          <w:lang w:eastAsia="zh-TW"/>
        </w:rPr>
        <w:tab/>
      </w:r>
      <w:r w:rsidRPr="00065000">
        <w:rPr>
          <w:rFonts w:ascii="Lucida Handwriting" w:eastAsia="PMingLiU" w:hAnsi="Lucida Handwriting" w:cs="Times New Roman"/>
          <w:kern w:val="2"/>
          <w:sz w:val="24"/>
          <w:szCs w:val="24"/>
          <w:lang w:eastAsia="zh-TW"/>
        </w:rPr>
        <w:tab/>
      </w:r>
      <w:r w:rsidR="00065000">
        <w:rPr>
          <w:rFonts w:ascii="Lucida Handwriting" w:eastAsia="PMingLiU" w:hAnsi="Lucida Handwriting" w:cs="Times New Roman"/>
          <w:kern w:val="2"/>
          <w:sz w:val="24"/>
          <w:szCs w:val="24"/>
          <w:lang w:eastAsia="zh-TW"/>
        </w:rPr>
        <w:tab/>
        <w:t xml:space="preserve">           </w:t>
      </w:r>
      <w:r w:rsidRPr="00065000">
        <w:rPr>
          <w:rFonts w:ascii="Lucida Handwriting" w:eastAsia="PMingLiU" w:hAnsi="Lucida Handwriting" w:cs="Times New Roman"/>
          <w:kern w:val="2"/>
          <w:sz w:val="24"/>
          <w:szCs w:val="24"/>
          <w:lang w:eastAsia="zh-TW"/>
        </w:rPr>
        <w:t>(</w:t>
      </w:r>
      <w:r w:rsidR="0040144F" w:rsidRPr="00065000">
        <w:rPr>
          <w:rFonts w:ascii="Lucida Handwriting" w:eastAsia="PMingLiU" w:hAnsi="Lucida Handwriting" w:cs="Times New Roman"/>
          <w:i/>
          <w:kern w:val="2"/>
          <w:sz w:val="24"/>
          <w:szCs w:val="24"/>
          <w:lang w:eastAsia="zh-TW"/>
        </w:rPr>
        <w:t>Farida Nur Hidayah</w:t>
      </w:r>
      <w:r w:rsidRPr="00065000">
        <w:rPr>
          <w:rFonts w:ascii="Lucida Handwriting" w:eastAsia="PMingLiU" w:hAnsi="Lucida Handwriting" w:cs="Times New Roman"/>
          <w:i/>
          <w:kern w:val="2"/>
          <w:sz w:val="24"/>
          <w:szCs w:val="24"/>
          <w:lang w:eastAsia="zh-TW"/>
        </w:rPr>
        <w:t>)</w:t>
      </w:r>
    </w:p>
    <w:p w:rsidR="0040144F" w:rsidRDefault="0040144F" w:rsidP="00830601">
      <w:pPr>
        <w:widowControl w:val="0"/>
        <w:spacing w:after="0" w:line="480" w:lineRule="auto"/>
        <w:jc w:val="both"/>
        <w:rPr>
          <w:rFonts w:ascii="Times New Roman" w:eastAsia="PMingLiU" w:hAnsi="Times New Roman" w:cs="Times New Roman"/>
          <w:kern w:val="2"/>
          <w:sz w:val="24"/>
          <w:szCs w:val="24"/>
          <w:lang w:eastAsia="zh-TW"/>
        </w:rPr>
      </w:pPr>
    </w:p>
    <w:p w:rsidR="00D64AEF" w:rsidRDefault="00D64AEF" w:rsidP="00830601">
      <w:pPr>
        <w:widowControl w:val="0"/>
        <w:spacing w:after="0" w:line="480" w:lineRule="auto"/>
        <w:jc w:val="both"/>
        <w:rPr>
          <w:rFonts w:ascii="Times New Roman" w:eastAsia="PMingLiU" w:hAnsi="Times New Roman" w:cs="Times New Roman"/>
          <w:kern w:val="2"/>
          <w:sz w:val="24"/>
          <w:szCs w:val="24"/>
          <w:lang w:eastAsia="zh-TW"/>
        </w:rPr>
      </w:pPr>
    </w:p>
    <w:p w:rsidR="0040144F" w:rsidRPr="0040144F" w:rsidRDefault="0040144F" w:rsidP="00830601">
      <w:pPr>
        <w:widowControl w:val="0"/>
        <w:spacing w:after="0" w:line="480" w:lineRule="auto"/>
        <w:jc w:val="both"/>
        <w:rPr>
          <w:rFonts w:ascii="Times New Roman" w:eastAsia="PMingLiU" w:hAnsi="Times New Roman" w:cs="Times New Roman"/>
          <w:b/>
          <w:kern w:val="2"/>
          <w:sz w:val="24"/>
          <w:szCs w:val="24"/>
          <w:lang w:eastAsia="zh-TW"/>
        </w:rPr>
      </w:pPr>
      <w:r w:rsidRPr="0040144F">
        <w:rPr>
          <w:rFonts w:ascii="Times New Roman" w:eastAsia="PMingLiU" w:hAnsi="Times New Roman" w:cs="Times New Roman"/>
          <w:b/>
          <w:kern w:val="2"/>
          <w:sz w:val="24"/>
          <w:szCs w:val="24"/>
          <w:lang w:eastAsia="zh-TW"/>
        </w:rPr>
        <w:t>PERSEMBAHAN</w:t>
      </w:r>
    </w:p>
    <w:p w:rsidR="0040144F" w:rsidRDefault="0040144F" w:rsidP="00830601">
      <w:pPr>
        <w:widowControl w:val="0"/>
        <w:spacing w:after="0" w:line="480" w:lineRule="auto"/>
        <w:jc w:val="both"/>
        <w:rPr>
          <w:rFonts w:ascii="Times New Roman" w:eastAsia="PMingLiU" w:hAnsi="Times New Roman" w:cs="Times New Roman"/>
          <w:kern w:val="2"/>
          <w:sz w:val="24"/>
          <w:szCs w:val="24"/>
          <w:lang w:eastAsia="zh-TW"/>
        </w:rPr>
      </w:pPr>
    </w:p>
    <w:p w:rsidR="0040144F" w:rsidRDefault="0040144F" w:rsidP="00830601">
      <w:pPr>
        <w:widowControl w:val="0"/>
        <w:spacing w:after="0" w:line="48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Karya kecil ini saya persembahkan kepada :</w:t>
      </w:r>
    </w:p>
    <w:p w:rsidR="0040144F" w:rsidRDefault="0040144F" w:rsidP="003D7355">
      <w:pPr>
        <w:pStyle w:val="ListParagraph"/>
        <w:widowControl w:val="0"/>
        <w:numPr>
          <w:ilvl w:val="0"/>
          <w:numId w:val="8"/>
        </w:numPr>
        <w:spacing w:after="0" w:line="48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Bapak Sutikto, S.T dan Ibu Siti Nurhaena, Orang Tua Tercinta</w:t>
      </w:r>
    </w:p>
    <w:p w:rsidR="0040144F" w:rsidRDefault="0040144F" w:rsidP="003D7355">
      <w:pPr>
        <w:pStyle w:val="ListParagraph"/>
        <w:widowControl w:val="0"/>
        <w:numPr>
          <w:ilvl w:val="0"/>
          <w:numId w:val="8"/>
        </w:numPr>
        <w:spacing w:after="0" w:line="48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Emilia Nur Hidayah, Adikku tersayang</w:t>
      </w:r>
    </w:p>
    <w:p w:rsidR="00D64AEF" w:rsidRDefault="00D64AEF" w:rsidP="003D7355">
      <w:pPr>
        <w:pStyle w:val="ListParagraph"/>
        <w:widowControl w:val="0"/>
        <w:numPr>
          <w:ilvl w:val="0"/>
          <w:numId w:val="8"/>
        </w:numPr>
        <w:spacing w:after="0" w:line="48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Sahabat  - sahabatku terkasih</w:t>
      </w:r>
    </w:p>
    <w:p w:rsidR="00D64AEF" w:rsidRDefault="00D64AEF" w:rsidP="003D7355">
      <w:pPr>
        <w:pStyle w:val="ListParagraph"/>
        <w:widowControl w:val="0"/>
        <w:numPr>
          <w:ilvl w:val="0"/>
          <w:numId w:val="8"/>
        </w:numPr>
        <w:spacing w:after="0" w:line="48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Rekan – Rekan MIH UNDIP 2015</w:t>
      </w:r>
    </w:p>
    <w:p w:rsidR="00D64AEF" w:rsidRPr="0040144F" w:rsidRDefault="00D64AEF" w:rsidP="003D7355">
      <w:pPr>
        <w:pStyle w:val="ListParagraph"/>
        <w:widowControl w:val="0"/>
        <w:numPr>
          <w:ilvl w:val="0"/>
          <w:numId w:val="8"/>
        </w:numPr>
        <w:spacing w:after="0" w:line="48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Almamater Universitas Diponegoro Semarang</w:t>
      </w:r>
    </w:p>
    <w:p w:rsidR="0040144F" w:rsidRDefault="0040144F" w:rsidP="00830601">
      <w:pPr>
        <w:widowControl w:val="0"/>
        <w:spacing w:after="0" w:line="480" w:lineRule="auto"/>
        <w:jc w:val="both"/>
        <w:rPr>
          <w:rFonts w:ascii="Times New Roman" w:eastAsia="PMingLiU" w:hAnsi="Times New Roman" w:cs="Times New Roman"/>
          <w:kern w:val="2"/>
          <w:sz w:val="24"/>
          <w:szCs w:val="24"/>
          <w:lang w:eastAsia="zh-TW"/>
        </w:rPr>
      </w:pPr>
    </w:p>
    <w:p w:rsidR="0040144F" w:rsidRDefault="0040144F" w:rsidP="00830601">
      <w:pPr>
        <w:widowControl w:val="0"/>
        <w:spacing w:after="0" w:line="480" w:lineRule="auto"/>
        <w:jc w:val="both"/>
        <w:rPr>
          <w:rFonts w:ascii="Times New Roman" w:eastAsia="PMingLiU" w:hAnsi="Times New Roman" w:cs="Times New Roman"/>
          <w:kern w:val="2"/>
          <w:sz w:val="24"/>
          <w:szCs w:val="24"/>
          <w:lang w:eastAsia="zh-TW"/>
        </w:rPr>
      </w:pPr>
    </w:p>
    <w:p w:rsidR="0040144F" w:rsidRDefault="0040144F" w:rsidP="00830601">
      <w:pPr>
        <w:widowControl w:val="0"/>
        <w:spacing w:after="0" w:line="480" w:lineRule="auto"/>
        <w:jc w:val="both"/>
        <w:rPr>
          <w:rFonts w:ascii="Times New Roman" w:eastAsia="PMingLiU" w:hAnsi="Times New Roman" w:cs="Times New Roman"/>
          <w:kern w:val="2"/>
          <w:sz w:val="24"/>
          <w:szCs w:val="24"/>
          <w:lang w:eastAsia="zh-TW"/>
        </w:rPr>
      </w:pPr>
    </w:p>
    <w:p w:rsidR="0040144F" w:rsidRDefault="0040144F" w:rsidP="00830601">
      <w:pPr>
        <w:widowControl w:val="0"/>
        <w:spacing w:after="0" w:line="480" w:lineRule="auto"/>
        <w:jc w:val="both"/>
        <w:rPr>
          <w:rFonts w:ascii="Times New Roman" w:eastAsia="PMingLiU" w:hAnsi="Times New Roman" w:cs="Times New Roman"/>
          <w:kern w:val="2"/>
          <w:sz w:val="24"/>
          <w:szCs w:val="24"/>
          <w:lang w:eastAsia="zh-TW"/>
        </w:rPr>
      </w:pPr>
    </w:p>
    <w:p w:rsidR="00915C1B" w:rsidRDefault="00915C1B" w:rsidP="00830601">
      <w:pPr>
        <w:widowControl w:val="0"/>
        <w:spacing w:after="0" w:line="480" w:lineRule="auto"/>
        <w:jc w:val="both"/>
        <w:rPr>
          <w:rFonts w:ascii="Times New Roman" w:eastAsia="PMingLiU" w:hAnsi="Times New Roman" w:cs="Times New Roman"/>
          <w:kern w:val="2"/>
          <w:sz w:val="24"/>
          <w:szCs w:val="24"/>
          <w:lang w:eastAsia="zh-TW"/>
        </w:rPr>
      </w:pPr>
    </w:p>
    <w:p w:rsidR="00065000" w:rsidRDefault="00065000" w:rsidP="00830601">
      <w:pPr>
        <w:widowControl w:val="0"/>
        <w:spacing w:after="0" w:line="480" w:lineRule="auto"/>
        <w:jc w:val="both"/>
        <w:rPr>
          <w:rFonts w:ascii="Times New Roman" w:eastAsia="PMingLiU" w:hAnsi="Times New Roman" w:cs="Times New Roman"/>
          <w:kern w:val="2"/>
          <w:sz w:val="24"/>
          <w:szCs w:val="24"/>
          <w:lang w:eastAsia="zh-TW"/>
        </w:rPr>
      </w:pPr>
    </w:p>
    <w:p w:rsidR="00D64AEF" w:rsidRDefault="00D64AEF" w:rsidP="006153E0">
      <w:pPr>
        <w:widowControl w:val="0"/>
        <w:spacing w:after="0" w:line="480" w:lineRule="auto"/>
        <w:jc w:val="center"/>
        <w:rPr>
          <w:rFonts w:ascii="Times New Roman" w:eastAsia="PMingLiU" w:hAnsi="Times New Roman" w:cs="Times New Roman"/>
          <w:kern w:val="2"/>
          <w:sz w:val="24"/>
          <w:szCs w:val="24"/>
          <w:lang w:eastAsia="zh-TW"/>
        </w:rPr>
      </w:pPr>
      <w:r w:rsidRPr="00D64AEF">
        <w:rPr>
          <w:rFonts w:ascii="Times New Roman" w:eastAsia="PMingLiU" w:hAnsi="Times New Roman" w:cs="Times New Roman"/>
          <w:b/>
          <w:kern w:val="2"/>
          <w:sz w:val="24"/>
          <w:szCs w:val="24"/>
          <w:lang w:eastAsia="zh-TW"/>
        </w:rPr>
        <w:lastRenderedPageBreak/>
        <w:t>KATA PENGANTAR</w:t>
      </w:r>
    </w:p>
    <w:p w:rsidR="00D64AEF" w:rsidRDefault="00D64AEF" w:rsidP="006153E0">
      <w:pPr>
        <w:widowControl w:val="0"/>
        <w:spacing w:after="0" w:line="480" w:lineRule="auto"/>
        <w:jc w:val="center"/>
        <w:rPr>
          <w:rFonts w:ascii="Times New Roman" w:eastAsia="PMingLiU" w:hAnsi="Times New Roman" w:cs="Times New Roman"/>
          <w:kern w:val="2"/>
          <w:sz w:val="24"/>
          <w:szCs w:val="24"/>
          <w:lang w:eastAsia="zh-TW"/>
        </w:rPr>
      </w:pPr>
    </w:p>
    <w:p w:rsidR="00D64AEF" w:rsidRPr="00D64AEF" w:rsidRDefault="00D64AEF" w:rsidP="006153E0">
      <w:pPr>
        <w:spacing w:line="480" w:lineRule="auto"/>
        <w:ind w:firstLine="720"/>
        <w:jc w:val="both"/>
        <w:rPr>
          <w:rFonts w:ascii="Times New Roman" w:eastAsia="Calibri" w:hAnsi="Times New Roman" w:cs="Times New Roman"/>
          <w:sz w:val="24"/>
          <w:lang w:val="en-US"/>
        </w:rPr>
      </w:pPr>
      <w:r w:rsidRPr="00D64AEF">
        <w:rPr>
          <w:rFonts w:ascii="Times New Roman" w:eastAsia="Calibri" w:hAnsi="Times New Roman" w:cs="Times New Roman"/>
          <w:sz w:val="24"/>
          <w:lang w:val="en-US"/>
        </w:rPr>
        <w:t xml:space="preserve">Alhamdulillah, puji syukur kehadirat Allah SWT yang telah memberikan rakhmat dan inayahnya sehingga penulis bisa menyelesaikan </w:t>
      </w:r>
      <w:r>
        <w:rPr>
          <w:rFonts w:ascii="Times New Roman" w:eastAsia="Calibri" w:hAnsi="Times New Roman" w:cs="Times New Roman"/>
          <w:sz w:val="24"/>
        </w:rPr>
        <w:t>tesis</w:t>
      </w:r>
      <w:r w:rsidRPr="00D64AEF">
        <w:rPr>
          <w:rFonts w:ascii="Times New Roman" w:eastAsia="Calibri" w:hAnsi="Times New Roman" w:cs="Times New Roman"/>
          <w:sz w:val="24"/>
          <w:lang w:val="en-US"/>
        </w:rPr>
        <w:t xml:space="preserve"> dengan judul : “ANALISIS DAMPAK KEBIJAKAN PEMERINTAH INDONESIA TERHADAP PERSAINGAN PERDAGANGAN JASA DI BIDANG KONSTRUKSI DALAM </w:t>
      </w:r>
      <w:r w:rsidR="00904C8A">
        <w:rPr>
          <w:rFonts w:ascii="Times New Roman" w:eastAsia="Calibri" w:hAnsi="Times New Roman" w:cs="Times New Roman"/>
          <w:sz w:val="24"/>
        </w:rPr>
        <w:t xml:space="preserve">RANGKA </w:t>
      </w:r>
      <w:r w:rsidRPr="00D64AEF">
        <w:rPr>
          <w:rFonts w:ascii="Times New Roman" w:eastAsia="Calibri" w:hAnsi="Times New Roman" w:cs="Times New Roman"/>
          <w:sz w:val="24"/>
          <w:lang w:val="en-US"/>
        </w:rPr>
        <w:t>MASYARAKAT EKONOMI ASEAN”.</w:t>
      </w:r>
    </w:p>
    <w:p w:rsidR="00D64AEF" w:rsidRPr="00D64AEF" w:rsidRDefault="00D64AEF" w:rsidP="006153E0">
      <w:pPr>
        <w:spacing w:line="480" w:lineRule="auto"/>
        <w:ind w:firstLine="720"/>
        <w:jc w:val="both"/>
        <w:rPr>
          <w:rFonts w:ascii="Times New Roman" w:eastAsia="Calibri" w:hAnsi="Times New Roman" w:cs="Times New Roman"/>
          <w:sz w:val="24"/>
          <w:lang w:val="en-US"/>
        </w:rPr>
      </w:pPr>
      <w:r>
        <w:rPr>
          <w:rFonts w:ascii="Times New Roman" w:eastAsia="Calibri" w:hAnsi="Times New Roman" w:cs="Times New Roman"/>
          <w:sz w:val="24"/>
        </w:rPr>
        <w:t>Tesis</w:t>
      </w:r>
      <w:r w:rsidRPr="00D64AEF">
        <w:rPr>
          <w:rFonts w:ascii="Times New Roman" w:eastAsia="Calibri" w:hAnsi="Times New Roman" w:cs="Times New Roman"/>
          <w:sz w:val="24"/>
          <w:lang w:val="en-US"/>
        </w:rPr>
        <w:t xml:space="preserve"> ini dimaksudkan untuk memenuhi salah satu syarat dalam menempuh studi Strata I</w:t>
      </w:r>
      <w:r>
        <w:rPr>
          <w:rFonts w:ascii="Times New Roman" w:eastAsia="Calibri" w:hAnsi="Times New Roman" w:cs="Times New Roman"/>
          <w:sz w:val="24"/>
        </w:rPr>
        <w:t>I</w:t>
      </w:r>
      <w:r w:rsidRPr="00D64AEF">
        <w:rPr>
          <w:rFonts w:ascii="Times New Roman" w:eastAsia="Calibri" w:hAnsi="Times New Roman" w:cs="Times New Roman"/>
          <w:sz w:val="24"/>
          <w:lang w:val="en-US"/>
        </w:rPr>
        <w:t xml:space="preserve"> Universitas </w:t>
      </w:r>
      <w:r>
        <w:rPr>
          <w:rFonts w:ascii="Times New Roman" w:eastAsia="Calibri" w:hAnsi="Times New Roman" w:cs="Times New Roman"/>
          <w:sz w:val="24"/>
        </w:rPr>
        <w:t>Diponegoro</w:t>
      </w:r>
      <w:r w:rsidRPr="00D64AEF">
        <w:rPr>
          <w:rFonts w:ascii="Times New Roman" w:eastAsia="Calibri" w:hAnsi="Times New Roman" w:cs="Times New Roman"/>
          <w:sz w:val="24"/>
          <w:lang w:val="en-US"/>
        </w:rPr>
        <w:t xml:space="preserve"> Semarang untuk memperoleh gelar </w:t>
      </w:r>
      <w:r>
        <w:rPr>
          <w:rFonts w:ascii="Times New Roman" w:eastAsia="Calibri" w:hAnsi="Times New Roman" w:cs="Times New Roman"/>
          <w:sz w:val="24"/>
        </w:rPr>
        <w:t xml:space="preserve">Magister </w:t>
      </w:r>
      <w:r w:rsidRPr="00D64AEF">
        <w:rPr>
          <w:rFonts w:ascii="Times New Roman" w:eastAsia="Calibri" w:hAnsi="Times New Roman" w:cs="Times New Roman"/>
          <w:sz w:val="24"/>
          <w:lang w:val="en-US"/>
        </w:rPr>
        <w:t xml:space="preserve">Hukum, Fakultas Hukum Universitas </w:t>
      </w:r>
      <w:r>
        <w:rPr>
          <w:rFonts w:ascii="Times New Roman" w:eastAsia="Calibri" w:hAnsi="Times New Roman" w:cs="Times New Roman"/>
          <w:sz w:val="24"/>
        </w:rPr>
        <w:t>Diponegoro</w:t>
      </w:r>
      <w:r w:rsidRPr="00D64AEF">
        <w:rPr>
          <w:rFonts w:ascii="Times New Roman" w:eastAsia="Calibri" w:hAnsi="Times New Roman" w:cs="Times New Roman"/>
          <w:sz w:val="24"/>
          <w:lang w:val="en-US"/>
        </w:rPr>
        <w:t xml:space="preserve"> Semarang.</w:t>
      </w:r>
    </w:p>
    <w:p w:rsidR="00D64AEF" w:rsidRDefault="00D64AEF" w:rsidP="006153E0">
      <w:pPr>
        <w:spacing w:line="480" w:lineRule="auto"/>
        <w:ind w:firstLine="720"/>
        <w:jc w:val="both"/>
        <w:rPr>
          <w:rFonts w:ascii="Times New Roman" w:eastAsia="Calibri" w:hAnsi="Times New Roman" w:cs="Times New Roman"/>
          <w:sz w:val="24"/>
          <w:lang w:val="en-US"/>
        </w:rPr>
      </w:pPr>
      <w:r>
        <w:rPr>
          <w:rFonts w:ascii="Times New Roman" w:eastAsia="Calibri" w:hAnsi="Times New Roman" w:cs="Times New Roman"/>
          <w:sz w:val="24"/>
          <w:lang w:val="en-US"/>
        </w:rPr>
        <w:t>Dalam penyelesaian tesis</w:t>
      </w:r>
      <w:r w:rsidRPr="00D64AEF">
        <w:rPr>
          <w:rFonts w:ascii="Times New Roman" w:eastAsia="Calibri" w:hAnsi="Times New Roman" w:cs="Times New Roman"/>
          <w:sz w:val="24"/>
          <w:lang w:val="en-US"/>
        </w:rPr>
        <w:t xml:space="preserve"> ini, penulis menyadari sepenuhnya bahwa </w:t>
      </w:r>
      <w:r>
        <w:rPr>
          <w:rFonts w:ascii="Times New Roman" w:eastAsia="Calibri" w:hAnsi="Times New Roman" w:cs="Times New Roman"/>
          <w:sz w:val="24"/>
        </w:rPr>
        <w:t xml:space="preserve">tesis </w:t>
      </w:r>
      <w:r w:rsidRPr="00D64AEF">
        <w:rPr>
          <w:rFonts w:ascii="Times New Roman" w:eastAsia="Calibri" w:hAnsi="Times New Roman" w:cs="Times New Roman"/>
          <w:sz w:val="24"/>
          <w:lang w:val="en-US"/>
        </w:rPr>
        <w:t>ini tidak terlepas dari bantuan berbagai pihak, untuk itu dalam kesempatan ini  penulis mengucapkan terima kasih kepada</w:t>
      </w:r>
      <w:r>
        <w:rPr>
          <w:rFonts w:ascii="Times New Roman" w:eastAsia="Calibri" w:hAnsi="Times New Roman" w:cs="Times New Roman"/>
          <w:sz w:val="24"/>
        </w:rPr>
        <w:t xml:space="preserve"> </w:t>
      </w:r>
      <w:r w:rsidRPr="00D64AEF">
        <w:rPr>
          <w:rFonts w:ascii="Times New Roman" w:eastAsia="Calibri" w:hAnsi="Times New Roman" w:cs="Times New Roman"/>
          <w:sz w:val="24"/>
          <w:lang w:val="en-US"/>
        </w:rPr>
        <w:t>:</w:t>
      </w:r>
    </w:p>
    <w:p w:rsidR="00D64AEF" w:rsidRDefault="00D64AEF" w:rsidP="003D7355">
      <w:pPr>
        <w:pStyle w:val="ListParagraph"/>
        <w:numPr>
          <w:ilvl w:val="0"/>
          <w:numId w:val="9"/>
        </w:numPr>
        <w:spacing w:line="480" w:lineRule="auto"/>
        <w:jc w:val="both"/>
        <w:rPr>
          <w:rFonts w:ascii="Times New Roman" w:eastAsia="Calibri" w:hAnsi="Times New Roman" w:cs="Times New Roman"/>
          <w:sz w:val="24"/>
        </w:rPr>
      </w:pPr>
      <w:r w:rsidRPr="00D64AEF">
        <w:rPr>
          <w:rFonts w:ascii="Times New Roman" w:eastAsia="Calibri" w:hAnsi="Times New Roman" w:cs="Times New Roman"/>
          <w:sz w:val="24"/>
        </w:rPr>
        <w:t>Prof. Dr. Yos Johan</w:t>
      </w:r>
      <w:r>
        <w:rPr>
          <w:rFonts w:ascii="Times New Roman" w:eastAsia="Calibri" w:hAnsi="Times New Roman" w:cs="Times New Roman"/>
          <w:sz w:val="24"/>
        </w:rPr>
        <w:t xml:space="preserve"> Utama, S</w:t>
      </w:r>
      <w:r w:rsidR="00342774">
        <w:rPr>
          <w:rFonts w:ascii="Times New Roman" w:eastAsia="Calibri" w:hAnsi="Times New Roman" w:cs="Times New Roman"/>
          <w:sz w:val="24"/>
        </w:rPr>
        <w:t>.</w:t>
      </w:r>
      <w:r>
        <w:rPr>
          <w:rFonts w:ascii="Times New Roman" w:eastAsia="Calibri" w:hAnsi="Times New Roman" w:cs="Times New Roman"/>
          <w:sz w:val="24"/>
        </w:rPr>
        <w:t>H.,</w:t>
      </w:r>
      <w:r w:rsidR="00342774">
        <w:rPr>
          <w:rFonts w:ascii="Times New Roman" w:eastAsia="Calibri" w:hAnsi="Times New Roman" w:cs="Times New Roman"/>
          <w:sz w:val="24"/>
        </w:rPr>
        <w:t xml:space="preserve"> </w:t>
      </w:r>
      <w:r>
        <w:rPr>
          <w:rFonts w:ascii="Times New Roman" w:eastAsia="Calibri" w:hAnsi="Times New Roman" w:cs="Times New Roman"/>
          <w:sz w:val="24"/>
        </w:rPr>
        <w:t xml:space="preserve">M.Hum, </w:t>
      </w:r>
      <w:r w:rsidRPr="00D64AEF">
        <w:rPr>
          <w:rFonts w:ascii="Times New Roman" w:eastAsia="Calibri" w:hAnsi="Times New Roman" w:cs="Times New Roman"/>
          <w:sz w:val="24"/>
        </w:rPr>
        <w:t>Rektor Universitas Diponegoro Semarang</w:t>
      </w:r>
      <w:r>
        <w:rPr>
          <w:rFonts w:ascii="Times New Roman" w:eastAsia="Calibri" w:hAnsi="Times New Roman" w:cs="Times New Roman"/>
          <w:sz w:val="24"/>
        </w:rPr>
        <w:t>,</w:t>
      </w:r>
    </w:p>
    <w:p w:rsidR="00D64AEF" w:rsidRDefault="00D64AEF" w:rsidP="003D7355">
      <w:pPr>
        <w:pStyle w:val="ListParagraph"/>
        <w:numPr>
          <w:ilvl w:val="0"/>
          <w:numId w:val="9"/>
        </w:numPr>
        <w:spacing w:line="480" w:lineRule="auto"/>
        <w:jc w:val="both"/>
        <w:rPr>
          <w:rFonts w:ascii="Times New Roman" w:eastAsia="Calibri" w:hAnsi="Times New Roman" w:cs="Times New Roman"/>
          <w:sz w:val="24"/>
        </w:rPr>
      </w:pPr>
      <w:r w:rsidRPr="00D64AEF">
        <w:rPr>
          <w:rFonts w:ascii="Times New Roman" w:eastAsia="Calibri" w:hAnsi="Times New Roman" w:cs="Times New Roman"/>
          <w:sz w:val="24"/>
        </w:rPr>
        <w:t>Prof. Dr. R. B</w:t>
      </w:r>
      <w:r>
        <w:rPr>
          <w:rFonts w:ascii="Times New Roman" w:eastAsia="Calibri" w:hAnsi="Times New Roman" w:cs="Times New Roman"/>
          <w:sz w:val="24"/>
        </w:rPr>
        <w:t xml:space="preserve">enny Riyanto, S.H., M.Hum, C,N, </w:t>
      </w:r>
      <w:r w:rsidRPr="00D64AEF">
        <w:rPr>
          <w:rFonts w:ascii="Times New Roman" w:eastAsia="Calibri" w:hAnsi="Times New Roman" w:cs="Times New Roman"/>
          <w:sz w:val="24"/>
        </w:rPr>
        <w:t>Dekan Fakultas Hukum, Universitas Diponegoro Semarang</w:t>
      </w:r>
      <w:r>
        <w:rPr>
          <w:rFonts w:ascii="Times New Roman" w:eastAsia="Calibri" w:hAnsi="Times New Roman" w:cs="Times New Roman"/>
          <w:sz w:val="24"/>
        </w:rPr>
        <w:t>.</w:t>
      </w:r>
    </w:p>
    <w:p w:rsidR="00D64AEF" w:rsidRDefault="00D64AEF" w:rsidP="003D7355">
      <w:pPr>
        <w:pStyle w:val="ListParagraph"/>
        <w:numPr>
          <w:ilvl w:val="0"/>
          <w:numId w:val="9"/>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Prof. Dr. Suteki, S.H., M.Hum,</w:t>
      </w:r>
      <w:r w:rsidRPr="00D64AEF">
        <w:rPr>
          <w:rFonts w:ascii="Times New Roman" w:eastAsia="Calibri" w:hAnsi="Times New Roman" w:cs="Times New Roman"/>
          <w:sz w:val="24"/>
        </w:rPr>
        <w:t xml:space="preserve"> Ketua Program Magister Ilmu Hukum, Universitas Diponegoro Semarang</w:t>
      </w:r>
      <w:r>
        <w:rPr>
          <w:rFonts w:ascii="Times New Roman" w:eastAsia="Calibri" w:hAnsi="Times New Roman" w:cs="Times New Roman"/>
          <w:sz w:val="24"/>
        </w:rPr>
        <w:t>.</w:t>
      </w:r>
    </w:p>
    <w:p w:rsidR="00D64AEF" w:rsidRDefault="00342774" w:rsidP="003D7355">
      <w:pPr>
        <w:pStyle w:val="ListParagraph"/>
        <w:numPr>
          <w:ilvl w:val="0"/>
          <w:numId w:val="9"/>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 xml:space="preserve">Dr. Kholis Roisah, S.H., M.Hum, </w:t>
      </w:r>
      <w:r w:rsidRPr="00342774">
        <w:rPr>
          <w:rFonts w:ascii="Times New Roman" w:eastAsia="Calibri" w:hAnsi="Times New Roman" w:cs="Times New Roman"/>
          <w:sz w:val="24"/>
        </w:rPr>
        <w:t xml:space="preserve">Dosen Pembimbing yang begitu luar biasa bagi penulis,  senantiasa mendengarkan keluh kesah penulis dan memberikan motivasi, perhatian serta semangat  kepada penulis dalam penyusunan </w:t>
      </w:r>
      <w:r>
        <w:rPr>
          <w:rFonts w:ascii="Times New Roman" w:eastAsia="Calibri" w:hAnsi="Times New Roman" w:cs="Times New Roman"/>
          <w:sz w:val="24"/>
        </w:rPr>
        <w:t>tesis</w:t>
      </w:r>
      <w:r w:rsidRPr="00342774">
        <w:rPr>
          <w:rFonts w:ascii="Times New Roman" w:eastAsia="Calibri" w:hAnsi="Times New Roman" w:cs="Times New Roman"/>
          <w:sz w:val="24"/>
        </w:rPr>
        <w:t xml:space="preserve"> ini.</w:t>
      </w:r>
      <w:r>
        <w:rPr>
          <w:rFonts w:ascii="Times New Roman" w:eastAsia="Calibri" w:hAnsi="Times New Roman" w:cs="Times New Roman"/>
          <w:sz w:val="24"/>
        </w:rPr>
        <w:t xml:space="preserve"> </w:t>
      </w:r>
    </w:p>
    <w:p w:rsidR="00342774" w:rsidRDefault="00342774" w:rsidP="003D7355">
      <w:pPr>
        <w:pStyle w:val="ListParagraph"/>
        <w:numPr>
          <w:ilvl w:val="0"/>
          <w:numId w:val="9"/>
        </w:numPr>
        <w:spacing w:line="480" w:lineRule="auto"/>
        <w:jc w:val="both"/>
        <w:rPr>
          <w:rFonts w:ascii="Times New Roman" w:eastAsia="Calibri" w:hAnsi="Times New Roman" w:cs="Times New Roman"/>
          <w:sz w:val="24"/>
        </w:rPr>
      </w:pPr>
      <w:r w:rsidRPr="00342774">
        <w:rPr>
          <w:rFonts w:ascii="Times New Roman" w:eastAsia="Calibri" w:hAnsi="Times New Roman" w:cs="Times New Roman"/>
          <w:sz w:val="24"/>
        </w:rPr>
        <w:lastRenderedPageBreak/>
        <w:t>Seluruh Dosen</w:t>
      </w:r>
      <w:r>
        <w:rPr>
          <w:rFonts w:ascii="Times New Roman" w:eastAsia="Calibri" w:hAnsi="Times New Roman" w:cs="Times New Roman"/>
          <w:sz w:val="24"/>
        </w:rPr>
        <w:t xml:space="preserve"> dan Staff</w:t>
      </w:r>
      <w:r w:rsidRPr="00342774">
        <w:rPr>
          <w:rFonts w:ascii="Times New Roman" w:eastAsia="Calibri" w:hAnsi="Times New Roman" w:cs="Times New Roman"/>
          <w:sz w:val="24"/>
        </w:rPr>
        <w:t xml:space="preserve"> di Magister Ilmu Hukum Universitas Diponegoro Semarang</w:t>
      </w:r>
      <w:r>
        <w:rPr>
          <w:rFonts w:ascii="Times New Roman" w:eastAsia="Calibri" w:hAnsi="Times New Roman" w:cs="Times New Roman"/>
          <w:sz w:val="24"/>
        </w:rPr>
        <w:t>.</w:t>
      </w:r>
    </w:p>
    <w:p w:rsidR="00342774" w:rsidRDefault="00342774" w:rsidP="003D7355">
      <w:pPr>
        <w:pStyle w:val="ListParagraph"/>
        <w:numPr>
          <w:ilvl w:val="0"/>
          <w:numId w:val="9"/>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 xml:space="preserve">Bapak Bintang Perbowo selaku Ketua Umum </w:t>
      </w:r>
      <w:r w:rsidRPr="00342774">
        <w:rPr>
          <w:rFonts w:ascii="Times New Roman" w:eastAsia="Calibri" w:hAnsi="Times New Roman" w:cs="Times New Roman"/>
          <w:sz w:val="24"/>
        </w:rPr>
        <w:t>Asosiasi Kontraktor Indonesia (AKI)</w:t>
      </w:r>
      <w:r>
        <w:rPr>
          <w:rFonts w:ascii="Times New Roman" w:eastAsia="Calibri" w:hAnsi="Times New Roman" w:cs="Times New Roman"/>
          <w:sz w:val="24"/>
        </w:rPr>
        <w:t xml:space="preserve">, </w:t>
      </w:r>
      <w:r w:rsidRPr="00342774">
        <w:rPr>
          <w:rFonts w:ascii="Times New Roman" w:eastAsia="Calibri" w:hAnsi="Times New Roman" w:cs="Times New Roman"/>
          <w:sz w:val="24"/>
        </w:rPr>
        <w:t>Hariyadi B. Sukamdani</w:t>
      </w:r>
      <w:r>
        <w:rPr>
          <w:rFonts w:ascii="Times New Roman" w:eastAsia="Calibri" w:hAnsi="Times New Roman" w:cs="Times New Roman"/>
          <w:sz w:val="24"/>
        </w:rPr>
        <w:t xml:space="preserve"> selaku </w:t>
      </w:r>
      <w:r w:rsidRPr="00342774">
        <w:rPr>
          <w:rFonts w:ascii="Times New Roman" w:eastAsia="Calibri" w:hAnsi="Times New Roman" w:cs="Times New Roman"/>
          <w:sz w:val="24"/>
        </w:rPr>
        <w:t>Ketua Umum Asos</w:t>
      </w:r>
      <w:r>
        <w:rPr>
          <w:rFonts w:ascii="Times New Roman" w:eastAsia="Calibri" w:hAnsi="Times New Roman" w:cs="Times New Roman"/>
          <w:sz w:val="24"/>
        </w:rPr>
        <w:t>iasi Pengusaha Indonesia (APINDO</w:t>
      </w:r>
      <w:r w:rsidRPr="00342774">
        <w:rPr>
          <w:rFonts w:ascii="Times New Roman" w:eastAsia="Calibri" w:hAnsi="Times New Roman" w:cs="Times New Roman"/>
          <w:sz w:val="24"/>
        </w:rPr>
        <w:t>)</w:t>
      </w:r>
      <w:r>
        <w:rPr>
          <w:rFonts w:ascii="Times New Roman" w:eastAsia="Calibri" w:hAnsi="Times New Roman" w:cs="Times New Roman"/>
          <w:sz w:val="24"/>
        </w:rPr>
        <w:t>,</w:t>
      </w:r>
      <w:r w:rsidRPr="00342774">
        <w:t xml:space="preserve"> </w:t>
      </w:r>
      <w:r w:rsidRPr="00342774">
        <w:rPr>
          <w:rFonts w:ascii="Times New Roman" w:eastAsia="Calibri" w:hAnsi="Times New Roman" w:cs="Times New Roman"/>
          <w:sz w:val="24"/>
        </w:rPr>
        <w:t>Suharsojo</w:t>
      </w:r>
      <w:r>
        <w:rPr>
          <w:rFonts w:ascii="Times New Roman" w:eastAsia="Calibri" w:hAnsi="Times New Roman" w:cs="Times New Roman"/>
          <w:sz w:val="24"/>
        </w:rPr>
        <w:t xml:space="preserve"> selaku </w:t>
      </w:r>
      <w:r w:rsidRPr="00342774">
        <w:rPr>
          <w:rFonts w:ascii="Times New Roman" w:eastAsia="Calibri" w:hAnsi="Times New Roman" w:cs="Times New Roman"/>
          <w:sz w:val="24"/>
        </w:rPr>
        <w:t>Ketua Gabungan Pelaksana Konstruksi  Indonesia</w:t>
      </w:r>
      <w:r>
        <w:rPr>
          <w:rFonts w:ascii="Times New Roman" w:eastAsia="Calibri" w:hAnsi="Times New Roman" w:cs="Times New Roman"/>
          <w:sz w:val="24"/>
        </w:rPr>
        <w:t xml:space="preserve"> (GAPEKSI), </w:t>
      </w:r>
      <w:r w:rsidRPr="00342774">
        <w:rPr>
          <w:rFonts w:ascii="Times New Roman" w:eastAsia="Calibri" w:hAnsi="Times New Roman" w:cs="Times New Roman"/>
          <w:sz w:val="24"/>
        </w:rPr>
        <w:t>Hediyanto W. Husaeni</w:t>
      </w:r>
      <w:r>
        <w:rPr>
          <w:rFonts w:ascii="Times New Roman" w:eastAsia="Calibri" w:hAnsi="Times New Roman" w:cs="Times New Roman"/>
          <w:sz w:val="24"/>
        </w:rPr>
        <w:t xml:space="preserve"> selaku </w:t>
      </w:r>
      <w:r w:rsidRPr="00342774">
        <w:rPr>
          <w:rFonts w:ascii="Times New Roman" w:eastAsia="Calibri" w:hAnsi="Times New Roman" w:cs="Times New Roman"/>
          <w:sz w:val="24"/>
        </w:rPr>
        <w:t>Kepala Badan Pembinaan Konstruksi Kementerian Pekerjaan Umum</w:t>
      </w:r>
      <w:r>
        <w:rPr>
          <w:rFonts w:ascii="Times New Roman" w:eastAsia="Calibri" w:hAnsi="Times New Roman" w:cs="Times New Roman"/>
          <w:sz w:val="24"/>
        </w:rPr>
        <w:t xml:space="preserve">, </w:t>
      </w:r>
      <w:r w:rsidRPr="00342774">
        <w:rPr>
          <w:rFonts w:ascii="Times New Roman" w:eastAsia="Calibri" w:hAnsi="Times New Roman" w:cs="Times New Roman"/>
          <w:sz w:val="24"/>
        </w:rPr>
        <w:t>Lasminingsih, SH, LLM</w:t>
      </w:r>
      <w:r>
        <w:rPr>
          <w:rFonts w:ascii="Times New Roman" w:eastAsia="Calibri" w:hAnsi="Times New Roman" w:cs="Times New Roman"/>
          <w:sz w:val="24"/>
        </w:rPr>
        <w:t xml:space="preserve"> selaku </w:t>
      </w:r>
      <w:r w:rsidRPr="00342774">
        <w:rPr>
          <w:rFonts w:ascii="Times New Roman" w:eastAsia="Calibri" w:hAnsi="Times New Roman" w:cs="Times New Roman"/>
          <w:sz w:val="24"/>
        </w:rPr>
        <w:t>Staf Ahli Bidang Perdagangan Jasa Kementrian</w:t>
      </w:r>
      <w:r>
        <w:rPr>
          <w:rFonts w:ascii="Times New Roman" w:eastAsia="Calibri" w:hAnsi="Times New Roman" w:cs="Times New Roman"/>
          <w:sz w:val="24"/>
        </w:rPr>
        <w:t xml:space="preserve"> Perdagangan Republik Indonesia.</w:t>
      </w:r>
    </w:p>
    <w:p w:rsidR="00342774" w:rsidRDefault="00342774" w:rsidP="003D7355">
      <w:pPr>
        <w:pStyle w:val="ListParagraph"/>
        <w:numPr>
          <w:ilvl w:val="0"/>
          <w:numId w:val="9"/>
        </w:numPr>
        <w:spacing w:line="480" w:lineRule="auto"/>
        <w:jc w:val="both"/>
        <w:rPr>
          <w:rFonts w:ascii="Times New Roman" w:eastAsia="Calibri" w:hAnsi="Times New Roman" w:cs="Times New Roman"/>
          <w:sz w:val="24"/>
        </w:rPr>
      </w:pPr>
      <w:r w:rsidRPr="00342774">
        <w:rPr>
          <w:rFonts w:ascii="Times New Roman" w:eastAsia="Calibri" w:hAnsi="Times New Roman" w:cs="Times New Roman"/>
          <w:sz w:val="24"/>
        </w:rPr>
        <w:t xml:space="preserve">Bapak Sutikto S.T dan Ibu Siti Nurhaena yang penuh cinta mendukung semua keputusan penulis, memberikan doa, semangat kepada penulis. Cinta kasih yang luar biasa dari beliau berdualah yang mengantarkan penulis menyelesaikan pendidikan untuk mencapai gelar </w:t>
      </w:r>
      <w:r>
        <w:rPr>
          <w:rFonts w:ascii="Times New Roman" w:eastAsia="Calibri" w:hAnsi="Times New Roman" w:cs="Times New Roman"/>
          <w:sz w:val="24"/>
        </w:rPr>
        <w:t>Magister Hukum, di Fakultas Hukum</w:t>
      </w:r>
      <w:r w:rsidRPr="00342774">
        <w:rPr>
          <w:rFonts w:ascii="Times New Roman" w:eastAsia="Calibri" w:hAnsi="Times New Roman" w:cs="Times New Roman"/>
          <w:sz w:val="24"/>
        </w:rPr>
        <w:t xml:space="preserve"> Universitas </w:t>
      </w:r>
      <w:r>
        <w:rPr>
          <w:rFonts w:ascii="Times New Roman" w:eastAsia="Calibri" w:hAnsi="Times New Roman" w:cs="Times New Roman"/>
          <w:sz w:val="24"/>
        </w:rPr>
        <w:t xml:space="preserve">Diponegoro </w:t>
      </w:r>
      <w:r w:rsidRPr="00342774">
        <w:rPr>
          <w:rFonts w:ascii="Times New Roman" w:eastAsia="Calibri" w:hAnsi="Times New Roman" w:cs="Times New Roman"/>
          <w:sz w:val="24"/>
        </w:rPr>
        <w:t>Semarang</w:t>
      </w:r>
      <w:r>
        <w:rPr>
          <w:rFonts w:ascii="Times New Roman" w:eastAsia="Calibri" w:hAnsi="Times New Roman" w:cs="Times New Roman"/>
          <w:sz w:val="24"/>
        </w:rPr>
        <w:t>.</w:t>
      </w:r>
    </w:p>
    <w:p w:rsidR="00342774" w:rsidRDefault="00342774" w:rsidP="003D7355">
      <w:pPr>
        <w:pStyle w:val="ListParagraph"/>
        <w:numPr>
          <w:ilvl w:val="0"/>
          <w:numId w:val="9"/>
        </w:numPr>
        <w:spacing w:line="480" w:lineRule="auto"/>
        <w:jc w:val="both"/>
        <w:rPr>
          <w:rFonts w:ascii="Times New Roman" w:eastAsia="Calibri" w:hAnsi="Times New Roman" w:cs="Times New Roman"/>
          <w:sz w:val="24"/>
        </w:rPr>
      </w:pPr>
      <w:r w:rsidRPr="00342774">
        <w:rPr>
          <w:rFonts w:ascii="Times New Roman" w:eastAsia="Calibri" w:hAnsi="Times New Roman" w:cs="Times New Roman"/>
          <w:sz w:val="24"/>
        </w:rPr>
        <w:t>Adik penulis tersayang, Emilia Nur Hidayah yang selalu memberikan semangat dalam setiap canda tawanya yang membawa kegembiraan dalam hidup penulis</w:t>
      </w:r>
      <w:r>
        <w:rPr>
          <w:rFonts w:ascii="Times New Roman" w:eastAsia="Calibri" w:hAnsi="Times New Roman" w:cs="Times New Roman"/>
          <w:sz w:val="24"/>
        </w:rPr>
        <w:t>.</w:t>
      </w:r>
    </w:p>
    <w:p w:rsidR="00342774" w:rsidRPr="00342774" w:rsidRDefault="00342774" w:rsidP="003D7355">
      <w:pPr>
        <w:pStyle w:val="ListParagraph"/>
        <w:numPr>
          <w:ilvl w:val="0"/>
          <w:numId w:val="9"/>
        </w:numPr>
        <w:spacing w:line="480" w:lineRule="auto"/>
        <w:jc w:val="both"/>
        <w:rPr>
          <w:rFonts w:ascii="Times New Roman" w:eastAsia="Calibri" w:hAnsi="Times New Roman" w:cs="Times New Roman"/>
          <w:sz w:val="24"/>
        </w:rPr>
      </w:pPr>
      <w:r w:rsidRPr="00342774">
        <w:rPr>
          <w:rFonts w:ascii="Times New Roman" w:eastAsia="Calibri" w:hAnsi="Times New Roman" w:cs="Times New Roman"/>
          <w:sz w:val="24"/>
        </w:rPr>
        <w:t xml:space="preserve">Sepupu – sepupu penulis tersayang, Veta Meiriani Dewi dan Dea Dairien Nadza, yang dengan perhatian dan dorongan semangat selalu menyemangati penulis sampai </w:t>
      </w:r>
      <w:r>
        <w:rPr>
          <w:rFonts w:ascii="Times New Roman" w:eastAsia="Calibri" w:hAnsi="Times New Roman" w:cs="Times New Roman"/>
          <w:sz w:val="24"/>
        </w:rPr>
        <w:t>tesis</w:t>
      </w:r>
      <w:r w:rsidRPr="00342774">
        <w:rPr>
          <w:rFonts w:ascii="Times New Roman" w:eastAsia="Calibri" w:hAnsi="Times New Roman" w:cs="Times New Roman"/>
          <w:sz w:val="24"/>
        </w:rPr>
        <w:t xml:space="preserve"> ini terselesaikan dengan baik.</w:t>
      </w:r>
    </w:p>
    <w:p w:rsidR="000D22CC" w:rsidRPr="000D22CC" w:rsidRDefault="000D22CC" w:rsidP="000D22CC">
      <w:pPr>
        <w:pStyle w:val="ListParagraph"/>
        <w:numPr>
          <w:ilvl w:val="0"/>
          <w:numId w:val="9"/>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 xml:space="preserve">Sahabat yang selalu memberikan dorongan semangat selama penelitian ini berlangsung, dr. S. Akhsan  </w:t>
      </w:r>
      <w:r w:rsidRPr="00920468">
        <w:rPr>
          <w:rFonts w:ascii="Times New Roman" w:eastAsia="Calibri" w:hAnsi="Times New Roman" w:cs="Times New Roman"/>
          <w:sz w:val="24"/>
        </w:rPr>
        <w:t>Sp.B</w:t>
      </w:r>
    </w:p>
    <w:p w:rsidR="006153E0" w:rsidRDefault="006153E0" w:rsidP="003D7355">
      <w:pPr>
        <w:pStyle w:val="ListParagraph"/>
        <w:numPr>
          <w:ilvl w:val="0"/>
          <w:numId w:val="9"/>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 xml:space="preserve">Teman – Teman konsentrasi Hukum Internasional, MIH UNDIP 2015 angkatan pertama, </w:t>
      </w:r>
      <w:r w:rsidRPr="006153E0">
        <w:rPr>
          <w:rFonts w:ascii="Times New Roman" w:eastAsia="Calibri" w:hAnsi="Times New Roman" w:cs="Times New Roman"/>
          <w:sz w:val="24"/>
        </w:rPr>
        <w:t>Arin, Yezia, Dani, bang Vano</w:t>
      </w:r>
      <w:r>
        <w:rPr>
          <w:rFonts w:ascii="Times New Roman" w:eastAsia="Calibri" w:hAnsi="Times New Roman" w:cs="Times New Roman"/>
          <w:sz w:val="24"/>
        </w:rPr>
        <w:t>.</w:t>
      </w:r>
    </w:p>
    <w:p w:rsidR="000D22CC" w:rsidRDefault="000D22CC" w:rsidP="003D7355">
      <w:pPr>
        <w:pStyle w:val="ListParagraph"/>
        <w:numPr>
          <w:ilvl w:val="0"/>
          <w:numId w:val="9"/>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Sahabat yang memberikan banyak dukungan moril selama penulisan </w:t>
      </w:r>
      <w:bookmarkStart w:id="0" w:name="_GoBack"/>
      <w:bookmarkEnd w:id="0"/>
      <w:r>
        <w:rPr>
          <w:rFonts w:ascii="Times New Roman" w:eastAsia="Calibri" w:hAnsi="Times New Roman" w:cs="Times New Roman"/>
          <w:sz w:val="24"/>
        </w:rPr>
        <w:t xml:space="preserve">tesis ini, Jhoni, Al, Nilam, Lala, Diyan. </w:t>
      </w:r>
    </w:p>
    <w:p w:rsidR="000D22CC" w:rsidRPr="000D22CC" w:rsidRDefault="000D22CC" w:rsidP="000D22CC">
      <w:pPr>
        <w:pStyle w:val="ListParagraph"/>
        <w:numPr>
          <w:ilvl w:val="0"/>
          <w:numId w:val="9"/>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Grup “ibuk – ibuk rumpi” yang selama 2 tahun terakhir ini telah membuat begitu banyak kenangan bersama, Mbek Lisma, Mba Syarah, Sabrina, Sekar, Ayu, Shita, Anggita.</w:t>
      </w:r>
    </w:p>
    <w:p w:rsidR="00342774" w:rsidRDefault="006153E0" w:rsidP="003D7355">
      <w:pPr>
        <w:pStyle w:val="ListParagraph"/>
        <w:numPr>
          <w:ilvl w:val="0"/>
          <w:numId w:val="9"/>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Keluarga besar Himpunan Mahasiswa Pascasarjana Universitas Diponegoro Semarang.</w:t>
      </w:r>
    </w:p>
    <w:p w:rsidR="006153E0" w:rsidRDefault="006153E0" w:rsidP="003D7355">
      <w:pPr>
        <w:pStyle w:val="ListParagraph"/>
        <w:numPr>
          <w:ilvl w:val="0"/>
          <w:numId w:val="9"/>
        </w:numPr>
        <w:spacing w:line="480" w:lineRule="auto"/>
        <w:jc w:val="both"/>
        <w:rPr>
          <w:rFonts w:ascii="Times New Roman" w:eastAsia="Calibri" w:hAnsi="Times New Roman" w:cs="Times New Roman"/>
          <w:sz w:val="24"/>
        </w:rPr>
      </w:pPr>
      <w:r>
        <w:rPr>
          <w:rFonts w:ascii="Times New Roman" w:eastAsia="Calibri" w:hAnsi="Times New Roman" w:cs="Times New Roman"/>
          <w:sz w:val="24"/>
        </w:rPr>
        <w:t>Keluarga besar Ikatan Mahasiswa  Magister Ilmu Hukum Universitas Diponegoro Semarang.</w:t>
      </w:r>
    </w:p>
    <w:p w:rsidR="006153E0" w:rsidRDefault="006153E0" w:rsidP="006153E0">
      <w:pPr>
        <w:spacing w:line="480" w:lineRule="auto"/>
        <w:jc w:val="both"/>
        <w:rPr>
          <w:rFonts w:ascii="Times New Roman" w:eastAsia="Calibri" w:hAnsi="Times New Roman" w:cs="Times New Roman"/>
          <w:sz w:val="24"/>
        </w:rPr>
      </w:pPr>
    </w:p>
    <w:p w:rsidR="006153E0" w:rsidRDefault="006153E0" w:rsidP="006153E0">
      <w:pPr>
        <w:spacing w:line="480" w:lineRule="auto"/>
        <w:jc w:val="both"/>
        <w:rPr>
          <w:rFonts w:ascii="Times New Roman" w:eastAsia="Calibri" w:hAnsi="Times New Roman" w:cs="Times New Roman"/>
          <w:sz w:val="24"/>
        </w:rPr>
      </w:pPr>
    </w:p>
    <w:p w:rsidR="006153E0" w:rsidRDefault="00A838EF" w:rsidP="00A838EF">
      <w:pPr>
        <w:spacing w:line="480" w:lineRule="auto"/>
        <w:ind w:left="4320" w:firstLine="720"/>
        <w:jc w:val="both"/>
        <w:rPr>
          <w:rFonts w:ascii="Times New Roman" w:eastAsia="Calibri" w:hAnsi="Times New Roman" w:cs="Times New Roman"/>
          <w:sz w:val="24"/>
        </w:rPr>
      </w:pPr>
      <w:r>
        <w:rPr>
          <w:rFonts w:ascii="Times New Roman" w:eastAsia="Calibri" w:hAnsi="Times New Roman" w:cs="Times New Roman"/>
          <w:sz w:val="24"/>
        </w:rPr>
        <w:t xml:space="preserve">Semarang,    Maret   </w:t>
      </w:r>
      <w:r w:rsidR="006153E0">
        <w:rPr>
          <w:rFonts w:ascii="Times New Roman" w:eastAsia="Calibri" w:hAnsi="Times New Roman" w:cs="Times New Roman"/>
          <w:sz w:val="24"/>
        </w:rPr>
        <w:t>2017</w:t>
      </w:r>
    </w:p>
    <w:p w:rsidR="006153E0" w:rsidRDefault="006153E0" w:rsidP="006153E0">
      <w:pPr>
        <w:spacing w:line="480" w:lineRule="auto"/>
        <w:ind w:left="5040" w:firstLine="720"/>
        <w:jc w:val="both"/>
        <w:rPr>
          <w:rFonts w:ascii="Times New Roman" w:eastAsia="Calibri" w:hAnsi="Times New Roman" w:cs="Times New Roman"/>
          <w:sz w:val="24"/>
        </w:rPr>
      </w:pPr>
      <w:r>
        <w:rPr>
          <w:rFonts w:ascii="Times New Roman" w:eastAsia="Calibri" w:hAnsi="Times New Roman" w:cs="Times New Roman"/>
          <w:sz w:val="24"/>
        </w:rPr>
        <w:t>Penulis</w:t>
      </w:r>
    </w:p>
    <w:p w:rsidR="006153E0" w:rsidRDefault="006153E0" w:rsidP="006153E0">
      <w:pPr>
        <w:spacing w:line="480" w:lineRule="auto"/>
        <w:jc w:val="both"/>
        <w:rPr>
          <w:rFonts w:ascii="Times New Roman" w:eastAsia="Calibri" w:hAnsi="Times New Roman" w:cs="Times New Roman"/>
          <w:sz w:val="24"/>
        </w:rPr>
      </w:pPr>
    </w:p>
    <w:p w:rsidR="006153E0" w:rsidRDefault="006153E0" w:rsidP="006153E0">
      <w:pPr>
        <w:spacing w:line="480" w:lineRule="auto"/>
        <w:jc w:val="both"/>
        <w:rPr>
          <w:rFonts w:ascii="Times New Roman" w:eastAsia="Calibri" w:hAnsi="Times New Roman" w:cs="Times New Roman"/>
          <w:sz w:val="24"/>
        </w:rPr>
      </w:pPr>
    </w:p>
    <w:p w:rsidR="006153E0" w:rsidRDefault="006153E0" w:rsidP="006153E0">
      <w:pPr>
        <w:spacing w:line="480" w:lineRule="auto"/>
        <w:ind w:left="5040" w:firstLine="720"/>
        <w:jc w:val="both"/>
        <w:rPr>
          <w:rFonts w:ascii="Times New Roman" w:eastAsia="Calibri" w:hAnsi="Times New Roman" w:cs="Times New Roman"/>
          <w:sz w:val="24"/>
        </w:rPr>
      </w:pPr>
      <w:r>
        <w:rPr>
          <w:rFonts w:ascii="Times New Roman" w:eastAsia="Calibri" w:hAnsi="Times New Roman" w:cs="Times New Roman"/>
          <w:sz w:val="24"/>
        </w:rPr>
        <w:t>Farida Nur Hidayah</w:t>
      </w:r>
    </w:p>
    <w:p w:rsidR="006153E0" w:rsidRDefault="006153E0" w:rsidP="006153E0">
      <w:pPr>
        <w:spacing w:line="480" w:lineRule="auto"/>
        <w:ind w:left="5040" w:firstLine="720"/>
        <w:jc w:val="both"/>
        <w:rPr>
          <w:rFonts w:ascii="Times New Roman" w:eastAsia="Calibri" w:hAnsi="Times New Roman" w:cs="Times New Roman"/>
          <w:sz w:val="24"/>
        </w:rPr>
      </w:pPr>
    </w:p>
    <w:p w:rsidR="006153E0" w:rsidRDefault="006153E0" w:rsidP="006153E0">
      <w:pPr>
        <w:spacing w:line="480" w:lineRule="auto"/>
        <w:ind w:left="4320" w:firstLine="720"/>
        <w:jc w:val="both"/>
        <w:rPr>
          <w:rFonts w:ascii="Times New Roman" w:eastAsia="Calibri" w:hAnsi="Times New Roman" w:cs="Times New Roman"/>
          <w:sz w:val="24"/>
        </w:rPr>
      </w:pPr>
    </w:p>
    <w:p w:rsidR="00915C1B" w:rsidRDefault="006153E0" w:rsidP="006153E0">
      <w:pPr>
        <w:spacing w:line="480" w:lineRule="auto"/>
        <w:jc w:val="both"/>
        <w:rPr>
          <w:rFonts w:ascii="Times New Roman" w:eastAsia="Calibri" w:hAnsi="Times New Roman" w:cs="Times New Roman"/>
          <w:sz w:val="24"/>
        </w:rPr>
      </w:pP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p>
    <w:p w:rsidR="000D22CC" w:rsidRPr="006153E0" w:rsidRDefault="000D22CC" w:rsidP="006153E0">
      <w:pPr>
        <w:spacing w:line="480" w:lineRule="auto"/>
        <w:jc w:val="both"/>
        <w:rPr>
          <w:rFonts w:ascii="Times New Roman" w:eastAsia="Calibri" w:hAnsi="Times New Roman" w:cs="Times New Roman"/>
          <w:sz w:val="24"/>
        </w:rPr>
      </w:pPr>
    </w:p>
    <w:p w:rsidR="00F768F2" w:rsidRDefault="00F768F2" w:rsidP="00E06662">
      <w:pPr>
        <w:widowControl w:val="0"/>
        <w:spacing w:after="0"/>
        <w:jc w:val="center"/>
        <w:rPr>
          <w:rFonts w:ascii="Times New Roman" w:eastAsia="PMingLiU" w:hAnsi="Times New Roman" w:cs="Times New Roman"/>
          <w:b/>
          <w:kern w:val="2"/>
          <w:sz w:val="24"/>
          <w:szCs w:val="24"/>
          <w:lang w:eastAsia="zh-TW"/>
        </w:rPr>
      </w:pPr>
      <w:r w:rsidRPr="00F768F2">
        <w:rPr>
          <w:rFonts w:ascii="Times New Roman" w:eastAsia="PMingLiU" w:hAnsi="Times New Roman" w:cs="Times New Roman"/>
          <w:b/>
          <w:kern w:val="2"/>
          <w:sz w:val="24"/>
          <w:szCs w:val="24"/>
          <w:lang w:eastAsia="zh-TW"/>
        </w:rPr>
        <w:lastRenderedPageBreak/>
        <w:t>ABSTRAK</w:t>
      </w:r>
    </w:p>
    <w:p w:rsidR="00F768F2" w:rsidRDefault="00F768F2" w:rsidP="00A838EF">
      <w:pPr>
        <w:widowControl w:val="0"/>
        <w:spacing w:after="0" w:line="240" w:lineRule="auto"/>
        <w:jc w:val="both"/>
        <w:rPr>
          <w:rFonts w:ascii="Times New Roman" w:eastAsia="PMingLiU" w:hAnsi="Times New Roman" w:cs="Times New Roman"/>
          <w:b/>
          <w:kern w:val="2"/>
          <w:sz w:val="24"/>
          <w:szCs w:val="24"/>
          <w:lang w:eastAsia="zh-TW"/>
        </w:rPr>
      </w:pPr>
    </w:p>
    <w:p w:rsidR="00065000" w:rsidRPr="00065000" w:rsidRDefault="00065000" w:rsidP="00065000">
      <w:pPr>
        <w:widowControl w:val="0"/>
        <w:spacing w:after="0" w:line="240" w:lineRule="auto"/>
        <w:ind w:firstLine="720"/>
        <w:jc w:val="both"/>
        <w:rPr>
          <w:rFonts w:ascii="Times New Roman" w:eastAsia="Calibri" w:hAnsi="Times New Roman" w:cs="Times New Roman"/>
          <w:sz w:val="24"/>
          <w:szCs w:val="24"/>
        </w:rPr>
      </w:pPr>
      <w:r w:rsidRPr="00065000">
        <w:rPr>
          <w:rFonts w:ascii="Times New Roman" w:eastAsia="Calibri" w:hAnsi="Times New Roman" w:cs="Times New Roman"/>
          <w:sz w:val="24"/>
          <w:szCs w:val="24"/>
        </w:rPr>
        <w:t>Di tahun 2016 dimulainya persaingan pasar bebas (MEA) di  bidang jasa konstruk</w:t>
      </w:r>
      <w:r w:rsidR="00967E1A">
        <w:rPr>
          <w:rFonts w:ascii="Times New Roman" w:eastAsia="Calibri" w:hAnsi="Times New Roman" w:cs="Times New Roman"/>
          <w:sz w:val="24"/>
          <w:szCs w:val="24"/>
        </w:rPr>
        <w:t>si, pengusaha konstruksi asing i</w:t>
      </w:r>
      <w:r w:rsidRPr="00065000">
        <w:rPr>
          <w:rFonts w:ascii="Times New Roman" w:eastAsia="Calibri" w:hAnsi="Times New Roman" w:cs="Times New Roman"/>
          <w:sz w:val="24"/>
          <w:szCs w:val="24"/>
        </w:rPr>
        <w:t xml:space="preserve">kut bersaing di pasar konstruksi dalam negeri. Persaingan perdagangan jasa konstruksi yang kompetitif antar negara di ASEAN memicu adanya kesenjangan di bawah penguasaan pasar jasa konstruksi oleh negara anggota ASEAN yang mempunyai kualitas yang lebih baik daripada negara anggota lainnya. Penelitian ini bertujuan untuk menganalisis bagaimana dampak kebijakan pemerintah Indonesia terhadap persaingan perdagangan jasa di bidang konstruksi dalam rangka masyarakat ekonomi ASEAN, dan bagaimana perbadingan persaingan perdagangan jasa di bidang konstruksi antara  Indonesia dengan negara anggota ASEAN lainnya dalam rangka masyarakat ekonomi ASEAN. </w:t>
      </w:r>
    </w:p>
    <w:p w:rsidR="00065000" w:rsidRPr="00065000" w:rsidRDefault="00065000" w:rsidP="00065000">
      <w:pPr>
        <w:widowControl w:val="0"/>
        <w:spacing w:after="0" w:line="240" w:lineRule="auto"/>
        <w:ind w:firstLine="720"/>
        <w:jc w:val="both"/>
        <w:rPr>
          <w:rFonts w:ascii="Times New Roman" w:eastAsia="Calibri" w:hAnsi="Times New Roman" w:cs="Times New Roman"/>
          <w:sz w:val="24"/>
          <w:szCs w:val="24"/>
        </w:rPr>
      </w:pPr>
      <w:r w:rsidRPr="00065000">
        <w:rPr>
          <w:rFonts w:ascii="Times New Roman" w:eastAsia="Calibri" w:hAnsi="Times New Roman" w:cs="Times New Roman"/>
          <w:sz w:val="24"/>
          <w:szCs w:val="24"/>
        </w:rPr>
        <w:t>Metode yang digunakan dalam penelitian adalah metode yuridis empiris, dengan spesifikasi penelitian deskriptif - analitis, jenis data yang digunakan adalah data primer dan data sekunder. Metode analisis data yang digunakan bersifat kualitatif. Orisinalitas</w:t>
      </w:r>
      <w:r w:rsidR="000D22CC">
        <w:rPr>
          <w:rFonts w:ascii="Times New Roman" w:eastAsia="Calibri" w:hAnsi="Times New Roman" w:cs="Times New Roman"/>
          <w:sz w:val="24"/>
          <w:szCs w:val="24"/>
        </w:rPr>
        <w:t xml:space="preserve"> penelitian dalam</w:t>
      </w:r>
      <w:r w:rsidRPr="00065000">
        <w:rPr>
          <w:rFonts w:ascii="Times New Roman" w:eastAsia="Calibri" w:hAnsi="Times New Roman" w:cs="Times New Roman"/>
          <w:sz w:val="24"/>
          <w:szCs w:val="24"/>
        </w:rPr>
        <w:t xml:space="preserve"> penelitian </w:t>
      </w:r>
      <w:r w:rsidR="00967E1A">
        <w:rPr>
          <w:rFonts w:ascii="Times New Roman" w:eastAsia="Calibri" w:hAnsi="Times New Roman" w:cs="Times New Roman"/>
          <w:sz w:val="24"/>
          <w:szCs w:val="24"/>
        </w:rPr>
        <w:t xml:space="preserve">ini </w:t>
      </w:r>
      <w:r w:rsidRPr="00065000">
        <w:rPr>
          <w:rFonts w:ascii="Times New Roman" w:eastAsia="Calibri" w:hAnsi="Times New Roman" w:cs="Times New Roman"/>
          <w:sz w:val="24"/>
          <w:szCs w:val="24"/>
        </w:rPr>
        <w:t>adalah melanjutkan dua penelitian terdahulu.</w:t>
      </w:r>
    </w:p>
    <w:p w:rsidR="00065000" w:rsidRPr="00065000" w:rsidRDefault="00065000" w:rsidP="00065000">
      <w:pPr>
        <w:widowControl w:val="0"/>
        <w:spacing w:after="0" w:line="240" w:lineRule="auto"/>
        <w:ind w:firstLine="720"/>
        <w:jc w:val="both"/>
        <w:rPr>
          <w:rFonts w:ascii="Times New Roman" w:eastAsia="Calibri" w:hAnsi="Times New Roman" w:cs="Times New Roman"/>
          <w:sz w:val="24"/>
          <w:szCs w:val="24"/>
        </w:rPr>
      </w:pPr>
      <w:r w:rsidRPr="00065000">
        <w:rPr>
          <w:rFonts w:ascii="Times New Roman" w:eastAsia="Calibri" w:hAnsi="Times New Roman" w:cs="Times New Roman"/>
          <w:sz w:val="24"/>
          <w:szCs w:val="24"/>
        </w:rPr>
        <w:t>Hasil penelitian dan pembahasan tesis ini adalah kebijakan persaingan perdagangan jasa di bidang konstruksi dilakukan dengan meningkatkan sumber daya konstruksi nasional yang mempunyai daya saing berkualitas dalam perdagangan jasa konstruksi di era MEA melalui undang - undang yang berkaitan dengan jasa konstruksi, perdagangan, kepemilikan penanaman modal, keinsinyuran.Pembatasan kepemilikan modal dari pemerintah Indonesia mendorong minat investor yang rendah untuk  berinvestasi di Indonesia, dengan hambatan kualitas SDM Indonesia yang belum mampu bersaing dengan negara yang memiliki daya saing SDM yang baik. Perbandingan daya saing kemudahan berbisnis di bidang jasa konstruksi antara Indonesia dan negara anggota ASEAN lainnya saat ini Indonesia berada di peringkat Ke 7 dari 10 negara ASEAN. Perbandingan  investasi dan tenaga kerja masih dikuasai oleh Singapura.</w:t>
      </w:r>
    </w:p>
    <w:p w:rsidR="00065000" w:rsidRDefault="00065000" w:rsidP="00065000">
      <w:pPr>
        <w:widowControl w:val="0"/>
        <w:spacing w:after="0" w:line="240" w:lineRule="auto"/>
        <w:ind w:firstLine="720"/>
        <w:jc w:val="both"/>
        <w:rPr>
          <w:rFonts w:ascii="Times New Roman" w:eastAsia="Calibri" w:hAnsi="Times New Roman" w:cs="Times New Roman"/>
          <w:sz w:val="24"/>
          <w:szCs w:val="24"/>
        </w:rPr>
      </w:pPr>
      <w:r w:rsidRPr="00065000">
        <w:rPr>
          <w:rFonts w:ascii="Times New Roman" w:eastAsia="Calibri" w:hAnsi="Times New Roman" w:cs="Times New Roman"/>
          <w:sz w:val="24"/>
          <w:szCs w:val="24"/>
        </w:rPr>
        <w:t>Kesimpulan dari penelitian ini adalah dampak kebijakan pemerintah Indonesia dalam persaingan perdagangan jasa di sektor konstruksi di era  MEA lebih banyak dampak negatif, setelah satu tahun era MEA berlangsung. Saran penulis adalah pemerintah Indonesia diharapkan  melakukan evaluasi dan perbaikan terhadap jasa konstruksi nasional agar menjadi lebih baik lagi dari waktu ke waktu.</w:t>
      </w:r>
    </w:p>
    <w:p w:rsidR="00065000" w:rsidRPr="00065000" w:rsidRDefault="00065000" w:rsidP="00065000">
      <w:pPr>
        <w:widowControl w:val="0"/>
        <w:spacing w:after="0" w:line="240" w:lineRule="auto"/>
        <w:ind w:firstLine="720"/>
        <w:jc w:val="both"/>
        <w:rPr>
          <w:rFonts w:ascii="Times New Roman" w:eastAsia="Calibri" w:hAnsi="Times New Roman" w:cs="Times New Roman"/>
          <w:sz w:val="24"/>
          <w:szCs w:val="24"/>
        </w:rPr>
      </w:pPr>
    </w:p>
    <w:p w:rsidR="00065000" w:rsidRPr="00065000" w:rsidRDefault="00065000" w:rsidP="00065000">
      <w:pPr>
        <w:widowControl w:val="0"/>
        <w:spacing w:after="0" w:line="240" w:lineRule="auto"/>
        <w:jc w:val="both"/>
        <w:rPr>
          <w:rFonts w:ascii="Times New Roman" w:eastAsia="Calibri" w:hAnsi="Times New Roman" w:cs="Times New Roman"/>
          <w:sz w:val="24"/>
          <w:szCs w:val="24"/>
        </w:rPr>
      </w:pPr>
    </w:p>
    <w:p w:rsidR="00A838EF" w:rsidRPr="00065000" w:rsidRDefault="00065000" w:rsidP="00065000">
      <w:pPr>
        <w:widowControl w:val="0"/>
        <w:spacing w:after="0" w:line="240" w:lineRule="auto"/>
        <w:jc w:val="both"/>
        <w:rPr>
          <w:rFonts w:ascii="Times New Roman" w:eastAsia="PMingLiU" w:hAnsi="Times New Roman" w:cs="Times New Roman"/>
          <w:b/>
          <w:kern w:val="2"/>
          <w:sz w:val="24"/>
          <w:szCs w:val="24"/>
          <w:lang w:eastAsia="zh-TW"/>
        </w:rPr>
      </w:pPr>
      <w:r w:rsidRPr="00065000">
        <w:rPr>
          <w:rFonts w:ascii="Times New Roman" w:eastAsia="Calibri" w:hAnsi="Times New Roman" w:cs="Times New Roman"/>
          <w:b/>
          <w:sz w:val="24"/>
          <w:szCs w:val="24"/>
        </w:rPr>
        <w:t>Kata Kunci: Dampak, Kebijakan Persaingan Perdagangan, Jasa Konstruksi, MEA</w:t>
      </w:r>
    </w:p>
    <w:p w:rsidR="00B17AA9" w:rsidRDefault="00B17AA9" w:rsidP="00A41DC4">
      <w:pPr>
        <w:widowControl w:val="0"/>
        <w:spacing w:after="0" w:line="240" w:lineRule="auto"/>
        <w:jc w:val="center"/>
        <w:rPr>
          <w:rFonts w:ascii="Times New Roman" w:eastAsia="PMingLiU" w:hAnsi="Times New Roman" w:cs="Times New Roman"/>
          <w:b/>
          <w:kern w:val="2"/>
          <w:sz w:val="24"/>
          <w:szCs w:val="24"/>
          <w:lang w:eastAsia="zh-TW"/>
        </w:rPr>
      </w:pPr>
    </w:p>
    <w:p w:rsidR="00FD02EA" w:rsidRDefault="00FD02EA" w:rsidP="00A41DC4">
      <w:pPr>
        <w:widowControl w:val="0"/>
        <w:spacing w:after="0" w:line="240" w:lineRule="auto"/>
        <w:jc w:val="center"/>
        <w:rPr>
          <w:rFonts w:ascii="Times New Roman" w:eastAsia="PMingLiU" w:hAnsi="Times New Roman" w:cs="Times New Roman"/>
          <w:b/>
          <w:kern w:val="2"/>
          <w:sz w:val="24"/>
          <w:szCs w:val="24"/>
          <w:lang w:eastAsia="zh-TW"/>
        </w:rPr>
      </w:pPr>
    </w:p>
    <w:p w:rsidR="00FD02EA" w:rsidRDefault="00FD02EA" w:rsidP="00A41DC4">
      <w:pPr>
        <w:widowControl w:val="0"/>
        <w:spacing w:after="0" w:line="240" w:lineRule="auto"/>
        <w:jc w:val="center"/>
        <w:rPr>
          <w:rFonts w:ascii="Times New Roman" w:eastAsia="PMingLiU" w:hAnsi="Times New Roman" w:cs="Times New Roman"/>
          <w:b/>
          <w:kern w:val="2"/>
          <w:sz w:val="24"/>
          <w:szCs w:val="24"/>
          <w:lang w:eastAsia="zh-TW"/>
        </w:rPr>
      </w:pPr>
    </w:p>
    <w:p w:rsidR="00FD02EA" w:rsidRDefault="00FD02EA" w:rsidP="00A41DC4">
      <w:pPr>
        <w:widowControl w:val="0"/>
        <w:spacing w:after="0" w:line="240" w:lineRule="auto"/>
        <w:jc w:val="center"/>
        <w:rPr>
          <w:rFonts w:ascii="Times New Roman" w:eastAsia="PMingLiU" w:hAnsi="Times New Roman" w:cs="Times New Roman"/>
          <w:b/>
          <w:kern w:val="2"/>
          <w:sz w:val="24"/>
          <w:szCs w:val="24"/>
          <w:lang w:eastAsia="zh-TW"/>
        </w:rPr>
      </w:pPr>
    </w:p>
    <w:p w:rsidR="00065000" w:rsidRDefault="00065000" w:rsidP="00A41DC4">
      <w:pPr>
        <w:widowControl w:val="0"/>
        <w:spacing w:after="0" w:line="240" w:lineRule="auto"/>
        <w:jc w:val="center"/>
        <w:rPr>
          <w:rFonts w:ascii="Times New Roman" w:eastAsia="PMingLiU" w:hAnsi="Times New Roman" w:cs="Times New Roman"/>
          <w:b/>
          <w:kern w:val="2"/>
          <w:sz w:val="24"/>
          <w:szCs w:val="24"/>
          <w:lang w:eastAsia="zh-TW"/>
        </w:rPr>
      </w:pPr>
    </w:p>
    <w:p w:rsidR="00065000" w:rsidRDefault="00065000" w:rsidP="00A41DC4">
      <w:pPr>
        <w:widowControl w:val="0"/>
        <w:spacing w:after="0" w:line="240" w:lineRule="auto"/>
        <w:jc w:val="center"/>
        <w:rPr>
          <w:rFonts w:ascii="Times New Roman" w:eastAsia="PMingLiU" w:hAnsi="Times New Roman" w:cs="Times New Roman"/>
          <w:b/>
          <w:kern w:val="2"/>
          <w:sz w:val="24"/>
          <w:szCs w:val="24"/>
          <w:lang w:eastAsia="zh-TW"/>
        </w:rPr>
      </w:pPr>
    </w:p>
    <w:p w:rsidR="00065000" w:rsidRDefault="00065000" w:rsidP="00A41DC4">
      <w:pPr>
        <w:widowControl w:val="0"/>
        <w:spacing w:after="0" w:line="240" w:lineRule="auto"/>
        <w:jc w:val="center"/>
        <w:rPr>
          <w:rFonts w:ascii="Times New Roman" w:eastAsia="PMingLiU" w:hAnsi="Times New Roman" w:cs="Times New Roman"/>
          <w:b/>
          <w:kern w:val="2"/>
          <w:sz w:val="24"/>
          <w:szCs w:val="24"/>
          <w:lang w:eastAsia="zh-TW"/>
        </w:rPr>
      </w:pPr>
    </w:p>
    <w:p w:rsidR="000D22CC" w:rsidRDefault="000D22CC" w:rsidP="00A41DC4">
      <w:pPr>
        <w:widowControl w:val="0"/>
        <w:spacing w:after="0" w:line="240" w:lineRule="auto"/>
        <w:jc w:val="center"/>
        <w:rPr>
          <w:rFonts w:ascii="Times New Roman" w:eastAsia="PMingLiU" w:hAnsi="Times New Roman" w:cs="Times New Roman"/>
          <w:b/>
          <w:kern w:val="2"/>
          <w:sz w:val="24"/>
          <w:szCs w:val="24"/>
          <w:lang w:eastAsia="zh-TW"/>
        </w:rPr>
      </w:pPr>
    </w:p>
    <w:p w:rsidR="00915C1B" w:rsidRDefault="00915C1B" w:rsidP="00A41DC4">
      <w:pPr>
        <w:widowControl w:val="0"/>
        <w:spacing w:after="0" w:line="240" w:lineRule="auto"/>
        <w:jc w:val="center"/>
        <w:rPr>
          <w:rFonts w:ascii="Times New Roman" w:eastAsia="PMingLiU" w:hAnsi="Times New Roman" w:cs="Times New Roman"/>
          <w:b/>
          <w:kern w:val="2"/>
          <w:sz w:val="24"/>
          <w:szCs w:val="24"/>
          <w:lang w:eastAsia="zh-TW"/>
        </w:rPr>
      </w:pPr>
    </w:p>
    <w:p w:rsidR="00A41DC4" w:rsidRDefault="00A41DC4" w:rsidP="00A41DC4">
      <w:pPr>
        <w:widowControl w:val="0"/>
        <w:spacing w:after="0" w:line="240" w:lineRule="auto"/>
        <w:jc w:val="center"/>
        <w:rPr>
          <w:rFonts w:ascii="Times New Roman" w:eastAsia="PMingLiU" w:hAnsi="Times New Roman" w:cs="Times New Roman"/>
          <w:b/>
          <w:kern w:val="2"/>
          <w:sz w:val="24"/>
          <w:szCs w:val="24"/>
          <w:lang w:eastAsia="zh-TW"/>
        </w:rPr>
      </w:pPr>
      <w:r>
        <w:rPr>
          <w:rFonts w:ascii="Times New Roman" w:eastAsia="PMingLiU" w:hAnsi="Times New Roman" w:cs="Times New Roman"/>
          <w:b/>
          <w:kern w:val="2"/>
          <w:sz w:val="24"/>
          <w:szCs w:val="24"/>
          <w:lang w:eastAsia="zh-TW"/>
        </w:rPr>
        <w:t>ABSTRAC</w:t>
      </w:r>
    </w:p>
    <w:p w:rsidR="00A41DC4" w:rsidRPr="00A41DC4" w:rsidRDefault="00A41DC4" w:rsidP="00A41DC4">
      <w:pPr>
        <w:widowControl w:val="0"/>
        <w:spacing w:after="0" w:line="240" w:lineRule="auto"/>
        <w:jc w:val="center"/>
        <w:rPr>
          <w:rFonts w:ascii="Times New Roman" w:eastAsia="PMingLiU" w:hAnsi="Times New Roman" w:cs="Times New Roman"/>
          <w:kern w:val="2"/>
          <w:sz w:val="24"/>
          <w:szCs w:val="24"/>
          <w:lang w:eastAsia="zh-TW"/>
        </w:rPr>
      </w:pPr>
    </w:p>
    <w:p w:rsidR="005E1586" w:rsidRPr="005E1586" w:rsidRDefault="00A665DC" w:rsidP="005E1586">
      <w:pPr>
        <w:widowControl w:val="0"/>
        <w:spacing w:after="0" w:line="240" w:lineRule="auto"/>
        <w:ind w:firstLine="720"/>
        <w:jc w:val="both"/>
        <w:rPr>
          <w:rFonts w:ascii="Times New Roman" w:hAnsi="Times New Roman" w:cs="Times New Roman"/>
          <w:sz w:val="24"/>
          <w:szCs w:val="24"/>
          <w:lang/>
        </w:rPr>
      </w:pPr>
      <w:r w:rsidRPr="00A665DC">
        <w:rPr>
          <w:rFonts w:ascii="Times New Roman" w:hAnsi="Times New Roman" w:cs="Times New Roman"/>
          <w:sz w:val="24"/>
          <w:szCs w:val="24"/>
          <w:lang/>
        </w:rPr>
        <w:t>In 2016, the commencement of free market competition (MEA) in construction services, foreign construction entrepreneurs compete in the domestic construction market. Competition of competitive construction services trade between countries in ASEAN trigger presence of gaps under the control of construction services market by ASEAN member countries that have better quality than other members countries. This research aims to analyze how the impact of indonesian government policy against competition of trade in construction services for ASEAN economic, and how the comparison of competition trade in construction services between Indonesia and other ASEAN member countries in the framework of ASEAN economic.</w:t>
      </w:r>
    </w:p>
    <w:p w:rsidR="005E1586" w:rsidRPr="005E1586" w:rsidRDefault="00A665DC" w:rsidP="005E1586">
      <w:pPr>
        <w:widowControl w:val="0"/>
        <w:spacing w:after="0" w:line="240" w:lineRule="auto"/>
        <w:ind w:firstLine="720"/>
        <w:jc w:val="both"/>
        <w:rPr>
          <w:rFonts w:ascii="Times New Roman" w:hAnsi="Times New Roman" w:cs="Times New Roman"/>
          <w:sz w:val="24"/>
          <w:szCs w:val="24"/>
          <w:lang/>
        </w:rPr>
      </w:pPr>
      <w:r w:rsidRPr="00A665DC">
        <w:rPr>
          <w:rFonts w:ascii="Times New Roman" w:hAnsi="Times New Roman" w:cs="Times New Roman"/>
          <w:sz w:val="24"/>
          <w:szCs w:val="24"/>
          <w:lang/>
        </w:rPr>
        <w:t>The method used in this research is juridical empirical method, with specification of descriptive - analytical, type of data used primary data and secondary data. Methods of data analysis is qualitative. Originality of research is continuing two previous studies.</w:t>
      </w:r>
    </w:p>
    <w:p w:rsidR="005E1586" w:rsidRPr="005E1586" w:rsidRDefault="00A665DC" w:rsidP="005E1586">
      <w:pPr>
        <w:widowControl w:val="0"/>
        <w:spacing w:after="0" w:line="240" w:lineRule="auto"/>
        <w:ind w:firstLine="720"/>
        <w:jc w:val="both"/>
        <w:rPr>
          <w:rFonts w:ascii="Times New Roman" w:hAnsi="Times New Roman" w:cs="Times New Roman"/>
          <w:sz w:val="24"/>
          <w:szCs w:val="24"/>
          <w:lang/>
        </w:rPr>
      </w:pPr>
      <w:r w:rsidRPr="00A665DC">
        <w:rPr>
          <w:rFonts w:ascii="Times New Roman" w:hAnsi="Times New Roman" w:cs="Times New Roman"/>
          <w:sz w:val="24"/>
          <w:szCs w:val="24"/>
          <w:lang/>
        </w:rPr>
        <w:t>The result and discussion of this study is the competition policy of trade in services in the field of construction is done by increasing resources for national construction has the competitiveness of quality in the trade of construction services in the era of MEA through legislation - laws relating to construction, trade, property investment, engineering. Limitation on capital holdings of the Indonesian government encourages low investor interest to invest in Indonesia, the Indonesian human resource quality barriers that have not been able to compete with countries that have good human resource competitiveness. Comparison of ease of doing business competitiveness in the field of construction services between Indonesia and other ASEAN member coun</w:t>
      </w:r>
      <w:r>
        <w:rPr>
          <w:rFonts w:ascii="Times New Roman" w:hAnsi="Times New Roman" w:cs="Times New Roman"/>
          <w:sz w:val="24"/>
          <w:szCs w:val="24"/>
          <w:lang/>
        </w:rPr>
        <w:t>tries now Indonesia is ranked</w:t>
      </w:r>
      <w:r w:rsidRPr="00A665DC">
        <w:rPr>
          <w:rFonts w:ascii="Times New Roman" w:hAnsi="Times New Roman" w:cs="Times New Roman"/>
          <w:sz w:val="24"/>
          <w:szCs w:val="24"/>
          <w:lang/>
        </w:rPr>
        <w:t xml:space="preserve"> 7 of 10 ASEAN countries. Comparison of investment and employment is still dominated by Singapore</w:t>
      </w:r>
      <w:r w:rsidR="005E1586" w:rsidRPr="005E1586">
        <w:rPr>
          <w:rFonts w:ascii="Times New Roman" w:hAnsi="Times New Roman" w:cs="Times New Roman"/>
          <w:sz w:val="24"/>
          <w:szCs w:val="24"/>
          <w:lang/>
        </w:rPr>
        <w:t>.</w:t>
      </w:r>
    </w:p>
    <w:p w:rsidR="005E1586" w:rsidRPr="005E1586" w:rsidRDefault="00A665DC" w:rsidP="005E1586">
      <w:pPr>
        <w:widowControl w:val="0"/>
        <w:spacing w:after="0" w:line="240" w:lineRule="auto"/>
        <w:ind w:firstLine="720"/>
        <w:jc w:val="both"/>
        <w:rPr>
          <w:rFonts w:ascii="Times New Roman" w:hAnsi="Times New Roman" w:cs="Times New Roman"/>
          <w:sz w:val="24"/>
          <w:szCs w:val="24"/>
          <w:lang/>
        </w:rPr>
      </w:pPr>
      <w:r w:rsidRPr="00A665DC">
        <w:rPr>
          <w:rFonts w:ascii="Times New Roman" w:hAnsi="Times New Roman" w:cs="Times New Roman"/>
          <w:sz w:val="24"/>
          <w:szCs w:val="24"/>
          <w:lang/>
        </w:rPr>
        <w:t>The conclusion of this study is the impact of competition policy of the Indonesian government in trade services of construction sector in MEA era have more negative impact, after one year MEA era lasted. The writer’s advice is Indonesian government expected to do the evaluation and improvement of the national construction services in o</w:t>
      </w:r>
      <w:r>
        <w:rPr>
          <w:rFonts w:ascii="Times New Roman" w:hAnsi="Times New Roman" w:cs="Times New Roman"/>
          <w:sz w:val="24"/>
          <w:szCs w:val="24"/>
          <w:lang/>
        </w:rPr>
        <w:t>rder to become better over time</w:t>
      </w:r>
      <w:r w:rsidR="005E1586" w:rsidRPr="005E1586">
        <w:rPr>
          <w:rFonts w:ascii="Times New Roman" w:hAnsi="Times New Roman" w:cs="Times New Roman"/>
          <w:sz w:val="24"/>
          <w:szCs w:val="24"/>
          <w:lang/>
        </w:rPr>
        <w:t>.</w:t>
      </w:r>
    </w:p>
    <w:p w:rsidR="005E1586" w:rsidRDefault="005E1586" w:rsidP="005E1586">
      <w:pPr>
        <w:widowControl w:val="0"/>
        <w:spacing w:after="0" w:line="240" w:lineRule="auto"/>
        <w:jc w:val="both"/>
        <w:rPr>
          <w:rFonts w:ascii="Times New Roman" w:hAnsi="Times New Roman" w:cs="Times New Roman"/>
          <w:sz w:val="24"/>
          <w:szCs w:val="24"/>
          <w:lang/>
        </w:rPr>
      </w:pPr>
    </w:p>
    <w:p w:rsidR="005E1586" w:rsidRDefault="005E1586" w:rsidP="005E1586">
      <w:pPr>
        <w:widowControl w:val="0"/>
        <w:spacing w:after="0" w:line="240" w:lineRule="auto"/>
        <w:jc w:val="both"/>
        <w:rPr>
          <w:rFonts w:ascii="Times New Roman" w:hAnsi="Times New Roman" w:cs="Times New Roman"/>
          <w:sz w:val="24"/>
          <w:szCs w:val="24"/>
          <w:lang/>
        </w:rPr>
      </w:pPr>
    </w:p>
    <w:p w:rsidR="005E1586" w:rsidRDefault="005E1586" w:rsidP="005E1586">
      <w:pPr>
        <w:widowControl w:val="0"/>
        <w:spacing w:after="0" w:line="240" w:lineRule="auto"/>
        <w:jc w:val="both"/>
        <w:rPr>
          <w:rFonts w:ascii="Times New Roman" w:hAnsi="Times New Roman" w:cs="Times New Roman"/>
          <w:sz w:val="24"/>
          <w:szCs w:val="24"/>
          <w:lang/>
        </w:rPr>
      </w:pPr>
    </w:p>
    <w:p w:rsidR="005E1586" w:rsidRPr="005E1586" w:rsidRDefault="005E1586" w:rsidP="005E1586">
      <w:pPr>
        <w:widowControl w:val="0"/>
        <w:spacing w:after="0" w:line="240" w:lineRule="auto"/>
        <w:jc w:val="both"/>
        <w:rPr>
          <w:rFonts w:ascii="Times New Roman" w:hAnsi="Times New Roman" w:cs="Times New Roman"/>
          <w:sz w:val="24"/>
          <w:szCs w:val="24"/>
          <w:lang/>
        </w:rPr>
      </w:pPr>
    </w:p>
    <w:p w:rsidR="00B17AA9" w:rsidRDefault="005E1586" w:rsidP="005E1586">
      <w:pPr>
        <w:widowControl w:val="0"/>
        <w:spacing w:after="0" w:line="240" w:lineRule="auto"/>
        <w:jc w:val="both"/>
        <w:rPr>
          <w:rFonts w:ascii="Times New Roman" w:hAnsi="Times New Roman" w:cs="Times New Roman"/>
          <w:b/>
          <w:sz w:val="24"/>
          <w:szCs w:val="24"/>
          <w:lang/>
        </w:rPr>
      </w:pPr>
      <w:r w:rsidRPr="005E1586">
        <w:rPr>
          <w:rFonts w:ascii="Times New Roman" w:hAnsi="Times New Roman" w:cs="Times New Roman"/>
          <w:b/>
          <w:sz w:val="24"/>
          <w:szCs w:val="24"/>
          <w:lang/>
        </w:rPr>
        <w:t>Keywords: Impact, Competition Policy Trade, Construction Services, MEA</w:t>
      </w:r>
    </w:p>
    <w:p w:rsidR="00915C1B" w:rsidRDefault="00915C1B" w:rsidP="005E1586">
      <w:pPr>
        <w:widowControl w:val="0"/>
        <w:spacing w:after="0" w:line="240" w:lineRule="auto"/>
        <w:jc w:val="both"/>
        <w:rPr>
          <w:rFonts w:ascii="Times New Roman" w:hAnsi="Times New Roman" w:cs="Times New Roman"/>
          <w:b/>
          <w:sz w:val="24"/>
          <w:szCs w:val="24"/>
          <w:lang/>
        </w:rPr>
      </w:pPr>
    </w:p>
    <w:p w:rsidR="00915C1B" w:rsidRDefault="00915C1B" w:rsidP="005E1586">
      <w:pPr>
        <w:widowControl w:val="0"/>
        <w:spacing w:after="0" w:line="240" w:lineRule="auto"/>
        <w:jc w:val="both"/>
        <w:rPr>
          <w:rFonts w:ascii="Times New Roman" w:hAnsi="Times New Roman" w:cs="Times New Roman"/>
          <w:b/>
          <w:sz w:val="24"/>
          <w:szCs w:val="24"/>
          <w:lang/>
        </w:rPr>
      </w:pPr>
    </w:p>
    <w:p w:rsidR="00915C1B" w:rsidRDefault="00915C1B" w:rsidP="005E1586">
      <w:pPr>
        <w:widowControl w:val="0"/>
        <w:spacing w:after="0" w:line="240" w:lineRule="auto"/>
        <w:jc w:val="both"/>
        <w:rPr>
          <w:rFonts w:ascii="Times New Roman" w:hAnsi="Times New Roman" w:cs="Times New Roman"/>
          <w:b/>
          <w:lang/>
        </w:rPr>
      </w:pPr>
    </w:p>
    <w:p w:rsidR="00A665DC" w:rsidRDefault="00A665DC" w:rsidP="005E1586">
      <w:pPr>
        <w:widowControl w:val="0"/>
        <w:spacing w:after="0" w:line="240" w:lineRule="auto"/>
        <w:jc w:val="both"/>
        <w:rPr>
          <w:rFonts w:ascii="Times New Roman" w:hAnsi="Times New Roman" w:cs="Times New Roman"/>
          <w:b/>
          <w:lang/>
        </w:rPr>
      </w:pPr>
    </w:p>
    <w:p w:rsidR="00A665DC" w:rsidRDefault="00A665DC" w:rsidP="005E1586">
      <w:pPr>
        <w:widowControl w:val="0"/>
        <w:spacing w:after="0" w:line="240" w:lineRule="auto"/>
        <w:jc w:val="both"/>
        <w:rPr>
          <w:rFonts w:ascii="Times New Roman" w:hAnsi="Times New Roman" w:cs="Times New Roman"/>
          <w:b/>
          <w:lang/>
        </w:rPr>
      </w:pPr>
    </w:p>
    <w:p w:rsidR="00A665DC" w:rsidRDefault="00A665DC" w:rsidP="005E1586">
      <w:pPr>
        <w:widowControl w:val="0"/>
        <w:spacing w:after="0" w:line="240" w:lineRule="auto"/>
        <w:jc w:val="both"/>
        <w:rPr>
          <w:rFonts w:ascii="Times New Roman" w:hAnsi="Times New Roman" w:cs="Times New Roman"/>
          <w:b/>
          <w:lang/>
        </w:rPr>
      </w:pPr>
    </w:p>
    <w:p w:rsidR="00A665DC" w:rsidRDefault="00A665DC" w:rsidP="005E1586">
      <w:pPr>
        <w:widowControl w:val="0"/>
        <w:spacing w:after="0" w:line="240" w:lineRule="auto"/>
        <w:jc w:val="both"/>
        <w:rPr>
          <w:rFonts w:ascii="Times New Roman" w:hAnsi="Times New Roman" w:cs="Times New Roman"/>
          <w:b/>
          <w:lang/>
        </w:rPr>
      </w:pPr>
    </w:p>
    <w:p w:rsidR="005E1586" w:rsidRPr="00A41DC4" w:rsidRDefault="005E1586" w:rsidP="00A41DC4">
      <w:pPr>
        <w:widowControl w:val="0"/>
        <w:spacing w:after="0" w:line="240" w:lineRule="auto"/>
        <w:jc w:val="both"/>
        <w:rPr>
          <w:rFonts w:ascii="Times New Roman" w:eastAsia="PMingLiU" w:hAnsi="Times New Roman" w:cs="Times New Roman"/>
          <w:kern w:val="2"/>
          <w:sz w:val="24"/>
          <w:szCs w:val="24"/>
          <w:lang w:eastAsia="zh-TW"/>
        </w:rPr>
      </w:pPr>
    </w:p>
    <w:p w:rsidR="00C10C4F" w:rsidRPr="00C10C4F" w:rsidRDefault="00C10C4F" w:rsidP="00004B5C">
      <w:pPr>
        <w:widowControl w:val="0"/>
        <w:spacing w:after="0" w:line="360" w:lineRule="auto"/>
        <w:jc w:val="center"/>
        <w:rPr>
          <w:rFonts w:ascii="Times New Roman" w:eastAsia="PMingLiU" w:hAnsi="Times New Roman" w:cs="Times New Roman"/>
          <w:b/>
          <w:kern w:val="2"/>
          <w:sz w:val="24"/>
          <w:szCs w:val="24"/>
          <w:lang w:eastAsia="zh-TW"/>
        </w:rPr>
      </w:pPr>
      <w:r w:rsidRPr="00C10C4F">
        <w:rPr>
          <w:rFonts w:ascii="Times New Roman" w:eastAsia="PMingLiU" w:hAnsi="Times New Roman" w:cs="Times New Roman"/>
          <w:b/>
          <w:kern w:val="2"/>
          <w:sz w:val="24"/>
          <w:szCs w:val="24"/>
          <w:lang w:eastAsia="zh-TW"/>
        </w:rPr>
        <w:t xml:space="preserve">DAFTAR ISI </w:t>
      </w:r>
    </w:p>
    <w:p w:rsidR="00C10C4F" w:rsidRDefault="00C10C4F" w:rsidP="00004B5C">
      <w:pPr>
        <w:widowControl w:val="0"/>
        <w:spacing w:after="0" w:line="360" w:lineRule="auto"/>
        <w:jc w:val="center"/>
        <w:rPr>
          <w:rFonts w:ascii="Times New Roman" w:eastAsia="PMingLiU" w:hAnsi="Times New Roman" w:cs="Times New Roman"/>
          <w:b/>
          <w:kern w:val="2"/>
          <w:sz w:val="24"/>
          <w:szCs w:val="24"/>
          <w:lang w:eastAsia="zh-TW"/>
        </w:rPr>
      </w:pPr>
    </w:p>
    <w:p w:rsidR="006F5DEF" w:rsidRPr="006F5DEF" w:rsidRDefault="006F5DEF" w:rsidP="00004B5C">
      <w:pPr>
        <w:tabs>
          <w:tab w:val="right" w:leader="dot" w:pos="8505"/>
        </w:tabs>
        <w:spacing w:after="0" w:line="360" w:lineRule="auto"/>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kern w:val="2"/>
          <w:sz w:val="24"/>
          <w:szCs w:val="24"/>
          <w:lang w:eastAsia="zh-TW"/>
        </w:rPr>
        <w:t>HALAMAN JUDUL</w:t>
      </w:r>
      <w:r w:rsidR="002D48C7">
        <w:rPr>
          <w:rFonts w:ascii="Times New Roman" w:eastAsia="PMingLiU" w:hAnsi="Times New Roman" w:cs="Times New Roman"/>
          <w:kern w:val="2"/>
          <w:sz w:val="24"/>
          <w:szCs w:val="24"/>
          <w:lang w:eastAsia="zh-TW"/>
        </w:rPr>
        <w:tab/>
      </w:r>
      <w:r w:rsidR="00004B5C">
        <w:rPr>
          <w:rFonts w:ascii="Times New Roman" w:eastAsia="PMingLiU" w:hAnsi="Times New Roman" w:cs="Times New Roman"/>
          <w:kern w:val="2"/>
          <w:sz w:val="24"/>
          <w:szCs w:val="24"/>
          <w:lang w:eastAsia="zh-TW"/>
        </w:rPr>
        <w:t>i</w:t>
      </w:r>
    </w:p>
    <w:p w:rsidR="00C10C4F" w:rsidRDefault="00C10C4F" w:rsidP="00004B5C">
      <w:pPr>
        <w:tabs>
          <w:tab w:val="right" w:leader="dot" w:pos="8505"/>
        </w:tabs>
        <w:spacing w:after="0" w:line="360" w:lineRule="auto"/>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kern w:val="2"/>
          <w:sz w:val="24"/>
          <w:szCs w:val="24"/>
          <w:lang w:eastAsia="zh-TW"/>
        </w:rPr>
        <w:t>HALAMAN P</w:t>
      </w:r>
      <w:r w:rsidR="00811D72" w:rsidRPr="006F5DEF">
        <w:rPr>
          <w:rFonts w:ascii="Times New Roman" w:eastAsia="PMingLiU" w:hAnsi="Times New Roman" w:cs="Times New Roman"/>
          <w:kern w:val="2"/>
          <w:sz w:val="24"/>
          <w:szCs w:val="24"/>
          <w:lang w:eastAsia="zh-TW"/>
        </w:rPr>
        <w:t>ENGESAHAN</w:t>
      </w:r>
      <w:r w:rsidR="002D48C7">
        <w:rPr>
          <w:rFonts w:ascii="Times New Roman" w:eastAsia="PMingLiU" w:hAnsi="Times New Roman" w:cs="Times New Roman"/>
          <w:kern w:val="2"/>
          <w:sz w:val="24"/>
          <w:szCs w:val="24"/>
          <w:lang w:eastAsia="zh-TW"/>
        </w:rPr>
        <w:tab/>
      </w:r>
      <w:r w:rsidR="00004B5C">
        <w:rPr>
          <w:rFonts w:ascii="Times New Roman" w:eastAsia="PMingLiU" w:hAnsi="Times New Roman" w:cs="Times New Roman"/>
          <w:kern w:val="2"/>
          <w:sz w:val="24"/>
          <w:szCs w:val="24"/>
          <w:lang w:eastAsia="zh-TW"/>
        </w:rPr>
        <w:t>ii</w:t>
      </w:r>
    </w:p>
    <w:p w:rsidR="00FD02EA" w:rsidRPr="006F5DEF" w:rsidRDefault="00FD02EA" w:rsidP="00004B5C">
      <w:p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 xml:space="preserve">HALAMAN PENGESAHAN </w:t>
      </w:r>
      <w:r w:rsidR="00065000">
        <w:rPr>
          <w:rFonts w:ascii="Times New Roman" w:eastAsia="PMingLiU" w:hAnsi="Times New Roman" w:cs="Times New Roman"/>
          <w:kern w:val="2"/>
          <w:sz w:val="24"/>
          <w:szCs w:val="24"/>
          <w:lang w:eastAsia="zh-TW"/>
        </w:rPr>
        <w:t xml:space="preserve">SIDANG </w:t>
      </w:r>
      <w:r>
        <w:rPr>
          <w:rFonts w:ascii="Times New Roman" w:eastAsia="PMingLiU" w:hAnsi="Times New Roman" w:cs="Times New Roman"/>
          <w:kern w:val="2"/>
          <w:sz w:val="24"/>
          <w:szCs w:val="24"/>
          <w:lang w:eastAsia="zh-TW"/>
        </w:rPr>
        <w:t>TESIS</w:t>
      </w:r>
      <w:r>
        <w:rPr>
          <w:rFonts w:ascii="Times New Roman" w:eastAsia="PMingLiU" w:hAnsi="Times New Roman" w:cs="Times New Roman"/>
          <w:kern w:val="2"/>
          <w:sz w:val="24"/>
          <w:szCs w:val="24"/>
          <w:lang w:eastAsia="zh-TW"/>
        </w:rPr>
        <w:tab/>
        <w:t>iii</w:t>
      </w:r>
    </w:p>
    <w:p w:rsidR="00811D72" w:rsidRPr="006F5DEF" w:rsidRDefault="00811D72" w:rsidP="00004B5C">
      <w:pPr>
        <w:tabs>
          <w:tab w:val="right" w:leader="dot" w:pos="8505"/>
        </w:tabs>
        <w:spacing w:after="0" w:line="360" w:lineRule="auto"/>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kern w:val="2"/>
          <w:sz w:val="24"/>
          <w:szCs w:val="24"/>
          <w:lang w:eastAsia="zh-TW"/>
        </w:rPr>
        <w:t>PERNYATAAN KEASLIAN KARYA ILMIAH</w:t>
      </w:r>
      <w:r w:rsidR="002D48C7">
        <w:rPr>
          <w:rFonts w:ascii="Times New Roman" w:eastAsia="PMingLiU" w:hAnsi="Times New Roman" w:cs="Times New Roman"/>
          <w:kern w:val="2"/>
          <w:sz w:val="24"/>
          <w:szCs w:val="24"/>
          <w:lang w:eastAsia="zh-TW"/>
        </w:rPr>
        <w:tab/>
      </w:r>
      <w:r w:rsidR="00FD02EA">
        <w:rPr>
          <w:rFonts w:ascii="Times New Roman" w:eastAsia="PMingLiU" w:hAnsi="Times New Roman" w:cs="Times New Roman"/>
          <w:kern w:val="2"/>
          <w:sz w:val="24"/>
          <w:szCs w:val="24"/>
          <w:lang w:eastAsia="zh-TW"/>
        </w:rPr>
        <w:t>iv</w:t>
      </w:r>
    </w:p>
    <w:p w:rsidR="006F5DEF" w:rsidRDefault="006F5DEF" w:rsidP="00004B5C">
      <w:pPr>
        <w:tabs>
          <w:tab w:val="right" w:leader="dot" w:pos="8505"/>
        </w:tabs>
        <w:spacing w:after="0" w:line="360" w:lineRule="auto"/>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kern w:val="2"/>
          <w:sz w:val="24"/>
          <w:szCs w:val="24"/>
          <w:lang w:eastAsia="zh-TW"/>
        </w:rPr>
        <w:t>MOTTO DAN PERSEMBAHAN</w:t>
      </w:r>
      <w:r w:rsidR="002D48C7">
        <w:rPr>
          <w:rFonts w:ascii="Times New Roman" w:eastAsia="PMingLiU" w:hAnsi="Times New Roman" w:cs="Times New Roman"/>
          <w:kern w:val="2"/>
          <w:sz w:val="24"/>
          <w:szCs w:val="24"/>
          <w:lang w:eastAsia="zh-TW"/>
        </w:rPr>
        <w:tab/>
      </w:r>
      <w:r w:rsidR="00004B5C">
        <w:rPr>
          <w:rFonts w:ascii="Times New Roman" w:eastAsia="PMingLiU" w:hAnsi="Times New Roman" w:cs="Times New Roman"/>
          <w:kern w:val="2"/>
          <w:sz w:val="24"/>
          <w:szCs w:val="24"/>
          <w:lang w:eastAsia="zh-TW"/>
        </w:rPr>
        <w:t>v</w:t>
      </w:r>
    </w:p>
    <w:p w:rsidR="006F5DEF" w:rsidRDefault="006F5DEF" w:rsidP="00004B5C">
      <w:p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KATA PENGANTAR</w:t>
      </w:r>
      <w:r w:rsidR="002D48C7">
        <w:rPr>
          <w:rFonts w:ascii="Times New Roman" w:eastAsia="PMingLiU" w:hAnsi="Times New Roman" w:cs="Times New Roman"/>
          <w:kern w:val="2"/>
          <w:sz w:val="24"/>
          <w:szCs w:val="24"/>
          <w:lang w:eastAsia="zh-TW"/>
        </w:rPr>
        <w:tab/>
      </w:r>
      <w:r w:rsidR="00004B5C">
        <w:rPr>
          <w:rFonts w:ascii="Times New Roman" w:eastAsia="PMingLiU" w:hAnsi="Times New Roman" w:cs="Times New Roman"/>
          <w:kern w:val="2"/>
          <w:sz w:val="24"/>
          <w:szCs w:val="24"/>
          <w:lang w:eastAsia="zh-TW"/>
        </w:rPr>
        <w:t>v</w:t>
      </w:r>
      <w:r w:rsidR="00FD02EA">
        <w:rPr>
          <w:rFonts w:ascii="Times New Roman" w:eastAsia="PMingLiU" w:hAnsi="Times New Roman" w:cs="Times New Roman"/>
          <w:kern w:val="2"/>
          <w:sz w:val="24"/>
          <w:szCs w:val="24"/>
          <w:lang w:eastAsia="zh-TW"/>
        </w:rPr>
        <w:t>i</w:t>
      </w:r>
    </w:p>
    <w:p w:rsidR="006F5DEF" w:rsidRDefault="006F5DEF" w:rsidP="00004B5C">
      <w:p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ABSTRAK</w:t>
      </w:r>
      <w:r w:rsidR="002D48C7">
        <w:rPr>
          <w:rFonts w:ascii="Times New Roman" w:eastAsia="PMingLiU" w:hAnsi="Times New Roman" w:cs="Times New Roman"/>
          <w:kern w:val="2"/>
          <w:sz w:val="24"/>
          <w:szCs w:val="24"/>
          <w:lang w:eastAsia="zh-TW"/>
        </w:rPr>
        <w:tab/>
      </w:r>
      <w:r w:rsidR="00065000">
        <w:rPr>
          <w:rFonts w:ascii="Times New Roman" w:eastAsia="PMingLiU" w:hAnsi="Times New Roman" w:cs="Times New Roman"/>
          <w:kern w:val="2"/>
          <w:sz w:val="24"/>
          <w:szCs w:val="24"/>
          <w:lang w:eastAsia="zh-TW"/>
        </w:rPr>
        <w:t>ix</w:t>
      </w:r>
    </w:p>
    <w:p w:rsidR="006F5DEF" w:rsidRPr="006F5DEF" w:rsidRDefault="006F5DEF" w:rsidP="00004B5C">
      <w:p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ABSTRACT</w:t>
      </w:r>
      <w:r w:rsidR="002D48C7">
        <w:rPr>
          <w:rFonts w:ascii="Times New Roman" w:eastAsia="PMingLiU" w:hAnsi="Times New Roman" w:cs="Times New Roman"/>
          <w:kern w:val="2"/>
          <w:sz w:val="24"/>
          <w:szCs w:val="24"/>
          <w:lang w:eastAsia="zh-TW"/>
        </w:rPr>
        <w:tab/>
      </w:r>
      <w:r w:rsidR="00065000">
        <w:rPr>
          <w:rFonts w:ascii="Times New Roman" w:eastAsia="PMingLiU" w:hAnsi="Times New Roman" w:cs="Times New Roman"/>
          <w:kern w:val="2"/>
          <w:sz w:val="24"/>
          <w:szCs w:val="24"/>
          <w:lang w:eastAsia="zh-TW"/>
        </w:rPr>
        <w:t>x</w:t>
      </w:r>
    </w:p>
    <w:p w:rsidR="00C10C4F" w:rsidRDefault="00C10C4F" w:rsidP="00004B5C">
      <w:pPr>
        <w:tabs>
          <w:tab w:val="right" w:leader="dot" w:pos="8505"/>
        </w:tabs>
        <w:spacing w:after="0" w:line="360" w:lineRule="auto"/>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kern w:val="2"/>
          <w:sz w:val="24"/>
          <w:szCs w:val="24"/>
          <w:lang w:eastAsia="zh-TW"/>
        </w:rPr>
        <w:t xml:space="preserve">DAFTAR ISI </w:t>
      </w:r>
      <w:r w:rsidR="002D48C7">
        <w:rPr>
          <w:rFonts w:ascii="Times New Roman" w:eastAsia="PMingLiU" w:hAnsi="Times New Roman" w:cs="Times New Roman"/>
          <w:kern w:val="2"/>
          <w:sz w:val="24"/>
          <w:szCs w:val="24"/>
          <w:lang w:eastAsia="zh-TW"/>
        </w:rPr>
        <w:tab/>
      </w:r>
      <w:r w:rsidR="00FD02EA">
        <w:rPr>
          <w:rFonts w:ascii="Times New Roman" w:eastAsia="PMingLiU" w:hAnsi="Times New Roman" w:cs="Times New Roman"/>
          <w:kern w:val="2"/>
          <w:sz w:val="24"/>
          <w:szCs w:val="24"/>
          <w:lang w:eastAsia="zh-TW"/>
        </w:rPr>
        <w:t>x</w:t>
      </w:r>
      <w:r w:rsidR="00065000">
        <w:rPr>
          <w:rFonts w:ascii="Times New Roman" w:eastAsia="PMingLiU" w:hAnsi="Times New Roman" w:cs="Times New Roman"/>
          <w:kern w:val="2"/>
          <w:sz w:val="24"/>
          <w:szCs w:val="24"/>
          <w:lang w:eastAsia="zh-TW"/>
        </w:rPr>
        <w:t>i</w:t>
      </w:r>
    </w:p>
    <w:p w:rsidR="00065000" w:rsidRDefault="00065000" w:rsidP="00004B5C">
      <w:p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DAFTAR TABEL</w:t>
      </w:r>
      <w:r>
        <w:rPr>
          <w:rFonts w:ascii="Times New Roman" w:eastAsia="PMingLiU" w:hAnsi="Times New Roman" w:cs="Times New Roman"/>
          <w:kern w:val="2"/>
          <w:sz w:val="24"/>
          <w:szCs w:val="24"/>
          <w:lang w:eastAsia="zh-TW"/>
        </w:rPr>
        <w:tab/>
        <w:t>xiv</w:t>
      </w:r>
    </w:p>
    <w:p w:rsidR="00065000" w:rsidRPr="006F5DEF" w:rsidRDefault="00065000" w:rsidP="00004B5C">
      <w:p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DAFTAR GRAFIK</w:t>
      </w:r>
      <w:r>
        <w:rPr>
          <w:rFonts w:ascii="Times New Roman" w:eastAsia="PMingLiU" w:hAnsi="Times New Roman" w:cs="Times New Roman"/>
          <w:kern w:val="2"/>
          <w:sz w:val="24"/>
          <w:szCs w:val="24"/>
          <w:lang w:eastAsia="zh-TW"/>
        </w:rPr>
        <w:tab/>
        <w:t>xv</w:t>
      </w:r>
    </w:p>
    <w:p w:rsidR="00811D72" w:rsidRPr="00811D72" w:rsidRDefault="00811D72" w:rsidP="00004B5C">
      <w:pPr>
        <w:tabs>
          <w:tab w:val="right" w:leader="dot" w:pos="8505"/>
        </w:tabs>
        <w:spacing w:after="0" w:line="360" w:lineRule="auto"/>
        <w:jc w:val="both"/>
        <w:rPr>
          <w:rFonts w:ascii="Times New Roman" w:eastAsia="PMingLiU" w:hAnsi="Times New Roman" w:cs="Times New Roman"/>
          <w:b/>
          <w:kern w:val="2"/>
          <w:sz w:val="24"/>
          <w:szCs w:val="24"/>
          <w:lang w:eastAsia="zh-TW"/>
        </w:rPr>
      </w:pPr>
      <w:r w:rsidRPr="00811D72">
        <w:rPr>
          <w:rFonts w:ascii="Times New Roman" w:eastAsia="PMingLiU" w:hAnsi="Times New Roman" w:cs="Times New Roman"/>
          <w:b/>
          <w:kern w:val="2"/>
          <w:sz w:val="24"/>
          <w:szCs w:val="24"/>
          <w:lang w:eastAsia="zh-TW"/>
        </w:rPr>
        <w:t>BAB I PENDAHULUAN</w:t>
      </w:r>
      <w:r w:rsidR="002D48C7" w:rsidRPr="002D48C7">
        <w:rPr>
          <w:rFonts w:ascii="Times New Roman" w:eastAsia="PMingLiU" w:hAnsi="Times New Roman" w:cs="Times New Roman"/>
          <w:kern w:val="2"/>
          <w:sz w:val="24"/>
          <w:szCs w:val="24"/>
          <w:lang w:eastAsia="zh-TW"/>
        </w:rPr>
        <w:tab/>
        <w:t>1</w:t>
      </w:r>
    </w:p>
    <w:p w:rsidR="00C10C4F" w:rsidRPr="00C10C4F" w:rsidRDefault="00C10C4F" w:rsidP="00004B5C">
      <w:pPr>
        <w:numPr>
          <w:ilvl w:val="0"/>
          <w:numId w:val="1"/>
        </w:numPr>
        <w:tabs>
          <w:tab w:val="right" w:leader="dot" w:pos="8505"/>
        </w:tabs>
        <w:spacing w:after="0" w:line="360" w:lineRule="auto"/>
        <w:contextualSpacing/>
        <w:jc w:val="both"/>
        <w:rPr>
          <w:rFonts w:ascii="Times New Roman" w:eastAsia="PMingLiU" w:hAnsi="Times New Roman" w:cs="Times New Roman"/>
          <w:kern w:val="2"/>
          <w:sz w:val="24"/>
          <w:szCs w:val="24"/>
          <w:lang w:eastAsia="zh-TW"/>
        </w:rPr>
      </w:pPr>
      <w:r w:rsidRPr="00C10C4F">
        <w:rPr>
          <w:rFonts w:ascii="Times New Roman" w:eastAsia="PMingLiU" w:hAnsi="Times New Roman" w:cs="Times New Roman"/>
          <w:kern w:val="2"/>
          <w:sz w:val="24"/>
          <w:szCs w:val="24"/>
          <w:lang w:eastAsia="zh-TW"/>
        </w:rPr>
        <w:t xml:space="preserve">Latar Belakang </w:t>
      </w:r>
      <w:r w:rsidR="002D48C7">
        <w:rPr>
          <w:rFonts w:ascii="Times New Roman" w:eastAsia="PMingLiU" w:hAnsi="Times New Roman" w:cs="Times New Roman"/>
          <w:kern w:val="2"/>
          <w:sz w:val="24"/>
          <w:szCs w:val="24"/>
          <w:lang w:eastAsia="zh-TW"/>
        </w:rPr>
        <w:tab/>
        <w:t>1</w:t>
      </w:r>
    </w:p>
    <w:p w:rsidR="006F5DEF" w:rsidRDefault="00C10C4F" w:rsidP="00004B5C">
      <w:pPr>
        <w:numPr>
          <w:ilvl w:val="0"/>
          <w:numId w:val="1"/>
        </w:numPr>
        <w:tabs>
          <w:tab w:val="right" w:leader="dot" w:pos="8505"/>
        </w:tabs>
        <w:spacing w:after="0" w:line="360" w:lineRule="auto"/>
        <w:contextualSpacing/>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kern w:val="2"/>
          <w:sz w:val="24"/>
          <w:szCs w:val="24"/>
          <w:lang w:eastAsia="zh-TW"/>
        </w:rPr>
        <w:t xml:space="preserve">Perumusan Masalah </w:t>
      </w:r>
      <w:r w:rsidR="000A776B">
        <w:rPr>
          <w:rFonts w:ascii="Times New Roman" w:eastAsia="PMingLiU" w:hAnsi="Times New Roman" w:cs="Times New Roman"/>
          <w:kern w:val="2"/>
          <w:sz w:val="24"/>
          <w:szCs w:val="24"/>
          <w:lang w:eastAsia="zh-TW"/>
        </w:rPr>
        <w:tab/>
        <w:t>10</w:t>
      </w:r>
    </w:p>
    <w:p w:rsidR="00C10C4F" w:rsidRPr="006F5DEF" w:rsidRDefault="00C10C4F" w:rsidP="00004B5C">
      <w:pPr>
        <w:numPr>
          <w:ilvl w:val="0"/>
          <w:numId w:val="1"/>
        </w:numPr>
        <w:tabs>
          <w:tab w:val="right" w:leader="dot" w:pos="8505"/>
        </w:tabs>
        <w:spacing w:after="0" w:line="360" w:lineRule="auto"/>
        <w:contextualSpacing/>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kern w:val="2"/>
          <w:sz w:val="24"/>
          <w:szCs w:val="24"/>
          <w:lang w:eastAsia="zh-TW"/>
        </w:rPr>
        <w:t xml:space="preserve">Tujuan Penelitian </w:t>
      </w:r>
      <w:r w:rsidR="000A776B">
        <w:rPr>
          <w:rFonts w:ascii="Times New Roman" w:eastAsia="PMingLiU" w:hAnsi="Times New Roman" w:cs="Times New Roman"/>
          <w:kern w:val="2"/>
          <w:sz w:val="24"/>
          <w:szCs w:val="24"/>
          <w:lang w:eastAsia="zh-TW"/>
        </w:rPr>
        <w:tab/>
        <w:t>10</w:t>
      </w:r>
    </w:p>
    <w:p w:rsidR="00C10C4F" w:rsidRPr="00C10C4F" w:rsidRDefault="00C10C4F" w:rsidP="00004B5C">
      <w:pPr>
        <w:numPr>
          <w:ilvl w:val="0"/>
          <w:numId w:val="1"/>
        </w:numPr>
        <w:tabs>
          <w:tab w:val="right" w:leader="dot" w:pos="8505"/>
        </w:tabs>
        <w:spacing w:after="0" w:line="360" w:lineRule="auto"/>
        <w:contextualSpacing/>
        <w:jc w:val="both"/>
        <w:rPr>
          <w:rFonts w:ascii="Times New Roman" w:eastAsia="PMingLiU" w:hAnsi="Times New Roman" w:cs="Times New Roman"/>
          <w:kern w:val="2"/>
          <w:sz w:val="24"/>
          <w:szCs w:val="24"/>
          <w:lang w:eastAsia="zh-TW"/>
        </w:rPr>
      </w:pPr>
      <w:r w:rsidRPr="00C10C4F">
        <w:rPr>
          <w:rFonts w:ascii="Times New Roman" w:eastAsia="PMingLiU" w:hAnsi="Times New Roman" w:cs="Times New Roman"/>
          <w:kern w:val="2"/>
          <w:sz w:val="24"/>
          <w:szCs w:val="24"/>
          <w:lang w:eastAsia="zh-TW"/>
        </w:rPr>
        <w:t xml:space="preserve">Kegunaan Penelitian </w:t>
      </w:r>
      <w:r w:rsidR="00AD136E">
        <w:rPr>
          <w:rFonts w:ascii="Times New Roman" w:eastAsia="PMingLiU" w:hAnsi="Times New Roman" w:cs="Times New Roman"/>
          <w:kern w:val="2"/>
          <w:sz w:val="24"/>
          <w:szCs w:val="24"/>
          <w:lang w:eastAsia="zh-TW"/>
        </w:rPr>
        <w:tab/>
        <w:t>11</w:t>
      </w:r>
    </w:p>
    <w:p w:rsidR="006F5DEF" w:rsidRDefault="00C10C4F" w:rsidP="00004B5C">
      <w:pPr>
        <w:numPr>
          <w:ilvl w:val="1"/>
          <w:numId w:val="1"/>
        </w:numPr>
        <w:tabs>
          <w:tab w:val="right" w:leader="dot" w:pos="8505"/>
        </w:tabs>
        <w:spacing w:after="0" w:line="360" w:lineRule="auto"/>
        <w:contextualSpacing/>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kern w:val="2"/>
          <w:sz w:val="24"/>
          <w:szCs w:val="24"/>
          <w:lang w:eastAsia="zh-TW"/>
        </w:rPr>
        <w:t xml:space="preserve">Kegunaan Teoritis </w:t>
      </w:r>
      <w:r w:rsidR="000A776B">
        <w:rPr>
          <w:rFonts w:ascii="Times New Roman" w:eastAsia="PMingLiU" w:hAnsi="Times New Roman" w:cs="Times New Roman"/>
          <w:kern w:val="2"/>
          <w:sz w:val="24"/>
          <w:szCs w:val="24"/>
          <w:lang w:eastAsia="zh-TW"/>
        </w:rPr>
        <w:tab/>
        <w:t>11</w:t>
      </w:r>
    </w:p>
    <w:p w:rsidR="00C10C4F" w:rsidRPr="006F5DEF" w:rsidRDefault="00C10C4F" w:rsidP="00004B5C">
      <w:pPr>
        <w:numPr>
          <w:ilvl w:val="1"/>
          <w:numId w:val="1"/>
        </w:numPr>
        <w:tabs>
          <w:tab w:val="right" w:leader="dot" w:pos="8505"/>
        </w:tabs>
        <w:spacing w:after="0" w:line="360" w:lineRule="auto"/>
        <w:contextualSpacing/>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kern w:val="2"/>
          <w:sz w:val="24"/>
          <w:szCs w:val="24"/>
          <w:lang w:eastAsia="zh-TW"/>
        </w:rPr>
        <w:t xml:space="preserve">Kegunaan Praktis </w:t>
      </w:r>
      <w:r w:rsidR="000A776B">
        <w:rPr>
          <w:rFonts w:ascii="Times New Roman" w:eastAsia="PMingLiU" w:hAnsi="Times New Roman" w:cs="Times New Roman"/>
          <w:kern w:val="2"/>
          <w:sz w:val="24"/>
          <w:szCs w:val="24"/>
          <w:lang w:eastAsia="zh-TW"/>
        </w:rPr>
        <w:tab/>
        <w:t>11</w:t>
      </w:r>
    </w:p>
    <w:p w:rsidR="006F5DEF" w:rsidRDefault="00C10C4F" w:rsidP="00004B5C">
      <w:pPr>
        <w:numPr>
          <w:ilvl w:val="0"/>
          <w:numId w:val="1"/>
        </w:numPr>
        <w:tabs>
          <w:tab w:val="right" w:leader="dot" w:pos="8505"/>
        </w:tabs>
        <w:spacing w:after="0" w:line="360" w:lineRule="auto"/>
        <w:contextualSpacing/>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kern w:val="2"/>
          <w:sz w:val="24"/>
          <w:szCs w:val="24"/>
          <w:lang w:eastAsia="zh-TW"/>
        </w:rPr>
        <w:t>Kerangka Pemikiran</w:t>
      </w:r>
      <w:r w:rsidR="00904C8A">
        <w:rPr>
          <w:rFonts w:ascii="Times New Roman" w:eastAsia="PMingLiU" w:hAnsi="Times New Roman" w:cs="Times New Roman"/>
          <w:kern w:val="2"/>
          <w:sz w:val="24"/>
          <w:szCs w:val="24"/>
          <w:lang w:eastAsia="zh-TW"/>
        </w:rPr>
        <w:t>, Konseptual, Teori</w:t>
      </w:r>
      <w:r w:rsidRPr="006F5DEF">
        <w:rPr>
          <w:rFonts w:ascii="Times New Roman" w:eastAsia="PMingLiU" w:hAnsi="Times New Roman" w:cs="Times New Roman"/>
          <w:kern w:val="2"/>
          <w:sz w:val="24"/>
          <w:szCs w:val="24"/>
          <w:lang w:eastAsia="zh-TW"/>
        </w:rPr>
        <w:t xml:space="preserve"> </w:t>
      </w:r>
      <w:r w:rsidR="00AD136E">
        <w:rPr>
          <w:rFonts w:ascii="Times New Roman" w:eastAsia="PMingLiU" w:hAnsi="Times New Roman" w:cs="Times New Roman"/>
          <w:kern w:val="2"/>
          <w:sz w:val="24"/>
          <w:szCs w:val="24"/>
          <w:lang w:eastAsia="zh-TW"/>
        </w:rPr>
        <w:tab/>
        <w:t>13</w:t>
      </w:r>
    </w:p>
    <w:p w:rsidR="00355F5D" w:rsidRPr="00904C8A" w:rsidRDefault="00355F5D" w:rsidP="00004B5C">
      <w:pPr>
        <w:pStyle w:val="ListParagraph"/>
        <w:numPr>
          <w:ilvl w:val="1"/>
          <w:numId w:val="1"/>
        </w:numPr>
        <w:tabs>
          <w:tab w:val="right" w:leader="dot" w:pos="8505"/>
        </w:tabs>
        <w:spacing w:after="0" w:line="360" w:lineRule="auto"/>
        <w:jc w:val="both"/>
        <w:rPr>
          <w:rFonts w:ascii="Times New Roman" w:eastAsia="PMingLiU" w:hAnsi="Times New Roman" w:cs="Times New Roman"/>
          <w:kern w:val="2"/>
          <w:sz w:val="24"/>
          <w:szCs w:val="24"/>
          <w:lang w:eastAsia="zh-TW"/>
        </w:rPr>
      </w:pPr>
      <w:r w:rsidRPr="00904C8A">
        <w:rPr>
          <w:rFonts w:ascii="Times New Roman" w:eastAsia="PMingLiU" w:hAnsi="Times New Roman" w:cs="Times New Roman"/>
          <w:kern w:val="2"/>
          <w:sz w:val="24"/>
          <w:szCs w:val="24"/>
          <w:lang w:eastAsia="zh-TW"/>
        </w:rPr>
        <w:t xml:space="preserve">Kerangka </w:t>
      </w:r>
      <w:r w:rsidR="00AD136E">
        <w:rPr>
          <w:rFonts w:ascii="Times New Roman" w:eastAsia="PMingLiU" w:hAnsi="Times New Roman" w:cs="Times New Roman"/>
          <w:kern w:val="2"/>
          <w:sz w:val="24"/>
          <w:szCs w:val="24"/>
          <w:lang w:eastAsia="zh-TW"/>
        </w:rPr>
        <w:t>Pemikiran</w:t>
      </w:r>
      <w:r w:rsidR="00AD136E">
        <w:rPr>
          <w:rFonts w:ascii="Times New Roman" w:eastAsia="PMingLiU" w:hAnsi="Times New Roman" w:cs="Times New Roman"/>
          <w:kern w:val="2"/>
          <w:sz w:val="24"/>
          <w:szCs w:val="24"/>
          <w:lang w:eastAsia="zh-TW"/>
        </w:rPr>
        <w:tab/>
        <w:t>13</w:t>
      </w:r>
    </w:p>
    <w:p w:rsidR="006F5DEF" w:rsidRDefault="00355F5D" w:rsidP="00004B5C">
      <w:pPr>
        <w:pStyle w:val="ListParagraph"/>
        <w:numPr>
          <w:ilvl w:val="1"/>
          <w:numId w:val="1"/>
        </w:numPr>
        <w:tabs>
          <w:tab w:val="right" w:leader="dot" w:pos="8505"/>
        </w:tabs>
        <w:spacing w:after="0" w:line="360" w:lineRule="auto"/>
        <w:jc w:val="both"/>
        <w:rPr>
          <w:rFonts w:ascii="Times New Roman" w:eastAsia="PMingLiU" w:hAnsi="Times New Roman" w:cs="Times New Roman"/>
          <w:kern w:val="2"/>
          <w:sz w:val="24"/>
          <w:szCs w:val="24"/>
          <w:lang w:eastAsia="zh-TW"/>
        </w:rPr>
      </w:pPr>
      <w:r w:rsidRPr="00904C8A">
        <w:rPr>
          <w:rFonts w:ascii="Times New Roman" w:eastAsia="PMingLiU" w:hAnsi="Times New Roman" w:cs="Times New Roman"/>
          <w:kern w:val="2"/>
          <w:sz w:val="24"/>
          <w:szCs w:val="24"/>
          <w:lang w:eastAsia="zh-TW"/>
        </w:rPr>
        <w:t xml:space="preserve">Kerangka </w:t>
      </w:r>
      <w:r w:rsidR="00904C8A">
        <w:rPr>
          <w:rFonts w:ascii="Times New Roman" w:eastAsia="PMingLiU" w:hAnsi="Times New Roman" w:cs="Times New Roman"/>
          <w:kern w:val="2"/>
          <w:sz w:val="24"/>
          <w:szCs w:val="24"/>
          <w:lang w:eastAsia="zh-TW"/>
        </w:rPr>
        <w:t>Konseptual</w:t>
      </w:r>
      <w:r w:rsidR="00904C8A">
        <w:rPr>
          <w:rFonts w:ascii="Times New Roman" w:eastAsia="PMingLiU" w:hAnsi="Times New Roman" w:cs="Times New Roman"/>
          <w:kern w:val="2"/>
          <w:sz w:val="24"/>
          <w:szCs w:val="24"/>
          <w:lang w:eastAsia="zh-TW"/>
        </w:rPr>
        <w:tab/>
        <w:t>1</w:t>
      </w:r>
      <w:r w:rsidR="00AD136E">
        <w:rPr>
          <w:rFonts w:ascii="Times New Roman" w:eastAsia="PMingLiU" w:hAnsi="Times New Roman" w:cs="Times New Roman"/>
          <w:kern w:val="2"/>
          <w:sz w:val="24"/>
          <w:szCs w:val="24"/>
          <w:lang w:eastAsia="zh-TW"/>
        </w:rPr>
        <w:t>6</w:t>
      </w:r>
    </w:p>
    <w:p w:rsidR="00904C8A" w:rsidRPr="00904C8A" w:rsidRDefault="00AD136E" w:rsidP="00004B5C">
      <w:pPr>
        <w:pStyle w:val="ListParagraph"/>
        <w:numPr>
          <w:ilvl w:val="1"/>
          <w:numId w:val="1"/>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Kerangka Teori</w:t>
      </w:r>
      <w:r>
        <w:rPr>
          <w:rFonts w:ascii="Times New Roman" w:eastAsia="PMingLiU" w:hAnsi="Times New Roman" w:cs="Times New Roman"/>
          <w:kern w:val="2"/>
          <w:sz w:val="24"/>
          <w:szCs w:val="24"/>
          <w:lang w:eastAsia="zh-TW"/>
        </w:rPr>
        <w:tab/>
        <w:t>24</w:t>
      </w:r>
    </w:p>
    <w:p w:rsidR="00C10C4F" w:rsidRPr="006F5DEF" w:rsidRDefault="00C10C4F" w:rsidP="00004B5C">
      <w:pPr>
        <w:numPr>
          <w:ilvl w:val="0"/>
          <w:numId w:val="1"/>
        </w:numPr>
        <w:tabs>
          <w:tab w:val="right" w:leader="dot" w:pos="8505"/>
        </w:tabs>
        <w:spacing w:after="0" w:line="360" w:lineRule="auto"/>
        <w:contextualSpacing/>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kern w:val="2"/>
          <w:sz w:val="24"/>
          <w:szCs w:val="24"/>
          <w:lang w:eastAsia="zh-TW"/>
        </w:rPr>
        <w:t>Metode Penelitian</w:t>
      </w:r>
      <w:r w:rsidR="000A776B">
        <w:rPr>
          <w:rFonts w:ascii="Times New Roman" w:eastAsia="PMingLiU" w:hAnsi="Times New Roman" w:cs="Times New Roman"/>
          <w:kern w:val="2"/>
          <w:sz w:val="24"/>
          <w:szCs w:val="24"/>
          <w:lang w:eastAsia="zh-TW"/>
        </w:rPr>
        <w:tab/>
        <w:t>27</w:t>
      </w:r>
    </w:p>
    <w:p w:rsidR="006F5DEF" w:rsidRDefault="00C10C4F" w:rsidP="00004B5C">
      <w:pPr>
        <w:numPr>
          <w:ilvl w:val="1"/>
          <w:numId w:val="1"/>
        </w:numPr>
        <w:tabs>
          <w:tab w:val="right" w:leader="dot" w:pos="8505"/>
        </w:tabs>
        <w:spacing w:after="0" w:line="360" w:lineRule="auto"/>
        <w:contextualSpacing/>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kern w:val="2"/>
          <w:sz w:val="24"/>
          <w:szCs w:val="24"/>
          <w:lang w:eastAsia="zh-TW"/>
        </w:rPr>
        <w:t xml:space="preserve">Metode Pendekatan </w:t>
      </w:r>
      <w:r w:rsidR="000A776B">
        <w:rPr>
          <w:rFonts w:ascii="Times New Roman" w:eastAsia="PMingLiU" w:hAnsi="Times New Roman" w:cs="Times New Roman"/>
          <w:kern w:val="2"/>
          <w:sz w:val="24"/>
          <w:szCs w:val="24"/>
          <w:lang w:eastAsia="zh-TW"/>
        </w:rPr>
        <w:tab/>
        <w:t>27</w:t>
      </w:r>
    </w:p>
    <w:p w:rsidR="00C10C4F" w:rsidRPr="006F5DEF" w:rsidRDefault="00C10C4F" w:rsidP="00004B5C">
      <w:pPr>
        <w:numPr>
          <w:ilvl w:val="1"/>
          <w:numId w:val="1"/>
        </w:numPr>
        <w:tabs>
          <w:tab w:val="right" w:leader="dot" w:pos="8505"/>
        </w:tabs>
        <w:spacing w:after="0" w:line="360" w:lineRule="auto"/>
        <w:contextualSpacing/>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kern w:val="2"/>
          <w:sz w:val="24"/>
          <w:szCs w:val="24"/>
          <w:lang w:eastAsia="zh-TW"/>
        </w:rPr>
        <w:t xml:space="preserve">Spesifikasi Penelitian </w:t>
      </w:r>
      <w:r w:rsidR="00AD136E">
        <w:rPr>
          <w:rFonts w:ascii="Times New Roman" w:eastAsia="PMingLiU" w:hAnsi="Times New Roman" w:cs="Times New Roman"/>
          <w:kern w:val="2"/>
          <w:sz w:val="24"/>
          <w:szCs w:val="24"/>
          <w:lang w:eastAsia="zh-TW"/>
        </w:rPr>
        <w:tab/>
        <w:t>28</w:t>
      </w:r>
    </w:p>
    <w:p w:rsidR="006F5DEF" w:rsidRDefault="00C10C4F" w:rsidP="00004B5C">
      <w:pPr>
        <w:numPr>
          <w:ilvl w:val="1"/>
          <w:numId w:val="1"/>
        </w:numPr>
        <w:tabs>
          <w:tab w:val="right" w:leader="dot" w:pos="8505"/>
        </w:tabs>
        <w:spacing w:after="0" w:line="360" w:lineRule="auto"/>
        <w:contextualSpacing/>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kern w:val="2"/>
          <w:sz w:val="24"/>
          <w:szCs w:val="24"/>
          <w:lang w:eastAsia="zh-TW"/>
        </w:rPr>
        <w:t xml:space="preserve">Jenis Dan Metode Pengumpulan Data </w:t>
      </w:r>
      <w:r w:rsidR="000A776B">
        <w:rPr>
          <w:rFonts w:ascii="Times New Roman" w:eastAsia="PMingLiU" w:hAnsi="Times New Roman" w:cs="Times New Roman"/>
          <w:kern w:val="2"/>
          <w:sz w:val="24"/>
          <w:szCs w:val="24"/>
          <w:lang w:eastAsia="zh-TW"/>
        </w:rPr>
        <w:tab/>
        <w:t>28</w:t>
      </w:r>
    </w:p>
    <w:p w:rsidR="00C10C4F" w:rsidRPr="006F5DEF" w:rsidRDefault="00C10C4F" w:rsidP="00004B5C">
      <w:pPr>
        <w:numPr>
          <w:ilvl w:val="1"/>
          <w:numId w:val="1"/>
        </w:numPr>
        <w:tabs>
          <w:tab w:val="right" w:leader="dot" w:pos="8505"/>
        </w:tabs>
        <w:spacing w:after="0" w:line="360" w:lineRule="auto"/>
        <w:contextualSpacing/>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kern w:val="2"/>
          <w:sz w:val="24"/>
          <w:szCs w:val="24"/>
          <w:lang w:eastAsia="zh-TW"/>
        </w:rPr>
        <w:t xml:space="preserve">Metode Analisis Data </w:t>
      </w:r>
      <w:r w:rsidR="000A776B">
        <w:rPr>
          <w:rFonts w:ascii="Times New Roman" w:eastAsia="PMingLiU" w:hAnsi="Times New Roman" w:cs="Times New Roman"/>
          <w:kern w:val="2"/>
          <w:sz w:val="24"/>
          <w:szCs w:val="24"/>
          <w:lang w:eastAsia="zh-TW"/>
        </w:rPr>
        <w:tab/>
        <w:t>30</w:t>
      </w:r>
    </w:p>
    <w:p w:rsidR="00C10C4F" w:rsidRPr="006F5DEF" w:rsidRDefault="007C580F" w:rsidP="00004B5C">
      <w:pPr>
        <w:numPr>
          <w:ilvl w:val="0"/>
          <w:numId w:val="1"/>
        </w:numPr>
        <w:tabs>
          <w:tab w:val="right" w:leader="dot" w:pos="8505"/>
        </w:tabs>
        <w:spacing w:after="0" w:line="360" w:lineRule="auto"/>
        <w:contextualSpacing/>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Orisinalitas Penelitian</w:t>
      </w:r>
      <w:r w:rsidR="00C10C4F" w:rsidRPr="006F5DEF">
        <w:rPr>
          <w:rFonts w:ascii="Times New Roman" w:eastAsia="PMingLiU" w:hAnsi="Times New Roman" w:cs="Times New Roman"/>
          <w:kern w:val="2"/>
          <w:sz w:val="24"/>
          <w:szCs w:val="24"/>
          <w:lang w:eastAsia="zh-TW"/>
        </w:rPr>
        <w:t xml:space="preserve"> </w:t>
      </w:r>
      <w:r w:rsidR="000A776B">
        <w:rPr>
          <w:rFonts w:ascii="Times New Roman" w:eastAsia="PMingLiU" w:hAnsi="Times New Roman" w:cs="Times New Roman"/>
          <w:kern w:val="2"/>
          <w:sz w:val="24"/>
          <w:szCs w:val="24"/>
          <w:lang w:eastAsia="zh-TW"/>
        </w:rPr>
        <w:tab/>
        <w:t>32</w:t>
      </w:r>
    </w:p>
    <w:p w:rsidR="00F0762C" w:rsidRPr="00031334" w:rsidRDefault="00F0762C" w:rsidP="00004B5C">
      <w:pPr>
        <w:tabs>
          <w:tab w:val="right" w:leader="dot" w:pos="8505"/>
        </w:tabs>
        <w:spacing w:after="0" w:line="360" w:lineRule="auto"/>
        <w:contextualSpacing/>
        <w:jc w:val="both"/>
        <w:rPr>
          <w:rFonts w:ascii="Times New Roman" w:eastAsia="PMingLiU" w:hAnsi="Times New Roman" w:cs="Times New Roman"/>
          <w:b/>
          <w:kern w:val="2"/>
          <w:sz w:val="24"/>
          <w:szCs w:val="24"/>
          <w:lang w:eastAsia="zh-TW"/>
        </w:rPr>
      </w:pPr>
      <w:r w:rsidRPr="00031334">
        <w:rPr>
          <w:rFonts w:ascii="Times New Roman" w:eastAsia="PMingLiU" w:hAnsi="Times New Roman" w:cs="Times New Roman"/>
          <w:b/>
          <w:kern w:val="2"/>
          <w:sz w:val="24"/>
          <w:szCs w:val="24"/>
          <w:lang w:eastAsia="zh-TW"/>
        </w:rPr>
        <w:t>BAB II TINJAUAN PUSTAKA</w:t>
      </w:r>
      <w:r w:rsidR="002D48C7" w:rsidRPr="002D48C7">
        <w:rPr>
          <w:rFonts w:ascii="Times New Roman" w:eastAsia="PMingLiU" w:hAnsi="Times New Roman" w:cs="Times New Roman"/>
          <w:kern w:val="2"/>
          <w:sz w:val="24"/>
          <w:szCs w:val="24"/>
          <w:lang w:eastAsia="zh-TW"/>
        </w:rPr>
        <w:tab/>
      </w:r>
      <w:r w:rsidR="000A776B">
        <w:rPr>
          <w:rFonts w:ascii="Times New Roman" w:eastAsia="PMingLiU" w:hAnsi="Times New Roman" w:cs="Times New Roman"/>
          <w:kern w:val="2"/>
          <w:sz w:val="24"/>
          <w:szCs w:val="24"/>
          <w:lang w:eastAsia="zh-TW"/>
        </w:rPr>
        <w:t>35</w:t>
      </w:r>
    </w:p>
    <w:p w:rsidR="00F0762C" w:rsidRDefault="006F5DEF" w:rsidP="00004B5C">
      <w:pPr>
        <w:pStyle w:val="ListParagraph"/>
        <w:numPr>
          <w:ilvl w:val="0"/>
          <w:numId w:val="2"/>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Tinjauan Umum Tentang Jasa</w:t>
      </w:r>
      <w:r w:rsidR="003C69B9">
        <w:rPr>
          <w:rFonts w:ascii="Times New Roman" w:eastAsia="PMingLiU" w:hAnsi="Times New Roman" w:cs="Times New Roman"/>
          <w:kern w:val="2"/>
          <w:sz w:val="24"/>
          <w:szCs w:val="24"/>
          <w:lang w:eastAsia="zh-TW"/>
        </w:rPr>
        <w:t xml:space="preserve"> </w:t>
      </w:r>
      <w:r w:rsidR="000A776B">
        <w:rPr>
          <w:rFonts w:ascii="Times New Roman" w:eastAsia="PMingLiU" w:hAnsi="Times New Roman" w:cs="Times New Roman"/>
          <w:kern w:val="2"/>
          <w:sz w:val="24"/>
          <w:szCs w:val="24"/>
          <w:lang w:eastAsia="zh-TW"/>
        </w:rPr>
        <w:tab/>
        <w:t>35</w:t>
      </w:r>
    </w:p>
    <w:p w:rsidR="003C69B9" w:rsidRDefault="003C69B9" w:rsidP="00004B5C">
      <w:pPr>
        <w:pStyle w:val="ListParagraph"/>
        <w:numPr>
          <w:ilvl w:val="1"/>
          <w:numId w:val="1"/>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 xml:space="preserve">Pengertian </w:t>
      </w:r>
      <w:r w:rsidR="006F5DEF">
        <w:rPr>
          <w:rFonts w:ascii="Times New Roman" w:eastAsia="PMingLiU" w:hAnsi="Times New Roman" w:cs="Times New Roman"/>
          <w:kern w:val="2"/>
          <w:sz w:val="24"/>
          <w:szCs w:val="24"/>
          <w:lang w:eastAsia="zh-TW"/>
        </w:rPr>
        <w:t>Jasa</w:t>
      </w:r>
      <w:r w:rsidR="00822CA2">
        <w:rPr>
          <w:rFonts w:ascii="Times New Roman" w:eastAsia="PMingLiU" w:hAnsi="Times New Roman" w:cs="Times New Roman"/>
          <w:kern w:val="2"/>
          <w:sz w:val="24"/>
          <w:szCs w:val="24"/>
          <w:lang w:eastAsia="zh-TW"/>
        </w:rPr>
        <w:tab/>
        <w:t>35</w:t>
      </w:r>
    </w:p>
    <w:p w:rsidR="006F5DEF" w:rsidRDefault="006F5DEF" w:rsidP="00004B5C">
      <w:pPr>
        <w:pStyle w:val="ListParagraph"/>
        <w:numPr>
          <w:ilvl w:val="1"/>
          <w:numId w:val="1"/>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lastRenderedPageBreak/>
        <w:t>Karakteristik Jasa</w:t>
      </w:r>
      <w:r w:rsidR="00822CA2">
        <w:rPr>
          <w:rFonts w:ascii="Times New Roman" w:eastAsia="PMingLiU" w:hAnsi="Times New Roman" w:cs="Times New Roman"/>
          <w:kern w:val="2"/>
          <w:sz w:val="24"/>
          <w:szCs w:val="24"/>
          <w:lang w:eastAsia="zh-TW"/>
        </w:rPr>
        <w:tab/>
        <w:t>35</w:t>
      </w:r>
    </w:p>
    <w:p w:rsidR="006F5DEF" w:rsidRDefault="006F5DEF" w:rsidP="00004B5C">
      <w:pPr>
        <w:pStyle w:val="ListParagraph"/>
        <w:numPr>
          <w:ilvl w:val="1"/>
          <w:numId w:val="1"/>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Klasifikasi Jasa</w:t>
      </w:r>
      <w:r w:rsidR="00822CA2">
        <w:rPr>
          <w:rFonts w:ascii="Times New Roman" w:eastAsia="PMingLiU" w:hAnsi="Times New Roman" w:cs="Times New Roman"/>
          <w:kern w:val="2"/>
          <w:sz w:val="24"/>
          <w:szCs w:val="24"/>
          <w:lang w:eastAsia="zh-TW"/>
        </w:rPr>
        <w:tab/>
        <w:t>37</w:t>
      </w:r>
    </w:p>
    <w:p w:rsidR="003C69B9" w:rsidRDefault="003C69B9" w:rsidP="00004B5C">
      <w:pPr>
        <w:pStyle w:val="ListParagraph"/>
        <w:numPr>
          <w:ilvl w:val="0"/>
          <w:numId w:val="2"/>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 xml:space="preserve">Tinjauan Umum Tentang </w:t>
      </w:r>
      <w:r w:rsidR="006F5DEF">
        <w:rPr>
          <w:rFonts w:ascii="Times New Roman" w:eastAsia="PMingLiU" w:hAnsi="Times New Roman" w:cs="Times New Roman"/>
          <w:kern w:val="2"/>
          <w:sz w:val="24"/>
          <w:szCs w:val="24"/>
          <w:lang w:eastAsia="zh-TW"/>
        </w:rPr>
        <w:t>Konstruksi</w:t>
      </w:r>
      <w:r w:rsidR="00822CA2">
        <w:rPr>
          <w:rFonts w:ascii="Times New Roman" w:eastAsia="PMingLiU" w:hAnsi="Times New Roman" w:cs="Times New Roman"/>
          <w:kern w:val="2"/>
          <w:sz w:val="24"/>
          <w:szCs w:val="24"/>
          <w:lang w:eastAsia="zh-TW"/>
        </w:rPr>
        <w:tab/>
        <w:t>38</w:t>
      </w:r>
    </w:p>
    <w:p w:rsidR="003C69B9" w:rsidRDefault="003C69B9" w:rsidP="00004B5C">
      <w:pPr>
        <w:pStyle w:val="ListParagraph"/>
        <w:numPr>
          <w:ilvl w:val="0"/>
          <w:numId w:val="3"/>
        </w:numPr>
        <w:tabs>
          <w:tab w:val="right" w:leader="dot" w:pos="8505"/>
        </w:tabs>
        <w:spacing w:after="0" w:line="360" w:lineRule="auto"/>
        <w:ind w:left="1418"/>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 xml:space="preserve">Pengertian </w:t>
      </w:r>
      <w:r w:rsidR="006F5DEF">
        <w:rPr>
          <w:rFonts w:ascii="Times New Roman" w:eastAsia="PMingLiU" w:hAnsi="Times New Roman" w:cs="Times New Roman"/>
          <w:kern w:val="2"/>
          <w:sz w:val="24"/>
          <w:szCs w:val="24"/>
          <w:lang w:eastAsia="zh-TW"/>
        </w:rPr>
        <w:t>Konstruksi</w:t>
      </w:r>
      <w:r w:rsidR="00822CA2">
        <w:rPr>
          <w:rFonts w:ascii="Times New Roman" w:eastAsia="PMingLiU" w:hAnsi="Times New Roman" w:cs="Times New Roman"/>
          <w:kern w:val="2"/>
          <w:sz w:val="24"/>
          <w:szCs w:val="24"/>
          <w:lang w:eastAsia="zh-TW"/>
        </w:rPr>
        <w:tab/>
        <w:t>38</w:t>
      </w:r>
    </w:p>
    <w:p w:rsidR="006F5DEF" w:rsidRDefault="006F5DEF" w:rsidP="00004B5C">
      <w:pPr>
        <w:pStyle w:val="ListParagraph"/>
        <w:numPr>
          <w:ilvl w:val="0"/>
          <w:numId w:val="3"/>
        </w:numPr>
        <w:tabs>
          <w:tab w:val="right" w:leader="dot" w:pos="8505"/>
        </w:tabs>
        <w:spacing w:after="0" w:line="360" w:lineRule="auto"/>
        <w:ind w:left="1418"/>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Jenis – Jenis Konstruksi</w:t>
      </w:r>
      <w:r w:rsidR="00822CA2">
        <w:rPr>
          <w:rFonts w:ascii="Times New Roman" w:eastAsia="PMingLiU" w:hAnsi="Times New Roman" w:cs="Times New Roman"/>
          <w:kern w:val="2"/>
          <w:sz w:val="24"/>
          <w:szCs w:val="24"/>
          <w:lang w:eastAsia="zh-TW"/>
        </w:rPr>
        <w:tab/>
        <w:t>39</w:t>
      </w:r>
    </w:p>
    <w:p w:rsidR="006F5DEF" w:rsidRDefault="006F5DEF" w:rsidP="00004B5C">
      <w:pPr>
        <w:pStyle w:val="ListParagraph"/>
        <w:numPr>
          <w:ilvl w:val="0"/>
          <w:numId w:val="3"/>
        </w:numPr>
        <w:tabs>
          <w:tab w:val="right" w:leader="dot" w:pos="8505"/>
        </w:tabs>
        <w:spacing w:after="0" w:line="360" w:lineRule="auto"/>
        <w:ind w:left="1418"/>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Ruang Lingkup Sektor Konstruksi</w:t>
      </w:r>
      <w:r w:rsidR="00822CA2">
        <w:rPr>
          <w:rFonts w:ascii="Times New Roman" w:eastAsia="PMingLiU" w:hAnsi="Times New Roman" w:cs="Times New Roman"/>
          <w:kern w:val="2"/>
          <w:sz w:val="24"/>
          <w:szCs w:val="24"/>
          <w:lang w:eastAsia="zh-TW"/>
        </w:rPr>
        <w:tab/>
        <w:t>39</w:t>
      </w:r>
    </w:p>
    <w:p w:rsidR="006F5DEF" w:rsidRDefault="006F5DEF" w:rsidP="00004B5C">
      <w:pPr>
        <w:pStyle w:val="ListParagraph"/>
        <w:numPr>
          <w:ilvl w:val="0"/>
          <w:numId w:val="3"/>
        </w:numPr>
        <w:tabs>
          <w:tab w:val="right" w:leader="dot" w:pos="8505"/>
        </w:tabs>
        <w:spacing w:after="0" w:line="360" w:lineRule="auto"/>
        <w:ind w:left="1418"/>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Kelembagaan Sektor Konstruksi</w:t>
      </w:r>
      <w:r w:rsidR="00822CA2">
        <w:rPr>
          <w:rFonts w:ascii="Times New Roman" w:eastAsia="PMingLiU" w:hAnsi="Times New Roman" w:cs="Times New Roman"/>
          <w:kern w:val="2"/>
          <w:sz w:val="24"/>
          <w:szCs w:val="24"/>
          <w:lang w:eastAsia="zh-TW"/>
        </w:rPr>
        <w:tab/>
        <w:t>41</w:t>
      </w:r>
    </w:p>
    <w:p w:rsidR="006F5DEF" w:rsidRDefault="006F5DEF" w:rsidP="00004B5C">
      <w:pPr>
        <w:pStyle w:val="ListParagraph"/>
        <w:numPr>
          <w:ilvl w:val="0"/>
          <w:numId w:val="3"/>
        </w:numPr>
        <w:tabs>
          <w:tab w:val="right" w:leader="dot" w:pos="8505"/>
        </w:tabs>
        <w:spacing w:after="0" w:line="360" w:lineRule="auto"/>
        <w:ind w:left="1418"/>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Regulasi Jasa Konstruksi</w:t>
      </w:r>
      <w:r w:rsidR="00822CA2">
        <w:rPr>
          <w:rFonts w:ascii="Times New Roman" w:eastAsia="PMingLiU" w:hAnsi="Times New Roman" w:cs="Times New Roman"/>
          <w:kern w:val="2"/>
          <w:sz w:val="24"/>
          <w:szCs w:val="24"/>
          <w:lang w:eastAsia="zh-TW"/>
        </w:rPr>
        <w:tab/>
        <w:t>43</w:t>
      </w:r>
    </w:p>
    <w:p w:rsidR="003C69B9" w:rsidRDefault="003C69B9" w:rsidP="00004B5C">
      <w:pPr>
        <w:pStyle w:val="ListParagraph"/>
        <w:numPr>
          <w:ilvl w:val="0"/>
          <w:numId w:val="2"/>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 xml:space="preserve">Tinjauan Umum Tentang </w:t>
      </w:r>
      <w:r w:rsidR="006F5DEF">
        <w:rPr>
          <w:rFonts w:ascii="Times New Roman" w:eastAsia="PMingLiU" w:hAnsi="Times New Roman" w:cs="Times New Roman"/>
          <w:kern w:val="2"/>
          <w:sz w:val="24"/>
          <w:szCs w:val="24"/>
          <w:lang w:eastAsia="zh-TW"/>
        </w:rPr>
        <w:t>Masyarakat Ekonomi ASEAN (MEA)</w:t>
      </w:r>
      <w:r>
        <w:rPr>
          <w:rFonts w:ascii="Times New Roman" w:eastAsia="PMingLiU" w:hAnsi="Times New Roman" w:cs="Times New Roman"/>
          <w:kern w:val="2"/>
          <w:sz w:val="24"/>
          <w:szCs w:val="24"/>
          <w:lang w:eastAsia="zh-TW"/>
        </w:rPr>
        <w:t xml:space="preserve"> </w:t>
      </w:r>
      <w:r w:rsidR="00822CA2">
        <w:rPr>
          <w:rFonts w:ascii="Times New Roman" w:eastAsia="PMingLiU" w:hAnsi="Times New Roman" w:cs="Times New Roman"/>
          <w:kern w:val="2"/>
          <w:sz w:val="24"/>
          <w:szCs w:val="24"/>
          <w:lang w:eastAsia="zh-TW"/>
        </w:rPr>
        <w:tab/>
        <w:t>45</w:t>
      </w:r>
    </w:p>
    <w:p w:rsidR="003C69B9" w:rsidRDefault="003C69B9" w:rsidP="00004B5C">
      <w:pPr>
        <w:pStyle w:val="ListParagraph"/>
        <w:numPr>
          <w:ilvl w:val="0"/>
          <w:numId w:val="4"/>
        </w:numPr>
        <w:tabs>
          <w:tab w:val="right" w:leader="dot" w:pos="8505"/>
        </w:tabs>
        <w:spacing w:after="0" w:line="360" w:lineRule="auto"/>
        <w:ind w:left="1418"/>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 xml:space="preserve">Pengertian </w:t>
      </w:r>
      <w:r w:rsidR="006F5DEF">
        <w:rPr>
          <w:rFonts w:ascii="Times New Roman" w:eastAsia="PMingLiU" w:hAnsi="Times New Roman" w:cs="Times New Roman"/>
          <w:kern w:val="2"/>
          <w:sz w:val="24"/>
          <w:szCs w:val="24"/>
          <w:lang w:eastAsia="zh-TW"/>
        </w:rPr>
        <w:t>MEA</w:t>
      </w:r>
      <w:r w:rsidR="00822CA2">
        <w:rPr>
          <w:rFonts w:ascii="Times New Roman" w:eastAsia="PMingLiU" w:hAnsi="Times New Roman" w:cs="Times New Roman"/>
          <w:kern w:val="2"/>
          <w:sz w:val="24"/>
          <w:szCs w:val="24"/>
          <w:lang w:eastAsia="zh-TW"/>
        </w:rPr>
        <w:tab/>
        <w:t>45</w:t>
      </w:r>
    </w:p>
    <w:p w:rsidR="006F5DEF" w:rsidRDefault="006F5DEF" w:rsidP="00004B5C">
      <w:pPr>
        <w:pStyle w:val="ListParagraph"/>
        <w:numPr>
          <w:ilvl w:val="0"/>
          <w:numId w:val="4"/>
        </w:numPr>
        <w:tabs>
          <w:tab w:val="right" w:leader="dot" w:pos="8505"/>
        </w:tabs>
        <w:spacing w:after="0" w:line="360" w:lineRule="auto"/>
        <w:ind w:left="1418"/>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Tujuan MEA</w:t>
      </w:r>
      <w:r w:rsidR="00822CA2">
        <w:rPr>
          <w:rFonts w:ascii="Times New Roman" w:eastAsia="PMingLiU" w:hAnsi="Times New Roman" w:cs="Times New Roman"/>
          <w:kern w:val="2"/>
          <w:sz w:val="24"/>
          <w:szCs w:val="24"/>
          <w:lang w:eastAsia="zh-TW"/>
        </w:rPr>
        <w:tab/>
        <w:t>45</w:t>
      </w:r>
    </w:p>
    <w:p w:rsidR="006F5DEF" w:rsidRDefault="006F5DEF" w:rsidP="00004B5C">
      <w:pPr>
        <w:pStyle w:val="ListParagraph"/>
        <w:numPr>
          <w:ilvl w:val="0"/>
          <w:numId w:val="4"/>
        </w:numPr>
        <w:tabs>
          <w:tab w:val="right" w:leader="dot" w:pos="8505"/>
        </w:tabs>
        <w:spacing w:after="0" w:line="360" w:lineRule="auto"/>
        <w:ind w:left="1418"/>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Prinsip MEA</w:t>
      </w:r>
      <w:r w:rsidR="00822CA2">
        <w:rPr>
          <w:rFonts w:ascii="Times New Roman" w:eastAsia="PMingLiU" w:hAnsi="Times New Roman" w:cs="Times New Roman"/>
          <w:kern w:val="2"/>
          <w:sz w:val="24"/>
          <w:szCs w:val="24"/>
          <w:lang w:eastAsia="zh-TW"/>
        </w:rPr>
        <w:tab/>
        <w:t>46</w:t>
      </w:r>
    </w:p>
    <w:p w:rsidR="006F5DEF" w:rsidRDefault="006F5DEF" w:rsidP="00004B5C">
      <w:pPr>
        <w:pStyle w:val="ListParagraph"/>
        <w:numPr>
          <w:ilvl w:val="0"/>
          <w:numId w:val="4"/>
        </w:numPr>
        <w:tabs>
          <w:tab w:val="right" w:leader="dot" w:pos="8505"/>
        </w:tabs>
        <w:spacing w:after="0" w:line="360" w:lineRule="auto"/>
        <w:ind w:left="1418"/>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Cetak Biru MEA</w:t>
      </w:r>
      <w:r w:rsidR="00822CA2">
        <w:rPr>
          <w:rFonts w:ascii="Times New Roman" w:eastAsia="PMingLiU" w:hAnsi="Times New Roman" w:cs="Times New Roman"/>
          <w:kern w:val="2"/>
          <w:sz w:val="24"/>
          <w:szCs w:val="24"/>
          <w:lang w:eastAsia="zh-TW"/>
        </w:rPr>
        <w:tab/>
        <w:t>46</w:t>
      </w:r>
    </w:p>
    <w:p w:rsidR="003C69B9" w:rsidRDefault="003C69B9" w:rsidP="00004B5C">
      <w:pPr>
        <w:pStyle w:val="ListParagraph"/>
        <w:numPr>
          <w:ilvl w:val="0"/>
          <w:numId w:val="2"/>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 xml:space="preserve">Tinjauan Umum Tentang </w:t>
      </w:r>
      <w:r w:rsidR="006F5DEF" w:rsidRPr="006F5DEF">
        <w:rPr>
          <w:rFonts w:ascii="Times New Roman" w:eastAsia="PMingLiU" w:hAnsi="Times New Roman" w:cs="Times New Roman"/>
          <w:i/>
          <w:kern w:val="2"/>
          <w:sz w:val="24"/>
          <w:szCs w:val="24"/>
          <w:lang w:eastAsia="zh-TW"/>
        </w:rPr>
        <w:t>ASEAN Framework Agreement on Services</w:t>
      </w:r>
      <w:r w:rsidR="006F5DEF" w:rsidRPr="006F5DEF">
        <w:rPr>
          <w:rFonts w:ascii="Times New Roman" w:eastAsia="PMingLiU" w:hAnsi="Times New Roman" w:cs="Times New Roman"/>
          <w:kern w:val="2"/>
          <w:sz w:val="24"/>
          <w:szCs w:val="24"/>
          <w:lang w:eastAsia="zh-TW"/>
        </w:rPr>
        <w:t xml:space="preserve"> </w:t>
      </w:r>
      <w:r w:rsidR="006F5DEF">
        <w:rPr>
          <w:rFonts w:ascii="Times New Roman" w:eastAsia="PMingLiU" w:hAnsi="Times New Roman" w:cs="Times New Roman"/>
          <w:kern w:val="2"/>
          <w:sz w:val="24"/>
          <w:szCs w:val="24"/>
          <w:lang w:eastAsia="zh-TW"/>
        </w:rPr>
        <w:t>(AFAS)</w:t>
      </w:r>
      <w:r w:rsidR="00822CA2">
        <w:rPr>
          <w:rFonts w:ascii="Times New Roman" w:eastAsia="PMingLiU" w:hAnsi="Times New Roman" w:cs="Times New Roman"/>
          <w:kern w:val="2"/>
          <w:sz w:val="24"/>
          <w:szCs w:val="24"/>
          <w:lang w:eastAsia="zh-TW"/>
        </w:rPr>
        <w:tab/>
        <w:t>47</w:t>
      </w:r>
    </w:p>
    <w:p w:rsidR="003C69B9" w:rsidRDefault="003C69B9" w:rsidP="00004B5C">
      <w:pPr>
        <w:pStyle w:val="ListParagraph"/>
        <w:numPr>
          <w:ilvl w:val="0"/>
          <w:numId w:val="5"/>
        </w:numPr>
        <w:tabs>
          <w:tab w:val="right" w:leader="dot" w:pos="8505"/>
        </w:tabs>
        <w:spacing w:after="0" w:line="360" w:lineRule="auto"/>
        <w:ind w:left="1418"/>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 xml:space="preserve">Pengertian </w:t>
      </w:r>
      <w:r w:rsidR="006F5DEF">
        <w:rPr>
          <w:rFonts w:ascii="Times New Roman" w:eastAsia="PMingLiU" w:hAnsi="Times New Roman" w:cs="Times New Roman"/>
          <w:kern w:val="2"/>
          <w:sz w:val="24"/>
          <w:szCs w:val="24"/>
          <w:lang w:eastAsia="zh-TW"/>
        </w:rPr>
        <w:t>AFAS</w:t>
      </w:r>
      <w:r w:rsidR="00822CA2">
        <w:rPr>
          <w:rFonts w:ascii="Times New Roman" w:eastAsia="PMingLiU" w:hAnsi="Times New Roman" w:cs="Times New Roman"/>
          <w:kern w:val="2"/>
          <w:sz w:val="24"/>
          <w:szCs w:val="24"/>
          <w:lang w:eastAsia="zh-TW"/>
        </w:rPr>
        <w:tab/>
        <w:t>47</w:t>
      </w:r>
    </w:p>
    <w:p w:rsidR="006F5DEF" w:rsidRDefault="006F5DEF" w:rsidP="00004B5C">
      <w:pPr>
        <w:pStyle w:val="ListParagraph"/>
        <w:numPr>
          <w:ilvl w:val="0"/>
          <w:numId w:val="5"/>
        </w:numPr>
        <w:tabs>
          <w:tab w:val="right" w:leader="dot" w:pos="8505"/>
        </w:tabs>
        <w:spacing w:after="0" w:line="360" w:lineRule="auto"/>
        <w:ind w:left="1418"/>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Tujuan AFAS</w:t>
      </w:r>
      <w:r w:rsidR="00822CA2">
        <w:rPr>
          <w:rFonts w:ascii="Times New Roman" w:eastAsia="PMingLiU" w:hAnsi="Times New Roman" w:cs="Times New Roman"/>
          <w:kern w:val="2"/>
          <w:sz w:val="24"/>
          <w:szCs w:val="24"/>
          <w:lang w:eastAsia="zh-TW"/>
        </w:rPr>
        <w:tab/>
        <w:t>48</w:t>
      </w:r>
    </w:p>
    <w:p w:rsidR="006F5DEF" w:rsidRDefault="006F5DEF" w:rsidP="00004B5C">
      <w:pPr>
        <w:pStyle w:val="ListParagraph"/>
        <w:numPr>
          <w:ilvl w:val="0"/>
          <w:numId w:val="5"/>
        </w:numPr>
        <w:tabs>
          <w:tab w:val="right" w:leader="dot" w:pos="8505"/>
        </w:tabs>
        <w:spacing w:after="0" w:line="360" w:lineRule="auto"/>
        <w:ind w:left="1418"/>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Prinsip – Prinsip AFAS</w:t>
      </w:r>
      <w:r w:rsidR="00822CA2">
        <w:rPr>
          <w:rFonts w:ascii="Times New Roman" w:eastAsia="PMingLiU" w:hAnsi="Times New Roman" w:cs="Times New Roman"/>
          <w:kern w:val="2"/>
          <w:sz w:val="24"/>
          <w:szCs w:val="24"/>
          <w:lang w:eastAsia="zh-TW"/>
        </w:rPr>
        <w:tab/>
        <w:t>48</w:t>
      </w:r>
    </w:p>
    <w:p w:rsidR="006F5DEF" w:rsidRDefault="006F5DEF" w:rsidP="00004B5C">
      <w:pPr>
        <w:pStyle w:val="ListParagraph"/>
        <w:numPr>
          <w:ilvl w:val="0"/>
          <w:numId w:val="5"/>
        </w:numPr>
        <w:tabs>
          <w:tab w:val="right" w:leader="dot" w:pos="8505"/>
        </w:tabs>
        <w:spacing w:after="0" w:line="360" w:lineRule="auto"/>
        <w:ind w:left="1418"/>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i/>
          <w:kern w:val="2"/>
          <w:sz w:val="24"/>
          <w:szCs w:val="24"/>
          <w:lang w:eastAsia="zh-TW"/>
        </w:rPr>
        <w:t>Mode Of Supply</w:t>
      </w:r>
      <w:r>
        <w:rPr>
          <w:rFonts w:ascii="Times New Roman" w:eastAsia="PMingLiU" w:hAnsi="Times New Roman" w:cs="Times New Roman"/>
          <w:kern w:val="2"/>
          <w:sz w:val="24"/>
          <w:szCs w:val="24"/>
          <w:lang w:eastAsia="zh-TW"/>
        </w:rPr>
        <w:t xml:space="preserve"> AFAS</w:t>
      </w:r>
      <w:r w:rsidR="00822CA2">
        <w:rPr>
          <w:rFonts w:ascii="Times New Roman" w:eastAsia="PMingLiU" w:hAnsi="Times New Roman" w:cs="Times New Roman"/>
          <w:kern w:val="2"/>
          <w:sz w:val="24"/>
          <w:szCs w:val="24"/>
          <w:lang w:eastAsia="zh-TW"/>
        </w:rPr>
        <w:tab/>
        <w:t>49</w:t>
      </w:r>
    </w:p>
    <w:p w:rsidR="003C69B9" w:rsidRPr="00031334" w:rsidRDefault="003C69B9" w:rsidP="00004B5C">
      <w:pPr>
        <w:tabs>
          <w:tab w:val="right" w:leader="dot" w:pos="8505"/>
        </w:tabs>
        <w:spacing w:after="0" w:line="360" w:lineRule="auto"/>
        <w:jc w:val="both"/>
        <w:rPr>
          <w:rFonts w:ascii="Times New Roman" w:eastAsia="PMingLiU" w:hAnsi="Times New Roman" w:cs="Times New Roman"/>
          <w:b/>
          <w:kern w:val="2"/>
          <w:sz w:val="24"/>
          <w:szCs w:val="24"/>
          <w:lang w:eastAsia="zh-TW"/>
        </w:rPr>
      </w:pPr>
      <w:r w:rsidRPr="00031334">
        <w:rPr>
          <w:rFonts w:ascii="Times New Roman" w:eastAsia="PMingLiU" w:hAnsi="Times New Roman" w:cs="Times New Roman"/>
          <w:b/>
          <w:kern w:val="2"/>
          <w:sz w:val="24"/>
          <w:szCs w:val="24"/>
          <w:lang w:eastAsia="zh-TW"/>
        </w:rPr>
        <w:t>BAB III HASIL PENELITIAN DAN PEMBAHASAN</w:t>
      </w:r>
      <w:r w:rsidR="002D48C7" w:rsidRPr="002D48C7">
        <w:rPr>
          <w:rFonts w:ascii="Times New Roman" w:eastAsia="PMingLiU" w:hAnsi="Times New Roman" w:cs="Times New Roman"/>
          <w:kern w:val="2"/>
          <w:sz w:val="24"/>
          <w:szCs w:val="24"/>
          <w:lang w:eastAsia="zh-TW"/>
        </w:rPr>
        <w:tab/>
      </w:r>
      <w:r w:rsidR="00822CA2">
        <w:rPr>
          <w:rFonts w:ascii="Times New Roman" w:eastAsia="PMingLiU" w:hAnsi="Times New Roman" w:cs="Times New Roman"/>
          <w:kern w:val="2"/>
          <w:sz w:val="24"/>
          <w:szCs w:val="24"/>
          <w:lang w:eastAsia="zh-TW"/>
        </w:rPr>
        <w:t>50</w:t>
      </w:r>
    </w:p>
    <w:p w:rsidR="003C69B9" w:rsidRDefault="006F5DEF" w:rsidP="003D7355">
      <w:pPr>
        <w:pStyle w:val="ListParagraph"/>
        <w:numPr>
          <w:ilvl w:val="0"/>
          <w:numId w:val="6"/>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 xml:space="preserve">Analisis dampak kebijakan pemerintah Indonesia terhadap persaingan perdagangan jasa di bidang konstruksi dalam Masyarkat Ekonomi ASEAN   </w:t>
      </w:r>
      <w:r w:rsidR="00904C8A">
        <w:rPr>
          <w:rFonts w:ascii="Times New Roman" w:eastAsia="PMingLiU" w:hAnsi="Times New Roman" w:cs="Times New Roman"/>
          <w:kern w:val="2"/>
          <w:sz w:val="24"/>
          <w:szCs w:val="24"/>
          <w:lang w:eastAsia="zh-TW"/>
        </w:rPr>
        <w:tab/>
      </w:r>
      <w:r w:rsidR="00822CA2">
        <w:rPr>
          <w:rFonts w:ascii="Times New Roman" w:eastAsia="PMingLiU" w:hAnsi="Times New Roman" w:cs="Times New Roman"/>
          <w:kern w:val="2"/>
          <w:sz w:val="24"/>
          <w:szCs w:val="24"/>
          <w:lang w:eastAsia="zh-TW"/>
        </w:rPr>
        <w:t>50</w:t>
      </w:r>
      <w:r>
        <w:rPr>
          <w:rFonts w:ascii="Times New Roman" w:eastAsia="PMingLiU" w:hAnsi="Times New Roman" w:cs="Times New Roman"/>
          <w:kern w:val="2"/>
          <w:sz w:val="24"/>
          <w:szCs w:val="24"/>
          <w:lang w:eastAsia="zh-TW"/>
        </w:rPr>
        <w:t xml:space="preserve">                                  </w:t>
      </w:r>
    </w:p>
    <w:p w:rsidR="006F5DEF" w:rsidRDefault="006F5DEF" w:rsidP="003D7355">
      <w:pPr>
        <w:pStyle w:val="ListParagraph"/>
        <w:numPr>
          <w:ilvl w:val="0"/>
          <w:numId w:val="10"/>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Kebijakan pemerintah Indonesia terhadap persaingan perdagangan jasa di bidang konstruksi dalam Masyarkat Ekonomi ASEAN</w:t>
      </w:r>
      <w:r w:rsidR="00822CA2">
        <w:rPr>
          <w:rFonts w:ascii="Times New Roman" w:eastAsia="PMingLiU" w:hAnsi="Times New Roman" w:cs="Times New Roman"/>
          <w:kern w:val="2"/>
          <w:sz w:val="24"/>
          <w:szCs w:val="24"/>
          <w:lang w:eastAsia="zh-TW"/>
        </w:rPr>
        <w:tab/>
        <w:t>50</w:t>
      </w:r>
    </w:p>
    <w:p w:rsidR="00004B5C" w:rsidRDefault="00004B5C" w:rsidP="003D7355">
      <w:pPr>
        <w:pStyle w:val="ListParagraph"/>
        <w:numPr>
          <w:ilvl w:val="1"/>
          <w:numId w:val="10"/>
        </w:numPr>
        <w:tabs>
          <w:tab w:val="right" w:leader="dot" w:pos="8505"/>
        </w:tabs>
        <w:spacing w:after="0" w:line="360" w:lineRule="auto"/>
        <w:jc w:val="both"/>
        <w:rPr>
          <w:rFonts w:ascii="Times New Roman" w:eastAsia="PMingLiU" w:hAnsi="Times New Roman" w:cs="Times New Roman"/>
          <w:kern w:val="2"/>
          <w:sz w:val="24"/>
          <w:szCs w:val="24"/>
          <w:lang w:eastAsia="zh-TW"/>
        </w:rPr>
      </w:pPr>
      <w:r w:rsidRPr="00004B5C">
        <w:rPr>
          <w:rFonts w:ascii="Times New Roman" w:eastAsia="PMingLiU" w:hAnsi="Times New Roman" w:cs="Times New Roman"/>
          <w:kern w:val="2"/>
          <w:sz w:val="24"/>
          <w:szCs w:val="24"/>
          <w:lang w:eastAsia="zh-TW"/>
        </w:rPr>
        <w:t>Undang – Undang Nomor 18 Tahun 1999 tentang Jasa Konstruksi</w:t>
      </w:r>
      <w:r w:rsidR="00822CA2">
        <w:rPr>
          <w:rFonts w:ascii="Times New Roman" w:eastAsia="PMingLiU" w:hAnsi="Times New Roman" w:cs="Times New Roman"/>
          <w:kern w:val="2"/>
          <w:sz w:val="24"/>
          <w:szCs w:val="24"/>
          <w:lang w:eastAsia="zh-TW"/>
        </w:rPr>
        <w:tab/>
        <w:t>50</w:t>
      </w:r>
    </w:p>
    <w:p w:rsidR="00004B5C" w:rsidRDefault="00004B5C" w:rsidP="003D7355">
      <w:pPr>
        <w:pStyle w:val="ListParagraph"/>
        <w:widowControl w:val="0"/>
        <w:numPr>
          <w:ilvl w:val="2"/>
          <w:numId w:val="14"/>
        </w:numPr>
        <w:tabs>
          <w:tab w:val="left" w:pos="567"/>
          <w:tab w:val="left" w:pos="1134"/>
          <w:tab w:val="right" w:leader="dot" w:pos="8505"/>
        </w:tabs>
        <w:spacing w:after="0" w:line="360" w:lineRule="auto"/>
        <w:ind w:left="1985"/>
        <w:jc w:val="both"/>
        <w:rPr>
          <w:rFonts w:ascii="Times New Roman" w:eastAsia="PMingLiU" w:hAnsi="Times New Roman" w:cs="Times New Roman"/>
          <w:bCs/>
          <w:color w:val="000000"/>
          <w:kern w:val="2"/>
          <w:sz w:val="24"/>
          <w:szCs w:val="24"/>
          <w:lang w:eastAsia="zh-TW"/>
        </w:rPr>
      </w:pPr>
      <w:r w:rsidRPr="00004B5C">
        <w:rPr>
          <w:rFonts w:ascii="Times New Roman" w:eastAsia="PMingLiU" w:hAnsi="Times New Roman" w:cs="Times New Roman"/>
          <w:bCs/>
          <w:color w:val="000000"/>
          <w:kern w:val="2"/>
          <w:sz w:val="24"/>
          <w:szCs w:val="24"/>
          <w:lang w:eastAsia="zh-TW"/>
        </w:rPr>
        <w:t>Peraturan Menteri Pekerjaan Umum Nomor 8 Tahun 2011 tentang Pembagian subklasifikasi dan subku</w:t>
      </w:r>
      <w:r>
        <w:rPr>
          <w:rFonts w:ascii="Times New Roman" w:eastAsia="PMingLiU" w:hAnsi="Times New Roman" w:cs="Times New Roman"/>
          <w:bCs/>
          <w:color w:val="000000"/>
          <w:kern w:val="2"/>
          <w:sz w:val="24"/>
          <w:szCs w:val="24"/>
          <w:lang w:eastAsia="zh-TW"/>
        </w:rPr>
        <w:t>al</w:t>
      </w:r>
      <w:r w:rsidR="00822CA2">
        <w:rPr>
          <w:rFonts w:ascii="Times New Roman" w:eastAsia="PMingLiU" w:hAnsi="Times New Roman" w:cs="Times New Roman"/>
          <w:bCs/>
          <w:color w:val="000000"/>
          <w:kern w:val="2"/>
          <w:sz w:val="24"/>
          <w:szCs w:val="24"/>
          <w:lang w:eastAsia="zh-TW"/>
        </w:rPr>
        <w:t>ifikasi usaha jasa konstruksi</w:t>
      </w:r>
      <w:r w:rsidR="00822CA2">
        <w:rPr>
          <w:rFonts w:ascii="Times New Roman" w:eastAsia="PMingLiU" w:hAnsi="Times New Roman" w:cs="Times New Roman"/>
          <w:bCs/>
          <w:color w:val="000000"/>
          <w:kern w:val="2"/>
          <w:sz w:val="24"/>
          <w:szCs w:val="24"/>
          <w:lang w:eastAsia="zh-TW"/>
        </w:rPr>
        <w:tab/>
        <w:t>60</w:t>
      </w:r>
    </w:p>
    <w:p w:rsidR="00004B5C" w:rsidRDefault="00004B5C" w:rsidP="003D7355">
      <w:pPr>
        <w:pStyle w:val="ListParagraph"/>
        <w:widowControl w:val="0"/>
        <w:numPr>
          <w:ilvl w:val="2"/>
          <w:numId w:val="14"/>
        </w:numPr>
        <w:tabs>
          <w:tab w:val="left" w:pos="567"/>
          <w:tab w:val="left" w:pos="1134"/>
          <w:tab w:val="right" w:leader="dot" w:pos="8505"/>
        </w:tabs>
        <w:spacing w:after="0" w:line="360" w:lineRule="auto"/>
        <w:ind w:left="1985"/>
        <w:jc w:val="both"/>
        <w:rPr>
          <w:rFonts w:ascii="Times New Roman" w:eastAsia="PMingLiU" w:hAnsi="Times New Roman" w:cs="Times New Roman"/>
          <w:bCs/>
          <w:color w:val="000000"/>
          <w:kern w:val="2"/>
          <w:sz w:val="24"/>
          <w:szCs w:val="24"/>
          <w:lang w:eastAsia="zh-TW"/>
        </w:rPr>
      </w:pPr>
      <w:r w:rsidRPr="00004B5C">
        <w:rPr>
          <w:rFonts w:ascii="Times New Roman" w:eastAsia="PMingLiU" w:hAnsi="Times New Roman" w:cs="Times New Roman"/>
          <w:bCs/>
          <w:color w:val="000000"/>
          <w:kern w:val="2"/>
          <w:sz w:val="24"/>
          <w:szCs w:val="24"/>
          <w:lang w:eastAsia="zh-TW"/>
        </w:rPr>
        <w:t xml:space="preserve">Peraturan Menteri Pekerjaan Umum, Nomor : 09/PRT/M/2013 Tentang : Persyaratan Kompetensi Untuk Subkualifikasi Tenaga Ahli dan Tenaga Terampil Bidang Jasa </w:t>
      </w:r>
      <w:r w:rsidRPr="00004B5C">
        <w:rPr>
          <w:rFonts w:ascii="Times New Roman" w:eastAsia="PMingLiU" w:hAnsi="Times New Roman" w:cs="Times New Roman"/>
          <w:bCs/>
          <w:color w:val="000000"/>
          <w:kern w:val="2"/>
          <w:sz w:val="24"/>
          <w:szCs w:val="24"/>
          <w:lang w:eastAsia="zh-TW"/>
        </w:rPr>
        <w:lastRenderedPageBreak/>
        <w:t>Konstruksi</w:t>
      </w:r>
      <w:r w:rsidR="00822CA2">
        <w:rPr>
          <w:rFonts w:ascii="Times New Roman" w:eastAsia="PMingLiU" w:hAnsi="Times New Roman" w:cs="Times New Roman"/>
          <w:bCs/>
          <w:color w:val="000000"/>
          <w:kern w:val="2"/>
          <w:sz w:val="24"/>
          <w:szCs w:val="24"/>
          <w:lang w:eastAsia="zh-TW"/>
        </w:rPr>
        <w:tab/>
        <w:t>61</w:t>
      </w:r>
    </w:p>
    <w:p w:rsidR="00004B5C" w:rsidRDefault="00004B5C" w:rsidP="003D7355">
      <w:pPr>
        <w:pStyle w:val="ListParagraph"/>
        <w:widowControl w:val="0"/>
        <w:numPr>
          <w:ilvl w:val="1"/>
          <w:numId w:val="14"/>
        </w:numPr>
        <w:tabs>
          <w:tab w:val="right" w:leader="dot" w:pos="8505"/>
        </w:tabs>
        <w:spacing w:after="0" w:line="360" w:lineRule="auto"/>
        <w:ind w:left="1418"/>
        <w:jc w:val="both"/>
        <w:rPr>
          <w:rFonts w:ascii="Times New Roman" w:eastAsia="PMingLiU" w:hAnsi="Times New Roman" w:cs="Times New Roman"/>
          <w:bCs/>
          <w:color w:val="000000"/>
          <w:kern w:val="2"/>
          <w:sz w:val="24"/>
          <w:szCs w:val="24"/>
          <w:lang w:eastAsia="zh-TW"/>
        </w:rPr>
      </w:pPr>
      <w:r w:rsidRPr="00004B5C">
        <w:rPr>
          <w:rFonts w:ascii="Times New Roman" w:eastAsia="PMingLiU" w:hAnsi="Times New Roman" w:cs="Times New Roman"/>
          <w:bCs/>
          <w:color w:val="000000"/>
          <w:kern w:val="2"/>
          <w:sz w:val="24"/>
          <w:szCs w:val="24"/>
          <w:lang w:eastAsia="zh-TW"/>
        </w:rPr>
        <w:t>Undang – Undang Nomor 25 Tahun 2007 Tentang Penanaman Modal</w:t>
      </w:r>
      <w:r w:rsidR="00822CA2">
        <w:rPr>
          <w:rFonts w:ascii="Times New Roman" w:eastAsia="PMingLiU" w:hAnsi="Times New Roman" w:cs="Times New Roman"/>
          <w:bCs/>
          <w:color w:val="000000"/>
          <w:kern w:val="2"/>
          <w:sz w:val="24"/>
          <w:szCs w:val="24"/>
          <w:lang w:eastAsia="zh-TW"/>
        </w:rPr>
        <w:tab/>
        <w:t>63</w:t>
      </w:r>
    </w:p>
    <w:p w:rsidR="00004B5C" w:rsidRPr="00004B5C" w:rsidRDefault="00004B5C" w:rsidP="003D7355">
      <w:pPr>
        <w:pStyle w:val="ListParagraph"/>
        <w:numPr>
          <w:ilvl w:val="1"/>
          <w:numId w:val="14"/>
        </w:numPr>
        <w:tabs>
          <w:tab w:val="right" w:leader="dot" w:pos="8505"/>
        </w:tabs>
        <w:spacing w:line="360" w:lineRule="auto"/>
        <w:ind w:left="1418"/>
        <w:rPr>
          <w:rFonts w:ascii="Times New Roman" w:eastAsia="PMingLiU" w:hAnsi="Times New Roman" w:cs="Times New Roman"/>
          <w:bCs/>
          <w:color w:val="000000"/>
          <w:kern w:val="2"/>
          <w:sz w:val="24"/>
          <w:szCs w:val="24"/>
          <w:lang w:eastAsia="zh-TW"/>
        </w:rPr>
      </w:pPr>
      <w:r w:rsidRPr="00004B5C">
        <w:rPr>
          <w:rFonts w:ascii="Times New Roman" w:eastAsia="PMingLiU" w:hAnsi="Times New Roman" w:cs="Times New Roman"/>
          <w:bCs/>
          <w:color w:val="000000"/>
          <w:kern w:val="2"/>
          <w:sz w:val="24"/>
          <w:szCs w:val="24"/>
          <w:lang w:eastAsia="zh-TW"/>
        </w:rPr>
        <w:t>Undang – Undang Nomor 7 Tahun 2014 Tentang Perdagangan</w:t>
      </w:r>
      <w:r w:rsidR="00822CA2">
        <w:rPr>
          <w:rFonts w:ascii="Times New Roman" w:eastAsia="PMingLiU" w:hAnsi="Times New Roman" w:cs="Times New Roman"/>
          <w:bCs/>
          <w:color w:val="000000"/>
          <w:kern w:val="2"/>
          <w:sz w:val="24"/>
          <w:szCs w:val="24"/>
          <w:lang w:eastAsia="zh-TW"/>
        </w:rPr>
        <w:tab/>
        <w:t>74</w:t>
      </w:r>
    </w:p>
    <w:p w:rsidR="00004B5C" w:rsidRPr="00004B5C" w:rsidRDefault="00004B5C" w:rsidP="003D7355">
      <w:pPr>
        <w:pStyle w:val="ListParagraph"/>
        <w:widowControl w:val="0"/>
        <w:numPr>
          <w:ilvl w:val="1"/>
          <w:numId w:val="14"/>
        </w:numPr>
        <w:tabs>
          <w:tab w:val="right" w:leader="dot" w:pos="8505"/>
        </w:tabs>
        <w:spacing w:after="0" w:line="360" w:lineRule="auto"/>
        <w:ind w:left="1418"/>
        <w:jc w:val="both"/>
        <w:rPr>
          <w:rFonts w:ascii="Times New Roman" w:eastAsia="PMingLiU" w:hAnsi="Times New Roman" w:cs="Times New Roman"/>
          <w:bCs/>
          <w:color w:val="000000"/>
          <w:kern w:val="2"/>
          <w:sz w:val="24"/>
          <w:szCs w:val="24"/>
          <w:lang w:eastAsia="zh-TW"/>
        </w:rPr>
      </w:pPr>
      <w:r w:rsidRPr="00004B5C">
        <w:rPr>
          <w:rFonts w:ascii="Times New Roman" w:eastAsia="PMingLiU" w:hAnsi="Times New Roman" w:cs="Times New Roman"/>
          <w:bCs/>
          <w:color w:val="000000"/>
          <w:kern w:val="2"/>
          <w:sz w:val="24"/>
          <w:szCs w:val="24"/>
          <w:lang w:eastAsia="zh-TW"/>
        </w:rPr>
        <w:t>Undang-undang Nomor 11 Tahun 2014 tentang Keinsinyuran</w:t>
      </w:r>
      <w:r w:rsidR="00822CA2">
        <w:rPr>
          <w:rFonts w:ascii="Times New Roman" w:eastAsia="PMingLiU" w:hAnsi="Times New Roman" w:cs="Times New Roman"/>
          <w:bCs/>
          <w:color w:val="000000"/>
          <w:kern w:val="2"/>
          <w:sz w:val="24"/>
          <w:szCs w:val="24"/>
          <w:lang w:eastAsia="zh-TW"/>
        </w:rPr>
        <w:tab/>
        <w:t>78</w:t>
      </w:r>
    </w:p>
    <w:p w:rsidR="00004B5C" w:rsidRDefault="00004B5C" w:rsidP="003D7355">
      <w:pPr>
        <w:pStyle w:val="ListParagraph"/>
        <w:numPr>
          <w:ilvl w:val="0"/>
          <w:numId w:val="10"/>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 xml:space="preserve">Analisis dampak kebijakan pemerintah Indonesia terhadap persaingan perdagangan jasa di bidang konstruksi </w:t>
      </w:r>
      <w:r w:rsidR="00822CA2">
        <w:rPr>
          <w:rFonts w:ascii="Times New Roman" w:eastAsia="PMingLiU" w:hAnsi="Times New Roman" w:cs="Times New Roman"/>
          <w:kern w:val="2"/>
          <w:sz w:val="24"/>
          <w:szCs w:val="24"/>
          <w:lang w:eastAsia="zh-TW"/>
        </w:rPr>
        <w:t>dalam Masyarkat Ekonomi ASEAN</w:t>
      </w:r>
      <w:r w:rsidR="00822CA2">
        <w:rPr>
          <w:rFonts w:ascii="Times New Roman" w:eastAsia="PMingLiU" w:hAnsi="Times New Roman" w:cs="Times New Roman"/>
          <w:kern w:val="2"/>
          <w:sz w:val="24"/>
          <w:szCs w:val="24"/>
          <w:lang w:eastAsia="zh-TW"/>
        </w:rPr>
        <w:tab/>
        <w:t>86</w:t>
      </w:r>
    </w:p>
    <w:p w:rsidR="006F5DEF" w:rsidRPr="00004B5C" w:rsidRDefault="006F5DEF" w:rsidP="003D7355">
      <w:pPr>
        <w:pStyle w:val="ListParagraph"/>
        <w:numPr>
          <w:ilvl w:val="0"/>
          <w:numId w:val="10"/>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Hambatan- hambatan pemerintah Indonesia &amp; pelaku jasa konstruksi dalam persaingan perdagangan jasa di bidang konstruksi dalam Masyarkat Ekonomi ASEAN</w:t>
      </w:r>
      <w:r w:rsidR="00822CA2">
        <w:rPr>
          <w:rFonts w:ascii="Times New Roman" w:eastAsia="PMingLiU" w:hAnsi="Times New Roman" w:cs="Times New Roman"/>
          <w:kern w:val="2"/>
          <w:sz w:val="24"/>
          <w:szCs w:val="24"/>
          <w:lang w:eastAsia="zh-TW"/>
        </w:rPr>
        <w:tab/>
        <w:t>104</w:t>
      </w:r>
    </w:p>
    <w:p w:rsidR="003C69B9" w:rsidRDefault="00031334" w:rsidP="003D7355">
      <w:pPr>
        <w:pStyle w:val="ListParagraph"/>
        <w:numPr>
          <w:ilvl w:val="0"/>
          <w:numId w:val="6"/>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 xml:space="preserve"> </w:t>
      </w:r>
      <w:r w:rsidR="006F5DEF">
        <w:rPr>
          <w:rFonts w:ascii="Times New Roman" w:eastAsia="PMingLiU" w:hAnsi="Times New Roman" w:cs="Times New Roman"/>
          <w:kern w:val="2"/>
          <w:sz w:val="24"/>
          <w:szCs w:val="24"/>
          <w:lang w:eastAsia="zh-TW"/>
        </w:rPr>
        <w:t>Perbandingan persaingan perdagangan jasa di bidang konstruksi antara Indonesia  dengan negara anggota ASEAN lainnya</w:t>
      </w:r>
      <w:r w:rsidR="00822CA2">
        <w:rPr>
          <w:rFonts w:ascii="Times New Roman" w:eastAsia="PMingLiU" w:hAnsi="Times New Roman" w:cs="Times New Roman"/>
          <w:kern w:val="2"/>
          <w:sz w:val="24"/>
          <w:szCs w:val="24"/>
          <w:lang w:eastAsia="zh-TW"/>
        </w:rPr>
        <w:tab/>
        <w:t>117</w:t>
      </w:r>
    </w:p>
    <w:p w:rsidR="006F5DEF" w:rsidRDefault="006F5DEF" w:rsidP="003D7355">
      <w:pPr>
        <w:pStyle w:val="ListParagraph"/>
        <w:numPr>
          <w:ilvl w:val="0"/>
          <w:numId w:val="11"/>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Perbandingan kemudahan berbisnis jasa di bidang konstruksi antara Indonesia  dengan negara anggota ASEAN lainnya</w:t>
      </w:r>
      <w:r w:rsidR="00822CA2">
        <w:rPr>
          <w:rFonts w:ascii="Times New Roman" w:eastAsia="PMingLiU" w:hAnsi="Times New Roman" w:cs="Times New Roman"/>
          <w:kern w:val="2"/>
          <w:sz w:val="24"/>
          <w:szCs w:val="24"/>
          <w:lang w:eastAsia="zh-TW"/>
        </w:rPr>
        <w:tab/>
        <w:t>117</w:t>
      </w:r>
    </w:p>
    <w:p w:rsidR="006F5DEF" w:rsidRDefault="006F5DEF" w:rsidP="003D7355">
      <w:pPr>
        <w:pStyle w:val="ListParagraph"/>
        <w:numPr>
          <w:ilvl w:val="0"/>
          <w:numId w:val="11"/>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Perbandingan daya saing investasi di bidang jasa konstruksi  antara Indonesia  dengan negara anggota ASEAN lainnya</w:t>
      </w:r>
      <w:r w:rsidR="002D48C7">
        <w:rPr>
          <w:rFonts w:ascii="Times New Roman" w:eastAsia="PMingLiU" w:hAnsi="Times New Roman" w:cs="Times New Roman"/>
          <w:kern w:val="2"/>
          <w:sz w:val="24"/>
          <w:szCs w:val="24"/>
          <w:lang w:eastAsia="zh-TW"/>
        </w:rPr>
        <w:tab/>
        <w:t>1</w:t>
      </w:r>
      <w:r w:rsidR="00822CA2">
        <w:rPr>
          <w:rFonts w:ascii="Times New Roman" w:eastAsia="PMingLiU" w:hAnsi="Times New Roman" w:cs="Times New Roman"/>
          <w:kern w:val="2"/>
          <w:sz w:val="24"/>
          <w:szCs w:val="24"/>
          <w:lang w:eastAsia="zh-TW"/>
        </w:rPr>
        <w:t>29</w:t>
      </w:r>
    </w:p>
    <w:p w:rsidR="006F5DEF" w:rsidRPr="00004B5C" w:rsidRDefault="006F5DEF" w:rsidP="003D7355">
      <w:pPr>
        <w:pStyle w:val="ListParagraph"/>
        <w:numPr>
          <w:ilvl w:val="0"/>
          <w:numId w:val="11"/>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Perbandingan persaingan tenaga kerja di bidang jasa konstruksi  antara Indonesia  dengan negara anggota ASEAN lainnya</w:t>
      </w:r>
      <w:r w:rsidR="00822CA2">
        <w:rPr>
          <w:rFonts w:ascii="Times New Roman" w:eastAsia="PMingLiU" w:hAnsi="Times New Roman" w:cs="Times New Roman"/>
          <w:kern w:val="2"/>
          <w:sz w:val="24"/>
          <w:szCs w:val="24"/>
          <w:lang w:eastAsia="zh-TW"/>
        </w:rPr>
        <w:tab/>
        <w:t>146</w:t>
      </w:r>
    </w:p>
    <w:p w:rsidR="00031334" w:rsidRPr="00031334" w:rsidRDefault="00031334" w:rsidP="00004B5C">
      <w:pPr>
        <w:tabs>
          <w:tab w:val="right" w:leader="dot" w:pos="8505"/>
        </w:tabs>
        <w:spacing w:after="0" w:line="360" w:lineRule="auto"/>
        <w:jc w:val="both"/>
        <w:rPr>
          <w:rFonts w:ascii="Times New Roman" w:eastAsia="PMingLiU" w:hAnsi="Times New Roman" w:cs="Times New Roman"/>
          <w:b/>
          <w:kern w:val="2"/>
          <w:sz w:val="24"/>
          <w:szCs w:val="24"/>
          <w:lang w:eastAsia="zh-TW"/>
        </w:rPr>
      </w:pPr>
      <w:r w:rsidRPr="00031334">
        <w:rPr>
          <w:rFonts w:ascii="Times New Roman" w:eastAsia="PMingLiU" w:hAnsi="Times New Roman" w:cs="Times New Roman"/>
          <w:b/>
          <w:kern w:val="2"/>
          <w:sz w:val="24"/>
          <w:szCs w:val="24"/>
          <w:lang w:eastAsia="zh-TW"/>
        </w:rPr>
        <w:t>BAB IV PENUTUP</w:t>
      </w:r>
      <w:r w:rsidR="002D48C7" w:rsidRPr="002D48C7">
        <w:rPr>
          <w:rFonts w:ascii="Times New Roman" w:eastAsia="PMingLiU" w:hAnsi="Times New Roman" w:cs="Times New Roman"/>
          <w:kern w:val="2"/>
          <w:sz w:val="24"/>
          <w:szCs w:val="24"/>
          <w:lang w:eastAsia="zh-TW"/>
        </w:rPr>
        <w:tab/>
      </w:r>
      <w:r w:rsidR="00822CA2">
        <w:rPr>
          <w:rFonts w:ascii="Times New Roman" w:eastAsia="PMingLiU" w:hAnsi="Times New Roman" w:cs="Times New Roman"/>
          <w:kern w:val="2"/>
          <w:sz w:val="24"/>
          <w:szCs w:val="24"/>
          <w:lang w:eastAsia="zh-TW"/>
        </w:rPr>
        <w:t>160</w:t>
      </w:r>
    </w:p>
    <w:p w:rsidR="00031334" w:rsidRDefault="00031334" w:rsidP="003D7355">
      <w:pPr>
        <w:pStyle w:val="ListParagraph"/>
        <w:numPr>
          <w:ilvl w:val="0"/>
          <w:numId w:val="7"/>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Kesimpulan</w:t>
      </w:r>
      <w:r w:rsidR="00822CA2">
        <w:rPr>
          <w:rFonts w:ascii="Times New Roman" w:eastAsia="PMingLiU" w:hAnsi="Times New Roman" w:cs="Times New Roman"/>
          <w:kern w:val="2"/>
          <w:sz w:val="24"/>
          <w:szCs w:val="24"/>
          <w:lang w:eastAsia="zh-TW"/>
        </w:rPr>
        <w:tab/>
        <w:t>160</w:t>
      </w:r>
    </w:p>
    <w:p w:rsidR="00031334" w:rsidRPr="00031334" w:rsidRDefault="00031334" w:rsidP="003D7355">
      <w:pPr>
        <w:pStyle w:val="ListParagraph"/>
        <w:numPr>
          <w:ilvl w:val="0"/>
          <w:numId w:val="7"/>
        </w:numPr>
        <w:tabs>
          <w:tab w:val="right" w:leader="dot" w:pos="8505"/>
        </w:tabs>
        <w:spacing w:after="0" w:line="36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Saran</w:t>
      </w:r>
      <w:r w:rsidR="002D48C7">
        <w:rPr>
          <w:rFonts w:ascii="Times New Roman" w:eastAsia="PMingLiU" w:hAnsi="Times New Roman" w:cs="Times New Roman"/>
          <w:kern w:val="2"/>
          <w:sz w:val="24"/>
          <w:szCs w:val="24"/>
          <w:lang w:eastAsia="zh-TW"/>
        </w:rPr>
        <w:tab/>
      </w:r>
      <w:r w:rsidR="00822CA2">
        <w:rPr>
          <w:rFonts w:ascii="Times New Roman" w:eastAsia="PMingLiU" w:hAnsi="Times New Roman" w:cs="Times New Roman"/>
          <w:kern w:val="2"/>
          <w:sz w:val="24"/>
          <w:szCs w:val="24"/>
          <w:lang w:eastAsia="zh-TW"/>
        </w:rPr>
        <w:t>162</w:t>
      </w:r>
    </w:p>
    <w:p w:rsidR="00031334" w:rsidRPr="00031334" w:rsidRDefault="00C10C4F" w:rsidP="00004B5C">
      <w:pPr>
        <w:widowControl w:val="0"/>
        <w:spacing w:after="0" w:line="360" w:lineRule="auto"/>
        <w:jc w:val="both"/>
        <w:rPr>
          <w:rFonts w:ascii="Times New Roman" w:eastAsia="PMingLiU" w:hAnsi="Times New Roman" w:cs="Times New Roman"/>
          <w:b/>
          <w:kern w:val="2"/>
          <w:sz w:val="24"/>
          <w:szCs w:val="24"/>
          <w:lang w:eastAsia="zh-TW"/>
        </w:rPr>
      </w:pPr>
      <w:r w:rsidRPr="00031334">
        <w:rPr>
          <w:rFonts w:ascii="Times New Roman" w:eastAsia="PMingLiU" w:hAnsi="Times New Roman" w:cs="Times New Roman"/>
          <w:b/>
          <w:kern w:val="2"/>
          <w:sz w:val="24"/>
          <w:szCs w:val="24"/>
          <w:lang w:eastAsia="zh-TW"/>
        </w:rPr>
        <w:t xml:space="preserve">DAFTAR PUSTAKA </w:t>
      </w:r>
    </w:p>
    <w:p w:rsidR="00031334" w:rsidRDefault="00031334" w:rsidP="00004B5C">
      <w:pPr>
        <w:widowControl w:val="0"/>
        <w:spacing w:after="0" w:line="360" w:lineRule="auto"/>
        <w:jc w:val="both"/>
        <w:rPr>
          <w:rFonts w:ascii="Times New Roman" w:eastAsia="PMingLiU" w:hAnsi="Times New Roman" w:cs="Times New Roman"/>
          <w:b/>
          <w:kern w:val="2"/>
          <w:sz w:val="24"/>
          <w:szCs w:val="24"/>
          <w:lang w:eastAsia="zh-TW"/>
        </w:rPr>
      </w:pPr>
      <w:r w:rsidRPr="00031334">
        <w:rPr>
          <w:rFonts w:ascii="Times New Roman" w:eastAsia="PMingLiU" w:hAnsi="Times New Roman" w:cs="Times New Roman"/>
          <w:b/>
          <w:kern w:val="2"/>
          <w:sz w:val="24"/>
          <w:szCs w:val="24"/>
          <w:lang w:eastAsia="zh-TW"/>
        </w:rPr>
        <w:t xml:space="preserve">LAMPIRAN </w:t>
      </w:r>
      <w:r w:rsidR="006F5DEF">
        <w:rPr>
          <w:rFonts w:ascii="Times New Roman" w:eastAsia="PMingLiU" w:hAnsi="Times New Roman" w:cs="Times New Roman"/>
          <w:b/>
          <w:kern w:val="2"/>
          <w:sz w:val="24"/>
          <w:szCs w:val="24"/>
          <w:lang w:eastAsia="zh-TW"/>
        </w:rPr>
        <w:t>–</w:t>
      </w:r>
      <w:r w:rsidRPr="00031334">
        <w:rPr>
          <w:rFonts w:ascii="Times New Roman" w:eastAsia="PMingLiU" w:hAnsi="Times New Roman" w:cs="Times New Roman"/>
          <w:b/>
          <w:kern w:val="2"/>
          <w:sz w:val="24"/>
          <w:szCs w:val="24"/>
          <w:lang w:eastAsia="zh-TW"/>
        </w:rPr>
        <w:t xml:space="preserve"> LAMPIRAN</w:t>
      </w:r>
    </w:p>
    <w:p w:rsidR="00FD02EA" w:rsidRDefault="00FD02EA" w:rsidP="007C580F">
      <w:pPr>
        <w:widowControl w:val="0"/>
        <w:spacing w:after="0" w:line="480" w:lineRule="auto"/>
        <w:jc w:val="both"/>
        <w:rPr>
          <w:rFonts w:ascii="Times New Roman" w:eastAsia="PMingLiU" w:hAnsi="Times New Roman" w:cs="Times New Roman"/>
          <w:b/>
          <w:kern w:val="2"/>
          <w:sz w:val="24"/>
          <w:szCs w:val="24"/>
          <w:lang w:eastAsia="zh-TW"/>
        </w:rPr>
      </w:pPr>
    </w:p>
    <w:p w:rsidR="00065000" w:rsidRDefault="00065000" w:rsidP="007C580F">
      <w:pPr>
        <w:widowControl w:val="0"/>
        <w:spacing w:after="0" w:line="480" w:lineRule="auto"/>
        <w:jc w:val="both"/>
        <w:rPr>
          <w:rFonts w:ascii="Times New Roman" w:eastAsia="PMingLiU" w:hAnsi="Times New Roman" w:cs="Times New Roman"/>
          <w:b/>
          <w:kern w:val="2"/>
          <w:sz w:val="24"/>
          <w:szCs w:val="24"/>
          <w:lang w:eastAsia="zh-TW"/>
        </w:rPr>
      </w:pPr>
    </w:p>
    <w:p w:rsidR="00004B5C" w:rsidRDefault="00004B5C" w:rsidP="007C580F">
      <w:pPr>
        <w:widowControl w:val="0"/>
        <w:spacing w:after="0" w:line="480" w:lineRule="auto"/>
        <w:jc w:val="both"/>
        <w:rPr>
          <w:rFonts w:ascii="Times New Roman" w:eastAsia="PMingLiU" w:hAnsi="Times New Roman" w:cs="Times New Roman"/>
          <w:b/>
          <w:kern w:val="2"/>
          <w:sz w:val="24"/>
          <w:szCs w:val="24"/>
          <w:lang w:eastAsia="zh-TW"/>
        </w:rPr>
      </w:pPr>
    </w:p>
    <w:p w:rsidR="00915C1B" w:rsidRDefault="00915C1B" w:rsidP="00065000">
      <w:pPr>
        <w:widowControl w:val="0"/>
        <w:spacing w:after="0" w:line="480" w:lineRule="auto"/>
        <w:jc w:val="center"/>
        <w:rPr>
          <w:rFonts w:ascii="Times New Roman" w:eastAsia="PMingLiU" w:hAnsi="Times New Roman" w:cs="Times New Roman"/>
          <w:b/>
          <w:kern w:val="2"/>
          <w:sz w:val="24"/>
          <w:szCs w:val="24"/>
          <w:lang w:eastAsia="zh-TW"/>
        </w:rPr>
      </w:pPr>
    </w:p>
    <w:p w:rsidR="00915C1B" w:rsidRDefault="00915C1B" w:rsidP="00065000">
      <w:pPr>
        <w:widowControl w:val="0"/>
        <w:spacing w:after="0" w:line="480" w:lineRule="auto"/>
        <w:jc w:val="center"/>
        <w:rPr>
          <w:rFonts w:ascii="Times New Roman" w:eastAsia="PMingLiU" w:hAnsi="Times New Roman" w:cs="Times New Roman"/>
          <w:b/>
          <w:kern w:val="2"/>
          <w:sz w:val="24"/>
          <w:szCs w:val="24"/>
          <w:lang w:eastAsia="zh-TW"/>
        </w:rPr>
      </w:pPr>
    </w:p>
    <w:p w:rsidR="00915C1B" w:rsidRDefault="00915C1B" w:rsidP="00065000">
      <w:pPr>
        <w:widowControl w:val="0"/>
        <w:spacing w:after="0" w:line="480" w:lineRule="auto"/>
        <w:jc w:val="center"/>
        <w:rPr>
          <w:rFonts w:ascii="Times New Roman" w:eastAsia="PMingLiU" w:hAnsi="Times New Roman" w:cs="Times New Roman"/>
          <w:b/>
          <w:kern w:val="2"/>
          <w:sz w:val="24"/>
          <w:szCs w:val="24"/>
          <w:lang w:eastAsia="zh-TW"/>
        </w:rPr>
      </w:pPr>
    </w:p>
    <w:p w:rsidR="00065000" w:rsidRDefault="00065000" w:rsidP="00065000">
      <w:pPr>
        <w:widowControl w:val="0"/>
        <w:spacing w:after="0" w:line="480" w:lineRule="auto"/>
        <w:jc w:val="center"/>
        <w:rPr>
          <w:rFonts w:ascii="Times New Roman" w:eastAsia="PMingLiU" w:hAnsi="Times New Roman" w:cs="Times New Roman"/>
          <w:b/>
          <w:kern w:val="2"/>
          <w:sz w:val="24"/>
          <w:szCs w:val="24"/>
          <w:lang w:eastAsia="zh-TW"/>
        </w:rPr>
      </w:pPr>
      <w:r>
        <w:rPr>
          <w:rFonts w:ascii="Times New Roman" w:eastAsia="PMingLiU" w:hAnsi="Times New Roman" w:cs="Times New Roman"/>
          <w:b/>
          <w:kern w:val="2"/>
          <w:sz w:val="24"/>
          <w:szCs w:val="24"/>
          <w:lang w:eastAsia="zh-TW"/>
        </w:rPr>
        <w:lastRenderedPageBreak/>
        <w:t>DAFTAR TABEL</w:t>
      </w:r>
    </w:p>
    <w:p w:rsidR="00065000" w:rsidRDefault="00065000" w:rsidP="00065000">
      <w:pPr>
        <w:widowControl w:val="0"/>
        <w:spacing w:after="0" w:line="480" w:lineRule="auto"/>
        <w:jc w:val="both"/>
        <w:rPr>
          <w:rFonts w:ascii="Times New Roman" w:eastAsia="PMingLiU" w:hAnsi="Times New Roman" w:cs="Times New Roman"/>
          <w:b/>
          <w:kern w:val="2"/>
          <w:sz w:val="24"/>
          <w:szCs w:val="24"/>
          <w:lang w:eastAsia="zh-TW"/>
        </w:rPr>
      </w:pPr>
    </w:p>
    <w:p w:rsidR="00065000" w:rsidRDefault="00065000" w:rsidP="003D7355">
      <w:pPr>
        <w:pStyle w:val="ListParagraph"/>
        <w:numPr>
          <w:ilvl w:val="0"/>
          <w:numId w:val="12"/>
        </w:numPr>
        <w:tabs>
          <w:tab w:val="right" w:leader="dot" w:pos="8505"/>
        </w:tabs>
        <w:spacing w:after="0" w:line="480" w:lineRule="auto"/>
        <w:ind w:left="714" w:hanging="357"/>
        <w:jc w:val="both"/>
        <w:rPr>
          <w:rFonts w:ascii="Times New Roman" w:eastAsia="PMingLiU" w:hAnsi="Times New Roman" w:cs="Times New Roman"/>
          <w:kern w:val="2"/>
          <w:sz w:val="24"/>
          <w:szCs w:val="24"/>
          <w:lang w:eastAsia="zh-TW"/>
        </w:rPr>
      </w:pPr>
      <w:r w:rsidRPr="006F5DEF">
        <w:rPr>
          <w:rFonts w:ascii="Times New Roman" w:eastAsia="PMingLiU" w:hAnsi="Times New Roman" w:cs="Times New Roman"/>
          <w:kern w:val="2"/>
          <w:sz w:val="24"/>
          <w:szCs w:val="24"/>
          <w:lang w:eastAsia="zh-TW"/>
        </w:rPr>
        <w:t xml:space="preserve">Tabel </w:t>
      </w:r>
      <w:r w:rsidR="000A776B">
        <w:rPr>
          <w:rFonts w:ascii="Times New Roman" w:eastAsia="PMingLiU" w:hAnsi="Times New Roman" w:cs="Times New Roman"/>
          <w:kern w:val="2"/>
          <w:sz w:val="24"/>
          <w:szCs w:val="24"/>
          <w:lang w:eastAsia="zh-TW"/>
        </w:rPr>
        <w:t>3.1</w:t>
      </w:r>
      <w:r w:rsidR="000A776B">
        <w:rPr>
          <w:rFonts w:ascii="Times New Roman" w:eastAsia="PMingLiU" w:hAnsi="Times New Roman" w:cs="Times New Roman"/>
          <w:kern w:val="2"/>
          <w:sz w:val="24"/>
          <w:szCs w:val="24"/>
          <w:lang w:eastAsia="zh-TW"/>
        </w:rPr>
        <w:tab/>
        <w:t>63</w:t>
      </w:r>
    </w:p>
    <w:p w:rsidR="00065000" w:rsidRDefault="000A776B" w:rsidP="003D7355">
      <w:pPr>
        <w:pStyle w:val="ListParagraph"/>
        <w:numPr>
          <w:ilvl w:val="0"/>
          <w:numId w:val="12"/>
        </w:numPr>
        <w:tabs>
          <w:tab w:val="right" w:leader="dot" w:pos="8505"/>
        </w:tabs>
        <w:spacing w:after="0" w:line="480" w:lineRule="auto"/>
        <w:ind w:left="714" w:hanging="357"/>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Tabel 3.2</w:t>
      </w:r>
      <w:r>
        <w:rPr>
          <w:rFonts w:ascii="Times New Roman" w:eastAsia="PMingLiU" w:hAnsi="Times New Roman" w:cs="Times New Roman"/>
          <w:kern w:val="2"/>
          <w:sz w:val="24"/>
          <w:szCs w:val="24"/>
          <w:lang w:eastAsia="zh-TW"/>
        </w:rPr>
        <w:tab/>
        <w:t>113</w:t>
      </w:r>
    </w:p>
    <w:p w:rsidR="00065000" w:rsidRDefault="000A776B" w:rsidP="003D7355">
      <w:pPr>
        <w:pStyle w:val="ListParagraph"/>
        <w:numPr>
          <w:ilvl w:val="0"/>
          <w:numId w:val="12"/>
        </w:numPr>
        <w:tabs>
          <w:tab w:val="right" w:leader="dot" w:pos="8505"/>
        </w:tabs>
        <w:spacing w:after="0" w:line="480" w:lineRule="auto"/>
        <w:ind w:left="714" w:hanging="357"/>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Tabel 3.3</w:t>
      </w:r>
      <w:r>
        <w:rPr>
          <w:rFonts w:ascii="Times New Roman" w:eastAsia="PMingLiU" w:hAnsi="Times New Roman" w:cs="Times New Roman"/>
          <w:kern w:val="2"/>
          <w:sz w:val="24"/>
          <w:szCs w:val="24"/>
          <w:lang w:eastAsia="zh-TW"/>
        </w:rPr>
        <w:tab/>
        <w:t>120</w:t>
      </w:r>
    </w:p>
    <w:p w:rsidR="00065000" w:rsidRDefault="000A776B" w:rsidP="003D7355">
      <w:pPr>
        <w:pStyle w:val="ListParagraph"/>
        <w:numPr>
          <w:ilvl w:val="0"/>
          <w:numId w:val="12"/>
        </w:numPr>
        <w:tabs>
          <w:tab w:val="right" w:leader="dot" w:pos="8505"/>
        </w:tabs>
        <w:spacing w:after="0" w:line="480" w:lineRule="auto"/>
        <w:ind w:left="714" w:hanging="357"/>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Tabel 3.4</w:t>
      </w:r>
      <w:r>
        <w:rPr>
          <w:rFonts w:ascii="Times New Roman" w:eastAsia="PMingLiU" w:hAnsi="Times New Roman" w:cs="Times New Roman"/>
          <w:kern w:val="2"/>
          <w:sz w:val="24"/>
          <w:szCs w:val="24"/>
          <w:lang w:eastAsia="zh-TW"/>
        </w:rPr>
        <w:tab/>
        <w:t>126</w:t>
      </w:r>
    </w:p>
    <w:p w:rsidR="00065000" w:rsidRDefault="000A776B" w:rsidP="003D7355">
      <w:pPr>
        <w:pStyle w:val="ListParagraph"/>
        <w:numPr>
          <w:ilvl w:val="0"/>
          <w:numId w:val="12"/>
        </w:numPr>
        <w:tabs>
          <w:tab w:val="right" w:leader="dot" w:pos="8505"/>
        </w:tabs>
        <w:spacing w:after="0" w:line="480" w:lineRule="auto"/>
        <w:ind w:left="714" w:hanging="357"/>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Tabel 3.5</w:t>
      </w:r>
      <w:r>
        <w:rPr>
          <w:rFonts w:ascii="Times New Roman" w:eastAsia="PMingLiU" w:hAnsi="Times New Roman" w:cs="Times New Roman"/>
          <w:kern w:val="2"/>
          <w:sz w:val="24"/>
          <w:szCs w:val="24"/>
          <w:lang w:eastAsia="zh-TW"/>
        </w:rPr>
        <w:tab/>
        <w:t>134</w:t>
      </w:r>
    </w:p>
    <w:p w:rsidR="00065000" w:rsidRDefault="00065000" w:rsidP="003D7355">
      <w:pPr>
        <w:pStyle w:val="ListParagraph"/>
        <w:numPr>
          <w:ilvl w:val="0"/>
          <w:numId w:val="12"/>
        </w:numPr>
        <w:tabs>
          <w:tab w:val="right" w:leader="dot" w:pos="8505"/>
        </w:tabs>
        <w:spacing w:after="0" w:line="480" w:lineRule="auto"/>
        <w:ind w:left="714" w:hanging="357"/>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Tabel 3.6</w:t>
      </w:r>
      <w:r>
        <w:rPr>
          <w:rFonts w:ascii="Times New Roman" w:eastAsia="PMingLiU" w:hAnsi="Times New Roman" w:cs="Times New Roman"/>
          <w:kern w:val="2"/>
          <w:sz w:val="24"/>
          <w:szCs w:val="24"/>
          <w:lang w:eastAsia="zh-TW"/>
        </w:rPr>
        <w:tab/>
      </w:r>
      <w:r w:rsidR="000A776B">
        <w:rPr>
          <w:rFonts w:ascii="Times New Roman" w:eastAsia="PMingLiU" w:hAnsi="Times New Roman" w:cs="Times New Roman"/>
          <w:kern w:val="2"/>
          <w:sz w:val="24"/>
          <w:szCs w:val="24"/>
          <w:lang w:eastAsia="zh-TW"/>
        </w:rPr>
        <w:t>148</w:t>
      </w:r>
    </w:p>
    <w:p w:rsidR="00065000" w:rsidRPr="00065000" w:rsidRDefault="00065000" w:rsidP="00065000">
      <w:pPr>
        <w:tabs>
          <w:tab w:val="right" w:leader="dot" w:pos="8505"/>
        </w:tabs>
        <w:spacing w:after="0" w:line="480" w:lineRule="auto"/>
        <w:jc w:val="both"/>
        <w:rPr>
          <w:rFonts w:ascii="Times New Roman" w:eastAsia="PMingLiU" w:hAnsi="Times New Roman" w:cs="Times New Roman"/>
          <w:kern w:val="2"/>
          <w:sz w:val="24"/>
          <w:szCs w:val="24"/>
          <w:lang w:eastAsia="zh-TW"/>
        </w:rPr>
      </w:pPr>
    </w:p>
    <w:p w:rsidR="00065000" w:rsidRDefault="00065000" w:rsidP="00065000">
      <w:pPr>
        <w:widowControl w:val="0"/>
        <w:spacing w:after="0" w:line="480" w:lineRule="auto"/>
        <w:jc w:val="center"/>
        <w:rPr>
          <w:rFonts w:ascii="Times New Roman" w:eastAsia="PMingLiU" w:hAnsi="Times New Roman" w:cs="Times New Roman"/>
          <w:b/>
          <w:kern w:val="2"/>
          <w:sz w:val="24"/>
          <w:szCs w:val="24"/>
          <w:lang w:eastAsia="zh-TW"/>
        </w:rPr>
      </w:pPr>
    </w:p>
    <w:p w:rsidR="00065000" w:rsidRDefault="00065000" w:rsidP="00065000">
      <w:pPr>
        <w:widowControl w:val="0"/>
        <w:spacing w:after="0" w:line="480" w:lineRule="auto"/>
        <w:jc w:val="center"/>
        <w:rPr>
          <w:rFonts w:ascii="Times New Roman" w:eastAsia="PMingLiU" w:hAnsi="Times New Roman" w:cs="Times New Roman"/>
          <w:b/>
          <w:kern w:val="2"/>
          <w:sz w:val="24"/>
          <w:szCs w:val="24"/>
          <w:lang w:eastAsia="zh-TW"/>
        </w:rPr>
      </w:pPr>
    </w:p>
    <w:p w:rsidR="00065000" w:rsidRDefault="00065000" w:rsidP="00065000">
      <w:pPr>
        <w:widowControl w:val="0"/>
        <w:spacing w:after="0" w:line="480" w:lineRule="auto"/>
        <w:jc w:val="center"/>
        <w:rPr>
          <w:rFonts w:ascii="Times New Roman" w:eastAsia="PMingLiU" w:hAnsi="Times New Roman" w:cs="Times New Roman"/>
          <w:b/>
          <w:kern w:val="2"/>
          <w:sz w:val="24"/>
          <w:szCs w:val="24"/>
          <w:lang w:eastAsia="zh-TW"/>
        </w:rPr>
      </w:pPr>
    </w:p>
    <w:p w:rsidR="00065000" w:rsidRDefault="00065000" w:rsidP="00065000">
      <w:pPr>
        <w:widowControl w:val="0"/>
        <w:spacing w:after="0" w:line="480" w:lineRule="auto"/>
        <w:jc w:val="center"/>
        <w:rPr>
          <w:rFonts w:ascii="Times New Roman" w:eastAsia="PMingLiU" w:hAnsi="Times New Roman" w:cs="Times New Roman"/>
          <w:b/>
          <w:kern w:val="2"/>
          <w:sz w:val="24"/>
          <w:szCs w:val="24"/>
          <w:lang w:eastAsia="zh-TW"/>
        </w:rPr>
      </w:pPr>
    </w:p>
    <w:p w:rsidR="00065000" w:rsidRDefault="00065000" w:rsidP="00065000">
      <w:pPr>
        <w:widowControl w:val="0"/>
        <w:spacing w:after="0" w:line="480" w:lineRule="auto"/>
        <w:jc w:val="center"/>
        <w:rPr>
          <w:rFonts w:ascii="Times New Roman" w:eastAsia="PMingLiU" w:hAnsi="Times New Roman" w:cs="Times New Roman"/>
          <w:b/>
          <w:kern w:val="2"/>
          <w:sz w:val="24"/>
          <w:szCs w:val="24"/>
          <w:lang w:eastAsia="zh-TW"/>
        </w:rPr>
      </w:pPr>
    </w:p>
    <w:p w:rsidR="00065000" w:rsidRDefault="00065000" w:rsidP="00065000">
      <w:pPr>
        <w:widowControl w:val="0"/>
        <w:spacing w:after="0" w:line="480" w:lineRule="auto"/>
        <w:jc w:val="center"/>
        <w:rPr>
          <w:rFonts w:ascii="Times New Roman" w:eastAsia="PMingLiU" w:hAnsi="Times New Roman" w:cs="Times New Roman"/>
          <w:b/>
          <w:kern w:val="2"/>
          <w:sz w:val="24"/>
          <w:szCs w:val="24"/>
          <w:lang w:eastAsia="zh-TW"/>
        </w:rPr>
      </w:pPr>
    </w:p>
    <w:p w:rsidR="00065000" w:rsidRDefault="00065000" w:rsidP="00065000">
      <w:pPr>
        <w:widowControl w:val="0"/>
        <w:spacing w:after="0" w:line="480" w:lineRule="auto"/>
        <w:jc w:val="center"/>
        <w:rPr>
          <w:rFonts w:ascii="Times New Roman" w:eastAsia="PMingLiU" w:hAnsi="Times New Roman" w:cs="Times New Roman"/>
          <w:b/>
          <w:kern w:val="2"/>
          <w:sz w:val="24"/>
          <w:szCs w:val="24"/>
          <w:lang w:eastAsia="zh-TW"/>
        </w:rPr>
      </w:pPr>
    </w:p>
    <w:p w:rsidR="00065000" w:rsidRDefault="00065000" w:rsidP="00065000">
      <w:pPr>
        <w:widowControl w:val="0"/>
        <w:spacing w:after="0" w:line="480" w:lineRule="auto"/>
        <w:jc w:val="center"/>
        <w:rPr>
          <w:rFonts w:ascii="Times New Roman" w:eastAsia="PMingLiU" w:hAnsi="Times New Roman" w:cs="Times New Roman"/>
          <w:b/>
          <w:kern w:val="2"/>
          <w:sz w:val="24"/>
          <w:szCs w:val="24"/>
          <w:lang w:eastAsia="zh-TW"/>
        </w:rPr>
      </w:pPr>
    </w:p>
    <w:p w:rsidR="00065000" w:rsidRDefault="00065000" w:rsidP="00065000">
      <w:pPr>
        <w:widowControl w:val="0"/>
        <w:spacing w:after="0" w:line="480" w:lineRule="auto"/>
        <w:jc w:val="center"/>
        <w:rPr>
          <w:rFonts w:ascii="Times New Roman" w:eastAsia="PMingLiU" w:hAnsi="Times New Roman" w:cs="Times New Roman"/>
          <w:b/>
          <w:kern w:val="2"/>
          <w:sz w:val="24"/>
          <w:szCs w:val="24"/>
          <w:lang w:eastAsia="zh-TW"/>
        </w:rPr>
      </w:pPr>
    </w:p>
    <w:p w:rsidR="00065000" w:rsidRDefault="00065000" w:rsidP="00065000">
      <w:pPr>
        <w:widowControl w:val="0"/>
        <w:spacing w:after="0" w:line="480" w:lineRule="auto"/>
        <w:jc w:val="center"/>
        <w:rPr>
          <w:rFonts w:ascii="Times New Roman" w:eastAsia="PMingLiU" w:hAnsi="Times New Roman" w:cs="Times New Roman"/>
          <w:b/>
          <w:kern w:val="2"/>
          <w:sz w:val="24"/>
          <w:szCs w:val="24"/>
          <w:lang w:eastAsia="zh-TW"/>
        </w:rPr>
      </w:pPr>
    </w:p>
    <w:p w:rsidR="00065000" w:rsidRDefault="00065000" w:rsidP="00065000">
      <w:pPr>
        <w:widowControl w:val="0"/>
        <w:spacing w:after="0" w:line="480" w:lineRule="auto"/>
        <w:jc w:val="center"/>
        <w:rPr>
          <w:rFonts w:ascii="Times New Roman" w:eastAsia="PMingLiU" w:hAnsi="Times New Roman" w:cs="Times New Roman"/>
          <w:b/>
          <w:kern w:val="2"/>
          <w:sz w:val="24"/>
          <w:szCs w:val="24"/>
          <w:lang w:eastAsia="zh-TW"/>
        </w:rPr>
      </w:pPr>
    </w:p>
    <w:p w:rsidR="00065000" w:rsidRDefault="00065000" w:rsidP="00065000">
      <w:pPr>
        <w:widowControl w:val="0"/>
        <w:spacing w:after="0" w:line="480" w:lineRule="auto"/>
        <w:jc w:val="center"/>
        <w:rPr>
          <w:rFonts w:ascii="Times New Roman" w:eastAsia="PMingLiU" w:hAnsi="Times New Roman" w:cs="Times New Roman"/>
          <w:b/>
          <w:kern w:val="2"/>
          <w:sz w:val="24"/>
          <w:szCs w:val="24"/>
          <w:lang w:eastAsia="zh-TW"/>
        </w:rPr>
      </w:pPr>
    </w:p>
    <w:p w:rsidR="00065000" w:rsidRDefault="00065000" w:rsidP="00065000">
      <w:pPr>
        <w:widowControl w:val="0"/>
        <w:spacing w:after="0" w:line="480" w:lineRule="auto"/>
        <w:jc w:val="center"/>
        <w:rPr>
          <w:rFonts w:ascii="Times New Roman" w:eastAsia="PMingLiU" w:hAnsi="Times New Roman" w:cs="Times New Roman"/>
          <w:b/>
          <w:kern w:val="2"/>
          <w:sz w:val="24"/>
          <w:szCs w:val="24"/>
          <w:lang w:eastAsia="zh-TW"/>
        </w:rPr>
      </w:pPr>
    </w:p>
    <w:p w:rsidR="00AD136E" w:rsidRDefault="00AD136E" w:rsidP="00065000">
      <w:pPr>
        <w:widowControl w:val="0"/>
        <w:spacing w:after="0" w:line="480" w:lineRule="auto"/>
        <w:jc w:val="center"/>
        <w:rPr>
          <w:rFonts w:ascii="Times New Roman" w:eastAsia="PMingLiU" w:hAnsi="Times New Roman" w:cs="Times New Roman"/>
          <w:b/>
          <w:kern w:val="2"/>
          <w:sz w:val="24"/>
          <w:szCs w:val="24"/>
          <w:lang w:eastAsia="zh-TW"/>
        </w:rPr>
      </w:pPr>
    </w:p>
    <w:p w:rsidR="00915C1B" w:rsidRDefault="00915C1B" w:rsidP="00065000">
      <w:pPr>
        <w:widowControl w:val="0"/>
        <w:spacing w:after="0" w:line="480" w:lineRule="auto"/>
        <w:jc w:val="center"/>
        <w:rPr>
          <w:rFonts w:ascii="Times New Roman" w:eastAsia="PMingLiU" w:hAnsi="Times New Roman" w:cs="Times New Roman"/>
          <w:b/>
          <w:kern w:val="2"/>
          <w:sz w:val="24"/>
          <w:szCs w:val="24"/>
          <w:lang w:eastAsia="zh-TW"/>
        </w:rPr>
      </w:pPr>
    </w:p>
    <w:p w:rsidR="00065000" w:rsidRPr="006F5DEF" w:rsidRDefault="00065000" w:rsidP="00065000">
      <w:pPr>
        <w:widowControl w:val="0"/>
        <w:spacing w:after="0" w:line="480" w:lineRule="auto"/>
        <w:jc w:val="center"/>
        <w:rPr>
          <w:rFonts w:ascii="Times New Roman" w:eastAsia="PMingLiU" w:hAnsi="Times New Roman" w:cs="Times New Roman"/>
          <w:b/>
          <w:kern w:val="2"/>
          <w:sz w:val="24"/>
          <w:szCs w:val="24"/>
          <w:lang w:eastAsia="zh-TW"/>
        </w:rPr>
      </w:pPr>
      <w:r w:rsidRPr="006F5DEF">
        <w:rPr>
          <w:rFonts w:ascii="Times New Roman" w:eastAsia="PMingLiU" w:hAnsi="Times New Roman" w:cs="Times New Roman"/>
          <w:b/>
          <w:kern w:val="2"/>
          <w:sz w:val="24"/>
          <w:szCs w:val="24"/>
          <w:lang w:eastAsia="zh-TW"/>
        </w:rPr>
        <w:lastRenderedPageBreak/>
        <w:t>DAFTAR  GRAFIK</w:t>
      </w:r>
    </w:p>
    <w:p w:rsidR="00065000" w:rsidRDefault="00065000" w:rsidP="00065000">
      <w:pPr>
        <w:widowControl w:val="0"/>
        <w:spacing w:after="0" w:line="480" w:lineRule="auto"/>
        <w:jc w:val="both"/>
        <w:rPr>
          <w:rFonts w:ascii="Times New Roman" w:eastAsia="PMingLiU" w:hAnsi="Times New Roman" w:cs="Times New Roman"/>
          <w:kern w:val="2"/>
          <w:sz w:val="24"/>
          <w:szCs w:val="24"/>
          <w:lang w:eastAsia="zh-TW"/>
        </w:rPr>
      </w:pPr>
    </w:p>
    <w:p w:rsidR="00065000" w:rsidRDefault="00AD136E" w:rsidP="003D7355">
      <w:pPr>
        <w:pStyle w:val="ListParagraph"/>
        <w:numPr>
          <w:ilvl w:val="0"/>
          <w:numId w:val="13"/>
        </w:numPr>
        <w:tabs>
          <w:tab w:val="right" w:leader="dot" w:pos="8505"/>
        </w:tabs>
        <w:spacing w:after="0" w:line="480" w:lineRule="auto"/>
        <w:ind w:left="714" w:hanging="357"/>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Grafik 3.1</w:t>
      </w:r>
      <w:r w:rsidR="007558F8">
        <w:rPr>
          <w:rFonts w:ascii="Times New Roman" w:eastAsia="PMingLiU" w:hAnsi="Times New Roman" w:cs="Times New Roman"/>
          <w:kern w:val="2"/>
          <w:sz w:val="24"/>
          <w:szCs w:val="24"/>
          <w:lang w:eastAsia="zh-TW"/>
        </w:rPr>
        <w:tab/>
      </w:r>
      <w:r w:rsidR="000A776B">
        <w:rPr>
          <w:rFonts w:ascii="Times New Roman" w:eastAsia="PMingLiU" w:hAnsi="Times New Roman" w:cs="Times New Roman"/>
          <w:kern w:val="2"/>
          <w:sz w:val="24"/>
          <w:szCs w:val="24"/>
          <w:lang w:eastAsia="zh-TW"/>
        </w:rPr>
        <w:t>122</w:t>
      </w:r>
    </w:p>
    <w:p w:rsidR="00065000" w:rsidRDefault="000A776B" w:rsidP="003D7355">
      <w:pPr>
        <w:pStyle w:val="ListParagraph"/>
        <w:numPr>
          <w:ilvl w:val="0"/>
          <w:numId w:val="13"/>
        </w:numPr>
        <w:tabs>
          <w:tab w:val="right" w:leader="dot" w:pos="8505"/>
        </w:tabs>
        <w:spacing w:after="0" w:line="480" w:lineRule="auto"/>
        <w:ind w:left="714" w:hanging="357"/>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Grafik 3.2</w:t>
      </w:r>
      <w:r>
        <w:rPr>
          <w:rFonts w:ascii="Times New Roman" w:eastAsia="PMingLiU" w:hAnsi="Times New Roman" w:cs="Times New Roman"/>
          <w:kern w:val="2"/>
          <w:sz w:val="24"/>
          <w:szCs w:val="24"/>
          <w:lang w:eastAsia="zh-TW"/>
        </w:rPr>
        <w:tab/>
        <w:t>136</w:t>
      </w:r>
    </w:p>
    <w:p w:rsidR="00AD136E" w:rsidRDefault="000A776B" w:rsidP="003D7355">
      <w:pPr>
        <w:pStyle w:val="ListParagraph"/>
        <w:numPr>
          <w:ilvl w:val="0"/>
          <w:numId w:val="13"/>
        </w:numPr>
        <w:tabs>
          <w:tab w:val="right" w:leader="dot" w:pos="8505"/>
        </w:tabs>
        <w:spacing w:after="0" w:line="480" w:lineRule="auto"/>
        <w:ind w:left="714" w:hanging="357"/>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Grafik 3.3</w:t>
      </w:r>
      <w:r>
        <w:rPr>
          <w:rFonts w:ascii="Times New Roman" w:eastAsia="PMingLiU" w:hAnsi="Times New Roman" w:cs="Times New Roman"/>
          <w:kern w:val="2"/>
          <w:sz w:val="24"/>
          <w:szCs w:val="24"/>
          <w:lang w:eastAsia="zh-TW"/>
        </w:rPr>
        <w:tab/>
        <w:t>139</w:t>
      </w:r>
    </w:p>
    <w:p w:rsidR="00AD136E" w:rsidRDefault="000A776B" w:rsidP="003D7355">
      <w:pPr>
        <w:pStyle w:val="ListParagraph"/>
        <w:numPr>
          <w:ilvl w:val="0"/>
          <w:numId w:val="13"/>
        </w:numPr>
        <w:tabs>
          <w:tab w:val="right" w:leader="dot" w:pos="8505"/>
        </w:tabs>
        <w:spacing w:after="0" w:line="480" w:lineRule="auto"/>
        <w:ind w:left="714" w:hanging="357"/>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Grafik 3.4</w:t>
      </w:r>
      <w:r>
        <w:rPr>
          <w:rFonts w:ascii="Times New Roman" w:eastAsia="PMingLiU" w:hAnsi="Times New Roman" w:cs="Times New Roman"/>
          <w:kern w:val="2"/>
          <w:sz w:val="24"/>
          <w:szCs w:val="24"/>
          <w:lang w:eastAsia="zh-TW"/>
        </w:rPr>
        <w:tab/>
        <w:t>150</w:t>
      </w:r>
    </w:p>
    <w:p w:rsidR="00AD136E" w:rsidRPr="006F5DEF" w:rsidRDefault="000A776B" w:rsidP="003D7355">
      <w:pPr>
        <w:pStyle w:val="ListParagraph"/>
        <w:numPr>
          <w:ilvl w:val="0"/>
          <w:numId w:val="13"/>
        </w:numPr>
        <w:tabs>
          <w:tab w:val="right" w:leader="dot" w:pos="8505"/>
        </w:tabs>
        <w:spacing w:after="0" w:line="480" w:lineRule="auto"/>
        <w:ind w:left="714" w:hanging="357"/>
        <w:jc w:val="both"/>
        <w:rPr>
          <w:rFonts w:ascii="Times New Roman" w:eastAsia="PMingLiU" w:hAnsi="Times New Roman" w:cs="Times New Roman"/>
          <w:kern w:val="2"/>
          <w:sz w:val="24"/>
          <w:szCs w:val="24"/>
          <w:lang w:eastAsia="zh-TW"/>
        </w:rPr>
      </w:pPr>
      <w:r>
        <w:rPr>
          <w:rFonts w:ascii="Times New Roman" w:eastAsia="PMingLiU" w:hAnsi="Times New Roman" w:cs="Times New Roman"/>
          <w:kern w:val="2"/>
          <w:sz w:val="24"/>
          <w:szCs w:val="24"/>
          <w:lang w:eastAsia="zh-TW"/>
        </w:rPr>
        <w:t>Grafik 3.5</w:t>
      </w:r>
      <w:r>
        <w:rPr>
          <w:rFonts w:ascii="Times New Roman" w:eastAsia="PMingLiU" w:hAnsi="Times New Roman" w:cs="Times New Roman"/>
          <w:kern w:val="2"/>
          <w:sz w:val="24"/>
          <w:szCs w:val="24"/>
          <w:lang w:eastAsia="zh-TW"/>
        </w:rPr>
        <w:tab/>
        <w:t>155</w:t>
      </w:r>
    </w:p>
    <w:p w:rsidR="00065000" w:rsidRDefault="00065000" w:rsidP="007C580F">
      <w:pPr>
        <w:widowControl w:val="0"/>
        <w:spacing w:after="0" w:line="480" w:lineRule="auto"/>
        <w:jc w:val="both"/>
        <w:rPr>
          <w:rFonts w:ascii="Times New Roman" w:eastAsia="PMingLiU" w:hAnsi="Times New Roman" w:cs="Times New Roman"/>
          <w:b/>
          <w:kern w:val="2"/>
          <w:sz w:val="24"/>
          <w:szCs w:val="24"/>
          <w:lang w:eastAsia="zh-TW"/>
        </w:rPr>
      </w:pPr>
    </w:p>
    <w:p w:rsidR="00F855D9" w:rsidRDefault="00F855D9" w:rsidP="007C580F">
      <w:pPr>
        <w:widowControl w:val="0"/>
        <w:spacing w:after="0" w:line="480" w:lineRule="auto"/>
        <w:jc w:val="both"/>
        <w:rPr>
          <w:rFonts w:ascii="Times New Roman" w:eastAsia="PMingLiU" w:hAnsi="Times New Roman" w:cs="Times New Roman"/>
          <w:b/>
          <w:kern w:val="2"/>
          <w:sz w:val="24"/>
          <w:szCs w:val="24"/>
          <w:lang w:eastAsia="zh-TW"/>
        </w:rPr>
      </w:pPr>
    </w:p>
    <w:p w:rsidR="00F855D9" w:rsidRDefault="00F855D9" w:rsidP="007C580F">
      <w:pPr>
        <w:widowControl w:val="0"/>
        <w:spacing w:after="0" w:line="480" w:lineRule="auto"/>
        <w:jc w:val="both"/>
        <w:rPr>
          <w:rFonts w:ascii="Times New Roman" w:eastAsia="PMingLiU" w:hAnsi="Times New Roman" w:cs="Times New Roman"/>
          <w:b/>
          <w:kern w:val="2"/>
          <w:sz w:val="24"/>
          <w:szCs w:val="24"/>
          <w:lang w:eastAsia="zh-TW"/>
        </w:rPr>
      </w:pPr>
    </w:p>
    <w:p w:rsidR="00F855D9" w:rsidRDefault="00F855D9" w:rsidP="007C580F">
      <w:pPr>
        <w:widowControl w:val="0"/>
        <w:spacing w:after="0" w:line="480" w:lineRule="auto"/>
        <w:jc w:val="both"/>
        <w:rPr>
          <w:rFonts w:ascii="Times New Roman" w:eastAsia="PMingLiU" w:hAnsi="Times New Roman" w:cs="Times New Roman"/>
          <w:b/>
          <w:kern w:val="2"/>
          <w:sz w:val="24"/>
          <w:szCs w:val="24"/>
          <w:lang w:eastAsia="zh-TW"/>
        </w:rPr>
      </w:pPr>
    </w:p>
    <w:p w:rsidR="00F855D9" w:rsidRDefault="00F855D9" w:rsidP="007C580F">
      <w:pPr>
        <w:widowControl w:val="0"/>
        <w:spacing w:after="0" w:line="480" w:lineRule="auto"/>
        <w:jc w:val="both"/>
        <w:rPr>
          <w:rFonts w:ascii="Times New Roman" w:eastAsia="PMingLiU" w:hAnsi="Times New Roman" w:cs="Times New Roman"/>
          <w:b/>
          <w:kern w:val="2"/>
          <w:sz w:val="24"/>
          <w:szCs w:val="24"/>
          <w:lang w:eastAsia="zh-TW"/>
        </w:rPr>
      </w:pPr>
    </w:p>
    <w:p w:rsidR="00F855D9" w:rsidRDefault="00F855D9" w:rsidP="007C580F">
      <w:pPr>
        <w:widowControl w:val="0"/>
        <w:spacing w:after="0" w:line="480" w:lineRule="auto"/>
        <w:jc w:val="both"/>
        <w:rPr>
          <w:rFonts w:ascii="Times New Roman" w:eastAsia="PMingLiU" w:hAnsi="Times New Roman" w:cs="Times New Roman"/>
          <w:b/>
          <w:kern w:val="2"/>
          <w:sz w:val="24"/>
          <w:szCs w:val="24"/>
          <w:lang w:eastAsia="zh-TW"/>
        </w:rPr>
      </w:pPr>
    </w:p>
    <w:p w:rsidR="00F855D9" w:rsidRDefault="00F855D9" w:rsidP="007C580F">
      <w:pPr>
        <w:widowControl w:val="0"/>
        <w:spacing w:after="0" w:line="480" w:lineRule="auto"/>
        <w:jc w:val="both"/>
        <w:rPr>
          <w:rFonts w:ascii="Times New Roman" w:eastAsia="PMingLiU" w:hAnsi="Times New Roman" w:cs="Times New Roman"/>
          <w:b/>
          <w:kern w:val="2"/>
          <w:sz w:val="24"/>
          <w:szCs w:val="24"/>
          <w:lang w:eastAsia="zh-TW"/>
        </w:rPr>
      </w:pPr>
    </w:p>
    <w:p w:rsidR="00F855D9" w:rsidRDefault="00F855D9" w:rsidP="007C580F">
      <w:pPr>
        <w:widowControl w:val="0"/>
        <w:spacing w:after="0" w:line="480" w:lineRule="auto"/>
        <w:jc w:val="both"/>
        <w:rPr>
          <w:rFonts w:ascii="Times New Roman" w:eastAsia="PMingLiU" w:hAnsi="Times New Roman" w:cs="Times New Roman"/>
          <w:b/>
          <w:kern w:val="2"/>
          <w:sz w:val="24"/>
          <w:szCs w:val="24"/>
          <w:lang w:eastAsia="zh-TW"/>
        </w:rPr>
      </w:pPr>
    </w:p>
    <w:p w:rsidR="00F855D9" w:rsidRDefault="00F855D9" w:rsidP="007C580F">
      <w:pPr>
        <w:widowControl w:val="0"/>
        <w:spacing w:after="0" w:line="480" w:lineRule="auto"/>
        <w:jc w:val="both"/>
        <w:rPr>
          <w:rFonts w:ascii="Times New Roman" w:eastAsia="PMingLiU" w:hAnsi="Times New Roman" w:cs="Times New Roman"/>
          <w:b/>
          <w:kern w:val="2"/>
          <w:sz w:val="24"/>
          <w:szCs w:val="24"/>
          <w:lang w:eastAsia="zh-TW"/>
        </w:rPr>
      </w:pPr>
    </w:p>
    <w:p w:rsidR="00F855D9" w:rsidRDefault="00F855D9" w:rsidP="007C580F">
      <w:pPr>
        <w:widowControl w:val="0"/>
        <w:spacing w:after="0" w:line="480" w:lineRule="auto"/>
        <w:jc w:val="both"/>
        <w:rPr>
          <w:rFonts w:ascii="Times New Roman" w:eastAsia="PMingLiU" w:hAnsi="Times New Roman" w:cs="Times New Roman"/>
          <w:b/>
          <w:kern w:val="2"/>
          <w:sz w:val="24"/>
          <w:szCs w:val="24"/>
          <w:lang w:eastAsia="zh-TW"/>
        </w:rPr>
      </w:pPr>
    </w:p>
    <w:p w:rsidR="00F855D9" w:rsidRDefault="00F855D9" w:rsidP="007C580F">
      <w:pPr>
        <w:widowControl w:val="0"/>
        <w:spacing w:after="0" w:line="480" w:lineRule="auto"/>
        <w:jc w:val="both"/>
        <w:rPr>
          <w:rFonts w:ascii="Times New Roman" w:eastAsia="PMingLiU" w:hAnsi="Times New Roman" w:cs="Times New Roman"/>
          <w:b/>
          <w:kern w:val="2"/>
          <w:sz w:val="24"/>
          <w:szCs w:val="24"/>
          <w:lang w:eastAsia="zh-TW"/>
        </w:rPr>
      </w:pPr>
    </w:p>
    <w:p w:rsidR="00F855D9" w:rsidRDefault="00F855D9" w:rsidP="007C580F">
      <w:pPr>
        <w:widowControl w:val="0"/>
        <w:spacing w:after="0" w:line="480" w:lineRule="auto"/>
        <w:jc w:val="both"/>
        <w:rPr>
          <w:rFonts w:ascii="Times New Roman" w:eastAsia="PMingLiU" w:hAnsi="Times New Roman" w:cs="Times New Roman"/>
          <w:b/>
          <w:kern w:val="2"/>
          <w:sz w:val="24"/>
          <w:szCs w:val="24"/>
          <w:lang w:eastAsia="zh-TW"/>
        </w:rPr>
      </w:pPr>
    </w:p>
    <w:p w:rsidR="00F855D9" w:rsidRDefault="00F855D9" w:rsidP="007C580F">
      <w:pPr>
        <w:widowControl w:val="0"/>
        <w:spacing w:after="0" w:line="480" w:lineRule="auto"/>
        <w:jc w:val="both"/>
        <w:rPr>
          <w:rFonts w:ascii="Times New Roman" w:eastAsia="PMingLiU" w:hAnsi="Times New Roman" w:cs="Times New Roman"/>
          <w:b/>
          <w:kern w:val="2"/>
          <w:sz w:val="24"/>
          <w:szCs w:val="24"/>
          <w:lang w:eastAsia="zh-TW"/>
        </w:rPr>
      </w:pPr>
    </w:p>
    <w:p w:rsidR="00F855D9" w:rsidRDefault="00F855D9" w:rsidP="007C580F">
      <w:pPr>
        <w:widowControl w:val="0"/>
        <w:spacing w:after="0" w:line="480" w:lineRule="auto"/>
        <w:jc w:val="both"/>
        <w:rPr>
          <w:rFonts w:ascii="Times New Roman" w:eastAsia="PMingLiU" w:hAnsi="Times New Roman" w:cs="Times New Roman"/>
          <w:b/>
          <w:kern w:val="2"/>
          <w:sz w:val="24"/>
          <w:szCs w:val="24"/>
          <w:lang w:eastAsia="zh-TW"/>
        </w:rPr>
      </w:pPr>
    </w:p>
    <w:p w:rsidR="00F855D9" w:rsidRDefault="00F855D9" w:rsidP="007C580F">
      <w:pPr>
        <w:widowControl w:val="0"/>
        <w:spacing w:after="0" w:line="480" w:lineRule="auto"/>
        <w:jc w:val="both"/>
        <w:rPr>
          <w:rFonts w:ascii="Times New Roman" w:eastAsia="PMingLiU" w:hAnsi="Times New Roman" w:cs="Times New Roman"/>
          <w:b/>
          <w:kern w:val="2"/>
          <w:sz w:val="24"/>
          <w:szCs w:val="24"/>
          <w:lang w:eastAsia="zh-TW"/>
        </w:rPr>
      </w:pPr>
    </w:p>
    <w:p w:rsidR="00F855D9" w:rsidRDefault="00F855D9" w:rsidP="007C580F">
      <w:pPr>
        <w:widowControl w:val="0"/>
        <w:spacing w:after="0" w:line="480" w:lineRule="auto"/>
        <w:jc w:val="both"/>
        <w:rPr>
          <w:rFonts w:ascii="Times New Roman" w:eastAsia="PMingLiU" w:hAnsi="Times New Roman" w:cs="Times New Roman"/>
          <w:b/>
          <w:kern w:val="2"/>
          <w:sz w:val="24"/>
          <w:szCs w:val="24"/>
          <w:lang w:eastAsia="zh-TW"/>
        </w:rPr>
      </w:pPr>
    </w:p>
    <w:p w:rsidR="00915C1B" w:rsidRDefault="00915C1B" w:rsidP="007C580F">
      <w:pPr>
        <w:widowControl w:val="0"/>
        <w:spacing w:after="0" w:line="480" w:lineRule="auto"/>
        <w:jc w:val="both"/>
        <w:rPr>
          <w:rFonts w:ascii="Times New Roman" w:eastAsia="PMingLiU" w:hAnsi="Times New Roman" w:cs="Times New Roman"/>
          <w:b/>
          <w:kern w:val="2"/>
          <w:sz w:val="24"/>
          <w:szCs w:val="24"/>
          <w:lang w:eastAsia="zh-TW"/>
        </w:rPr>
      </w:pPr>
    </w:p>
    <w:p w:rsidR="00915C1B" w:rsidRDefault="00915C1B" w:rsidP="00F855D9">
      <w:pPr>
        <w:widowControl w:val="0"/>
        <w:spacing w:after="0" w:line="480" w:lineRule="auto"/>
        <w:jc w:val="center"/>
        <w:rPr>
          <w:rFonts w:ascii="Times New Roman" w:eastAsia="PMingLiU" w:hAnsi="Times New Roman" w:cs="Times New Roman"/>
          <w:b/>
          <w:kern w:val="2"/>
          <w:sz w:val="24"/>
          <w:szCs w:val="24"/>
          <w:lang w:eastAsia="zh-TW"/>
        </w:rPr>
        <w:sectPr w:rsidR="00915C1B" w:rsidSect="00915C1B">
          <w:pgSz w:w="11906" w:h="16838"/>
          <w:pgMar w:top="1702" w:right="1701" w:bottom="1701" w:left="2268" w:header="709" w:footer="709" w:gutter="0"/>
          <w:pgNumType w:fmt="lowerRoman" w:start="1" w:chapStyle="1"/>
          <w:cols w:space="708"/>
          <w:docGrid w:linePitch="360"/>
        </w:sectPr>
      </w:pPr>
    </w:p>
    <w:p w:rsidR="00F855D9" w:rsidRPr="00F855D9" w:rsidRDefault="00F855D9" w:rsidP="00F855D9">
      <w:pPr>
        <w:widowControl w:val="0"/>
        <w:spacing w:after="0" w:line="480" w:lineRule="auto"/>
        <w:jc w:val="center"/>
        <w:rPr>
          <w:rFonts w:ascii="Times New Roman" w:eastAsia="PMingLiU" w:hAnsi="Times New Roman" w:cs="Times New Roman"/>
          <w:b/>
          <w:kern w:val="2"/>
          <w:sz w:val="24"/>
          <w:szCs w:val="24"/>
          <w:lang w:eastAsia="zh-TW"/>
        </w:rPr>
      </w:pPr>
      <w:r w:rsidRPr="00F855D9">
        <w:rPr>
          <w:rFonts w:ascii="Times New Roman" w:eastAsia="PMingLiU" w:hAnsi="Times New Roman" w:cs="Times New Roman"/>
          <w:b/>
          <w:kern w:val="2"/>
          <w:sz w:val="24"/>
          <w:szCs w:val="24"/>
          <w:lang w:eastAsia="zh-TW"/>
        </w:rPr>
        <w:lastRenderedPageBreak/>
        <w:t>BAB I</w:t>
      </w:r>
    </w:p>
    <w:p w:rsidR="00F855D9" w:rsidRPr="00F855D9" w:rsidRDefault="00F855D9" w:rsidP="00F855D9">
      <w:pPr>
        <w:widowControl w:val="0"/>
        <w:spacing w:after="0" w:line="480" w:lineRule="auto"/>
        <w:jc w:val="center"/>
        <w:rPr>
          <w:rFonts w:ascii="Times New Roman" w:eastAsia="PMingLiU" w:hAnsi="Times New Roman" w:cs="Times New Roman"/>
          <w:b/>
          <w:kern w:val="2"/>
          <w:sz w:val="24"/>
          <w:szCs w:val="24"/>
          <w:lang w:eastAsia="zh-TW"/>
        </w:rPr>
      </w:pPr>
      <w:r w:rsidRPr="00F855D9">
        <w:rPr>
          <w:rFonts w:ascii="Times New Roman" w:eastAsia="PMingLiU" w:hAnsi="Times New Roman" w:cs="Times New Roman"/>
          <w:b/>
          <w:kern w:val="2"/>
          <w:sz w:val="24"/>
          <w:szCs w:val="24"/>
          <w:lang w:eastAsia="zh-TW"/>
        </w:rPr>
        <w:t>PENDAHULUAN</w:t>
      </w:r>
    </w:p>
    <w:p w:rsidR="00F855D9" w:rsidRPr="00F855D9" w:rsidRDefault="00F855D9" w:rsidP="003D7355">
      <w:pPr>
        <w:widowControl w:val="0"/>
        <w:numPr>
          <w:ilvl w:val="0"/>
          <w:numId w:val="16"/>
        </w:numPr>
        <w:spacing w:after="0" w:line="480" w:lineRule="auto"/>
        <w:ind w:left="709" w:hanging="709"/>
        <w:contextualSpacing/>
        <w:jc w:val="both"/>
        <w:rPr>
          <w:rFonts w:ascii="Times New Roman" w:eastAsia="PMingLiU" w:hAnsi="Times New Roman" w:cs="Times New Roman"/>
          <w:b/>
          <w:bCs/>
          <w:kern w:val="2"/>
          <w:sz w:val="24"/>
          <w:szCs w:val="24"/>
          <w:lang w:eastAsia="zh-TW"/>
        </w:rPr>
      </w:pPr>
      <w:r w:rsidRPr="00F855D9">
        <w:rPr>
          <w:rFonts w:ascii="Times New Roman" w:eastAsia="PMingLiU" w:hAnsi="Times New Roman" w:cs="Times New Roman"/>
          <w:b/>
          <w:bCs/>
          <w:kern w:val="2"/>
          <w:sz w:val="24"/>
          <w:szCs w:val="24"/>
          <w:lang w:eastAsia="zh-TW"/>
        </w:rPr>
        <w:t xml:space="preserve">Latar Belakang </w:t>
      </w:r>
    </w:p>
    <w:p w:rsidR="00F855D9" w:rsidRPr="00F855D9" w:rsidRDefault="00F855D9" w:rsidP="00915C1B">
      <w:pPr>
        <w:widowControl w:val="0"/>
        <w:spacing w:after="0" w:line="480" w:lineRule="auto"/>
        <w:ind w:left="709" w:firstLine="720"/>
        <w:jc w:val="both"/>
        <w:rPr>
          <w:rFonts w:ascii="Times New Roman" w:eastAsia="Calibri" w:hAnsi="Times New Roman" w:cs="Times New Roman"/>
          <w:sz w:val="24"/>
          <w:szCs w:val="24"/>
        </w:rPr>
      </w:pPr>
      <w:r w:rsidRPr="00F855D9">
        <w:rPr>
          <w:rFonts w:ascii="Times New Roman" w:eastAsia="PMingLiU" w:hAnsi="Times New Roman" w:cs="Times New Roman"/>
          <w:bCs/>
          <w:color w:val="000000"/>
          <w:kern w:val="2"/>
          <w:sz w:val="24"/>
          <w:szCs w:val="24"/>
          <w:lang w:eastAsia="zh-TW"/>
        </w:rPr>
        <w:t xml:space="preserve">Dewasa ini arah globalisasi ekonomi yang semakin meningkat mendorong Indonesia berperan aktif di tingkat internasional untuk bekerja sama dengan berbagai negara. Kerja sama ekonomi antar negara dilakukan sebagai salah satu bentuk upaya  memajukan kesejahteraan bangsa Indonesia seperti yang tercantum dalam Undang – Undang Dasar 1945.  Indonesia di tingkat internasional melakukan kerja sama  dalam beberapa bentuk, salah satuanya adalah dengan masuknya Indonesia menjadi anggota </w:t>
      </w:r>
      <w:r w:rsidRPr="00F855D9">
        <w:rPr>
          <w:rFonts w:ascii="Times New Roman" w:eastAsia="Calibri" w:hAnsi="Times New Roman" w:cs="Times New Roman"/>
          <w:sz w:val="24"/>
          <w:szCs w:val="24"/>
        </w:rPr>
        <w:t>ASEAN (</w:t>
      </w:r>
      <w:r w:rsidRPr="00F855D9">
        <w:rPr>
          <w:rFonts w:ascii="Times New Roman" w:eastAsia="Calibri" w:hAnsi="Times New Roman" w:cs="Times New Roman"/>
          <w:i/>
          <w:sz w:val="24"/>
          <w:szCs w:val="24"/>
        </w:rPr>
        <w:t>Association  of  South  East  Asian  Nation</w:t>
      </w:r>
      <w:r w:rsidRPr="00F855D9">
        <w:rPr>
          <w:rFonts w:ascii="Times New Roman" w:eastAsia="Calibri" w:hAnsi="Times New Roman" w:cs="Times New Roman"/>
          <w:sz w:val="24"/>
          <w:szCs w:val="24"/>
        </w:rPr>
        <w:t>)</w:t>
      </w:r>
      <w:r w:rsidRPr="00F855D9">
        <w:rPr>
          <w:rFonts w:ascii="Times New Roman" w:eastAsia="PMingLiU" w:hAnsi="Times New Roman" w:cs="Times New Roman"/>
          <w:bCs/>
          <w:color w:val="000000"/>
          <w:kern w:val="2"/>
          <w:sz w:val="24"/>
          <w:szCs w:val="24"/>
          <w:lang w:eastAsia="zh-TW"/>
        </w:rPr>
        <w:t xml:space="preserve">. </w:t>
      </w:r>
      <w:r w:rsidRPr="00F855D9">
        <w:rPr>
          <w:rFonts w:ascii="Times New Roman" w:eastAsia="Calibri" w:hAnsi="Times New Roman" w:cs="Times New Roman"/>
          <w:sz w:val="24"/>
          <w:szCs w:val="24"/>
        </w:rPr>
        <w:t>ASEAN  sendiri dibentuk  bertujuan untuk mempercepat  pertumbuhan ekonomi,   kemajuan   sosial   serta   pengembangan   kebudayaan   kawasan, meningkatkan  perdamaian  dan  stabilitas  regional, meningkatkan  kerja  sama yang aktif dan saling membantu dalam bidang ekonomi, sosial, teknik, iptek, dan administrasi dan   memelihara  kerja  sama  erat  dan  berguna  dengan  berbagai organisasi internasional dan regional</w:t>
      </w:r>
      <w:r w:rsidRPr="00F855D9">
        <w:rPr>
          <w:rFonts w:ascii="Times New Roman" w:eastAsia="PMingLiU" w:hAnsi="Times New Roman" w:cs="Times New Roman"/>
          <w:kern w:val="2"/>
          <w:sz w:val="24"/>
          <w:szCs w:val="24"/>
          <w:lang w:eastAsia="zh-TW"/>
        </w:rPr>
        <w:t>.</w:t>
      </w:r>
    </w:p>
    <w:p w:rsidR="00F855D9" w:rsidRPr="00F855D9" w:rsidRDefault="00F855D9" w:rsidP="00915C1B">
      <w:pPr>
        <w:spacing w:line="480" w:lineRule="auto"/>
        <w:ind w:left="709" w:firstLine="720"/>
        <w:jc w:val="both"/>
        <w:rPr>
          <w:rFonts w:ascii="Times New Roman" w:eastAsia="Calibri" w:hAnsi="Times New Roman" w:cs="Times New Roman"/>
          <w:sz w:val="24"/>
          <w:szCs w:val="24"/>
        </w:rPr>
      </w:pPr>
      <w:r w:rsidRPr="00F855D9">
        <w:rPr>
          <w:rFonts w:ascii="Times New Roman" w:eastAsia="Calibri" w:hAnsi="Times New Roman" w:cs="Times New Roman"/>
          <w:sz w:val="24"/>
          <w:szCs w:val="24"/>
        </w:rPr>
        <w:t>Masyarakat Ekonomi ASEAN adalah bentuk integrasi ekonomi ASEAN dalam sistem perdagangan bebas antara negara-negara ASEAN. Definisi integrasi ekonomi ASEAN secara umum adalah pencabutan atau penghapusan hambatan-hambatan ekonomi (</w:t>
      </w:r>
      <w:r w:rsidRPr="00F855D9">
        <w:rPr>
          <w:rFonts w:ascii="Times New Roman" w:eastAsia="Calibri" w:hAnsi="Times New Roman" w:cs="Times New Roman"/>
          <w:i/>
          <w:sz w:val="24"/>
          <w:szCs w:val="24"/>
        </w:rPr>
        <w:t>economic frontier</w:t>
      </w:r>
      <w:r w:rsidRPr="00F855D9">
        <w:rPr>
          <w:rFonts w:ascii="Times New Roman" w:eastAsia="Calibri" w:hAnsi="Times New Roman" w:cs="Times New Roman"/>
          <w:sz w:val="24"/>
          <w:szCs w:val="24"/>
        </w:rPr>
        <w:t xml:space="preserve">) antara perekonomian negara-negara ASEAN. Hambatan-hambatan ekonomi tersebut meliputi semua pembatasan yang menyebabkan mobilitas barang, jasa, faktor produksi, dan juga aliran komunikasi, secara aktual maupun </w:t>
      </w:r>
      <w:r w:rsidRPr="00F855D9">
        <w:rPr>
          <w:rFonts w:ascii="Times New Roman" w:eastAsia="Calibri" w:hAnsi="Times New Roman" w:cs="Times New Roman"/>
          <w:sz w:val="24"/>
          <w:szCs w:val="24"/>
        </w:rPr>
        <w:lastRenderedPageBreak/>
        <w:t>potensial. Secara operasional, integrasi ekonomi ASEAN dapat didefenisikan sebagai pencabutan diskriminasi dan penyatuan politik (kebijakan) seperti norma, peraturan, serta prosedur. Instrumen integrasi ekonomi ASEAN meliputi bea masuk, pajak, mata uang, undang-undang, lembaga, standarisasi, dan kebijaksanaan ekonomi. Tujuan integrasi ekonomi ASEAN adalah untuk meningkatkan volume perdagangan barang dan jasa, meningkatkan mobilitas kapital dan tenaga kerja, meningkatkan produksi, meningkatkan efisiensi produksi serta meningkatkan daya saing produk yang dihasilkan.</w:t>
      </w:r>
      <w:r w:rsidRPr="00F855D9">
        <w:rPr>
          <w:rFonts w:ascii="Times New Roman" w:eastAsia="Calibri" w:hAnsi="Times New Roman" w:cs="Times New Roman"/>
          <w:sz w:val="24"/>
          <w:szCs w:val="24"/>
          <w:vertAlign w:val="superscript"/>
        </w:rPr>
        <w:footnoteReference w:id="1"/>
      </w:r>
    </w:p>
    <w:p w:rsidR="00F855D9" w:rsidRPr="00F855D9" w:rsidRDefault="00F855D9" w:rsidP="00915C1B">
      <w:pPr>
        <w:spacing w:line="480" w:lineRule="auto"/>
        <w:ind w:left="709" w:firstLine="720"/>
        <w:jc w:val="both"/>
        <w:rPr>
          <w:rFonts w:ascii="Times New Roman" w:eastAsia="Calibri" w:hAnsi="Times New Roman" w:cs="Times New Roman"/>
          <w:sz w:val="24"/>
          <w:szCs w:val="24"/>
        </w:rPr>
      </w:pPr>
      <w:r w:rsidRPr="00F855D9">
        <w:rPr>
          <w:rFonts w:ascii="Times New Roman" w:eastAsia="Calibri" w:hAnsi="Times New Roman" w:cs="Times New Roman"/>
          <w:sz w:val="24"/>
          <w:szCs w:val="24"/>
        </w:rPr>
        <w:t>Agenda integrasi dituangkan dalam sebuah deklarasi pada tahun 2003 pada Cetak Biru Masyarakat Ekonomi ASEAN pada 2007 untuk mencapai MEA pada tahun 2015 dengan menetapkan satu basis pasar dan produksi untuk 10 negara anggota ASEAN yang mencakup 600 juta penduduk dengan agregat nominal PDB sebesar 2.3 triliun USD.</w:t>
      </w:r>
      <w:r w:rsidRPr="00F855D9">
        <w:rPr>
          <w:rFonts w:ascii="Times New Roman" w:eastAsia="Calibri" w:hAnsi="Times New Roman" w:cs="Times New Roman"/>
          <w:sz w:val="24"/>
          <w:szCs w:val="24"/>
          <w:vertAlign w:val="superscript"/>
        </w:rPr>
        <w:footnoteReference w:id="2"/>
      </w:r>
      <w:r w:rsidRPr="00F855D9">
        <w:rPr>
          <w:rFonts w:ascii="Times New Roman" w:eastAsia="Calibri" w:hAnsi="Times New Roman" w:cs="Times New Roman"/>
          <w:sz w:val="24"/>
          <w:szCs w:val="24"/>
        </w:rPr>
        <w:t xml:space="preserve"> Ekonomi ASEAN menyumbang 6 persen terhadap PDB global, menjadikan ASEAN blok ekonomi terbesar kelima di dunia setelah NAFTA (20%), EU (17%), China (16%), dan India (7%) berdasarkan paritas daya beli (PPP) dolar internasional .</w:t>
      </w:r>
      <w:r w:rsidRPr="00F855D9">
        <w:rPr>
          <w:rFonts w:ascii="Times New Roman" w:eastAsia="Calibri" w:hAnsi="Times New Roman" w:cs="Times New Roman"/>
          <w:sz w:val="24"/>
          <w:szCs w:val="24"/>
          <w:vertAlign w:val="superscript"/>
        </w:rPr>
        <w:footnoteReference w:id="3"/>
      </w:r>
    </w:p>
    <w:p w:rsidR="00967E1A" w:rsidRDefault="00F855D9" w:rsidP="00967E1A">
      <w:pPr>
        <w:spacing w:line="480" w:lineRule="auto"/>
        <w:ind w:left="709" w:firstLine="720"/>
        <w:jc w:val="both"/>
        <w:rPr>
          <w:rFonts w:ascii="Times New Roman" w:eastAsia="Calibri" w:hAnsi="Times New Roman" w:cs="Times New Roman"/>
          <w:sz w:val="24"/>
          <w:szCs w:val="24"/>
        </w:rPr>
      </w:pPr>
      <w:r w:rsidRPr="00F855D9">
        <w:rPr>
          <w:rFonts w:ascii="Times New Roman" w:eastAsia="Calibri" w:hAnsi="Times New Roman" w:cs="Times New Roman"/>
          <w:sz w:val="24"/>
          <w:szCs w:val="24"/>
        </w:rPr>
        <w:t>MEA bertujuan untuk menjadikan ASEAN sebagai pasar tunggal dan basis produksi yang berdaya saing, dan menciptakan pembangunan ekonomi yang merata serta berintegrasi kepada perekonomian global.</w:t>
      </w:r>
      <w:r w:rsidR="00967E1A">
        <w:rPr>
          <w:rFonts w:ascii="Times New Roman" w:eastAsia="Calibri" w:hAnsi="Times New Roman" w:cs="Times New Roman"/>
          <w:sz w:val="24"/>
          <w:szCs w:val="24"/>
        </w:rPr>
        <w:t xml:space="preserve">N </w:t>
      </w:r>
      <w:r w:rsidRPr="00F855D9">
        <w:rPr>
          <w:rFonts w:ascii="Times New Roman" w:eastAsia="Calibri" w:hAnsi="Times New Roman" w:cs="Times New Roman"/>
          <w:sz w:val="24"/>
          <w:szCs w:val="24"/>
        </w:rPr>
        <w:lastRenderedPageBreak/>
        <w:t xml:space="preserve">Terdapat 12 sektor jasa prioritas dalam MEA 2015 yaitu </w:t>
      </w:r>
      <w:r w:rsidRPr="00F855D9">
        <w:rPr>
          <w:rFonts w:ascii="Times New Roman" w:eastAsia="Calibri" w:hAnsi="Times New Roman" w:cs="Times New Roman"/>
          <w:i/>
          <w:sz w:val="24"/>
          <w:szCs w:val="24"/>
        </w:rPr>
        <w:t>Agro-based product</w:t>
      </w:r>
      <w:r w:rsidRPr="00F855D9">
        <w:rPr>
          <w:rFonts w:ascii="Times New Roman" w:eastAsia="Calibri" w:hAnsi="Times New Roman" w:cs="Times New Roman"/>
          <w:sz w:val="24"/>
          <w:szCs w:val="24"/>
        </w:rPr>
        <w:t xml:space="preserve">, </w:t>
      </w:r>
      <w:r w:rsidRPr="00F855D9">
        <w:rPr>
          <w:rFonts w:ascii="Times New Roman" w:eastAsia="Calibri" w:hAnsi="Times New Roman" w:cs="Times New Roman"/>
          <w:i/>
          <w:sz w:val="24"/>
          <w:szCs w:val="24"/>
        </w:rPr>
        <w:t>Air Travel</w:t>
      </w:r>
      <w:r w:rsidRPr="00F855D9">
        <w:rPr>
          <w:rFonts w:ascii="Times New Roman" w:eastAsia="Calibri" w:hAnsi="Times New Roman" w:cs="Times New Roman"/>
          <w:sz w:val="24"/>
          <w:szCs w:val="24"/>
        </w:rPr>
        <w:t xml:space="preserve">, </w:t>
      </w:r>
      <w:r w:rsidRPr="00F855D9">
        <w:rPr>
          <w:rFonts w:ascii="Times New Roman" w:eastAsia="Calibri" w:hAnsi="Times New Roman" w:cs="Times New Roman"/>
          <w:i/>
          <w:sz w:val="24"/>
          <w:szCs w:val="24"/>
        </w:rPr>
        <w:t>Automotives</w:t>
      </w:r>
      <w:r w:rsidRPr="00F855D9">
        <w:rPr>
          <w:rFonts w:ascii="Times New Roman" w:eastAsia="Calibri" w:hAnsi="Times New Roman" w:cs="Times New Roman"/>
          <w:sz w:val="24"/>
          <w:szCs w:val="24"/>
        </w:rPr>
        <w:t xml:space="preserve">, </w:t>
      </w:r>
      <w:r w:rsidRPr="00F855D9">
        <w:rPr>
          <w:rFonts w:ascii="Times New Roman" w:eastAsia="Calibri" w:hAnsi="Times New Roman" w:cs="Times New Roman"/>
          <w:i/>
          <w:sz w:val="24"/>
          <w:szCs w:val="24"/>
        </w:rPr>
        <w:t>E-ASEAN</w:t>
      </w:r>
      <w:r w:rsidRPr="00F855D9">
        <w:rPr>
          <w:rFonts w:ascii="Times New Roman" w:eastAsia="Calibri" w:hAnsi="Times New Roman" w:cs="Times New Roman"/>
          <w:sz w:val="24"/>
          <w:szCs w:val="24"/>
        </w:rPr>
        <w:t xml:space="preserve">, </w:t>
      </w:r>
      <w:r w:rsidRPr="00F855D9">
        <w:rPr>
          <w:rFonts w:ascii="Times New Roman" w:eastAsia="Calibri" w:hAnsi="Times New Roman" w:cs="Times New Roman"/>
          <w:i/>
          <w:sz w:val="24"/>
          <w:szCs w:val="24"/>
        </w:rPr>
        <w:t>Electronics</w:t>
      </w:r>
      <w:r w:rsidRPr="00F855D9">
        <w:rPr>
          <w:rFonts w:ascii="Times New Roman" w:eastAsia="Calibri" w:hAnsi="Times New Roman" w:cs="Times New Roman"/>
          <w:sz w:val="24"/>
          <w:szCs w:val="24"/>
        </w:rPr>
        <w:t xml:space="preserve">, </w:t>
      </w:r>
      <w:r w:rsidRPr="00F855D9">
        <w:rPr>
          <w:rFonts w:ascii="Times New Roman" w:eastAsia="Calibri" w:hAnsi="Times New Roman" w:cs="Times New Roman"/>
          <w:i/>
          <w:sz w:val="24"/>
          <w:szCs w:val="24"/>
        </w:rPr>
        <w:t>Fisheries, Healthcare, Rubber-based products, Textiles and apparels, Tourism, Wood based products</w:t>
      </w:r>
      <w:r w:rsidRPr="00F855D9">
        <w:rPr>
          <w:rFonts w:ascii="Times New Roman" w:eastAsia="Calibri" w:hAnsi="Times New Roman" w:cs="Times New Roman"/>
          <w:sz w:val="24"/>
          <w:szCs w:val="24"/>
        </w:rPr>
        <w:t xml:space="preserve">, dan </w:t>
      </w:r>
      <w:r w:rsidRPr="00F855D9">
        <w:rPr>
          <w:rFonts w:ascii="Times New Roman" w:eastAsia="Calibri" w:hAnsi="Times New Roman" w:cs="Times New Roman"/>
          <w:i/>
          <w:sz w:val="24"/>
          <w:szCs w:val="24"/>
        </w:rPr>
        <w:t>Logistic Service</w:t>
      </w:r>
      <w:r w:rsidRPr="00F855D9">
        <w:rPr>
          <w:rFonts w:ascii="Times New Roman" w:eastAsia="Calibri" w:hAnsi="Times New Roman" w:cs="Times New Roman"/>
          <w:sz w:val="24"/>
          <w:szCs w:val="24"/>
        </w:rPr>
        <w:t>. ASEAN telah menyepakati skema pergerakan tenaga terampil (profesional) di bidang ketenagakerjaan dimana sebanyak delapan profesi saat ini telah memiliki MRA yaitu sarjana teknik, arsitek, tenaga medis, perawat, dokter gigi, akuntan, surveyor, dan kepariwisataan melalui AFAS (</w:t>
      </w:r>
      <w:r w:rsidRPr="00F855D9">
        <w:rPr>
          <w:rFonts w:ascii="Times New Roman" w:eastAsia="Calibri" w:hAnsi="Times New Roman" w:cs="Times New Roman"/>
          <w:i/>
          <w:sz w:val="24"/>
          <w:szCs w:val="24"/>
        </w:rPr>
        <w:t>ASEAN</w:t>
      </w:r>
      <w:r w:rsidRPr="00F855D9">
        <w:rPr>
          <w:rFonts w:ascii="Times New Roman" w:eastAsia="Calibri" w:hAnsi="Times New Roman" w:cs="Times New Roman"/>
          <w:sz w:val="24"/>
          <w:szCs w:val="24"/>
        </w:rPr>
        <w:t xml:space="preserve"> </w:t>
      </w:r>
      <w:r w:rsidRPr="00F855D9">
        <w:rPr>
          <w:rFonts w:ascii="Times New Roman" w:eastAsia="Calibri" w:hAnsi="Times New Roman" w:cs="Times New Roman"/>
          <w:i/>
          <w:sz w:val="24"/>
          <w:szCs w:val="24"/>
        </w:rPr>
        <w:t>Framework Agreement on Services</w:t>
      </w:r>
      <w:r w:rsidRPr="00F855D9">
        <w:rPr>
          <w:rFonts w:ascii="Times New Roman" w:eastAsia="Calibri" w:hAnsi="Times New Roman" w:cs="Times New Roman"/>
          <w:sz w:val="24"/>
          <w:szCs w:val="24"/>
        </w:rPr>
        <w:t>). AFAS (</w:t>
      </w:r>
      <w:r w:rsidRPr="00F855D9">
        <w:rPr>
          <w:rFonts w:ascii="Times New Roman" w:eastAsia="Calibri" w:hAnsi="Times New Roman" w:cs="Times New Roman"/>
          <w:i/>
          <w:sz w:val="24"/>
          <w:szCs w:val="24"/>
        </w:rPr>
        <w:t>ASEAN</w:t>
      </w:r>
      <w:r w:rsidRPr="00F855D9">
        <w:rPr>
          <w:rFonts w:ascii="Times New Roman" w:eastAsia="Calibri" w:hAnsi="Times New Roman" w:cs="Times New Roman"/>
          <w:sz w:val="24"/>
          <w:szCs w:val="24"/>
        </w:rPr>
        <w:t xml:space="preserve"> </w:t>
      </w:r>
      <w:r w:rsidRPr="00F855D9">
        <w:rPr>
          <w:rFonts w:ascii="Times New Roman" w:eastAsia="Calibri" w:hAnsi="Times New Roman" w:cs="Times New Roman"/>
          <w:i/>
          <w:sz w:val="24"/>
          <w:szCs w:val="24"/>
        </w:rPr>
        <w:t>Framework Agreement on Services</w:t>
      </w:r>
      <w:r w:rsidRPr="00F855D9">
        <w:rPr>
          <w:rFonts w:ascii="Times New Roman" w:eastAsia="Calibri" w:hAnsi="Times New Roman" w:cs="Times New Roman"/>
          <w:sz w:val="24"/>
          <w:szCs w:val="24"/>
        </w:rPr>
        <w:t>) adalah persetujuan dan kerjasama dalam rangka liberalisasi perdagangan di bidang jasa dalam forum ASEAN. Perjanjian antar negara ASEAN ini pada prinsipnya mencerminkan keinginan agar sesama anggota ASEAN melakukan liberalisasi perdagangan jasa antar negara ASEAN secara lebih luas dan lebih mendalam dibandingkan dengan liberalisasi yang ditempuh dalam rangka GATS / WTO (</w:t>
      </w:r>
      <w:r w:rsidRPr="00F855D9">
        <w:rPr>
          <w:rFonts w:ascii="Times New Roman" w:eastAsia="Calibri" w:hAnsi="Times New Roman" w:cs="Times New Roman"/>
          <w:i/>
          <w:sz w:val="24"/>
          <w:szCs w:val="24"/>
        </w:rPr>
        <w:t>General Agreement on Trade in Services / World Trade Organization</w:t>
      </w:r>
      <w:r w:rsidRPr="00F855D9">
        <w:rPr>
          <w:rFonts w:ascii="Times New Roman" w:eastAsia="Calibri" w:hAnsi="Times New Roman" w:cs="Times New Roman"/>
          <w:sz w:val="24"/>
          <w:szCs w:val="24"/>
        </w:rPr>
        <w:t>).</w:t>
      </w:r>
      <w:r w:rsidRPr="00F855D9">
        <w:rPr>
          <w:rFonts w:ascii="Times New Roman" w:eastAsia="Calibri" w:hAnsi="Times New Roman" w:cs="Times New Roman"/>
          <w:sz w:val="24"/>
          <w:szCs w:val="24"/>
          <w:vertAlign w:val="superscript"/>
        </w:rPr>
        <w:footnoteReference w:id="4"/>
      </w:r>
    </w:p>
    <w:p w:rsidR="00F855D9" w:rsidRPr="00F855D9" w:rsidRDefault="00F855D9" w:rsidP="00967E1A">
      <w:pPr>
        <w:spacing w:line="480" w:lineRule="auto"/>
        <w:ind w:left="709" w:firstLine="720"/>
        <w:jc w:val="both"/>
        <w:rPr>
          <w:rFonts w:ascii="Times New Roman" w:eastAsia="Calibri" w:hAnsi="Times New Roman" w:cs="Times New Roman"/>
          <w:sz w:val="24"/>
          <w:szCs w:val="24"/>
        </w:rPr>
      </w:pPr>
      <w:r w:rsidRPr="00F855D9">
        <w:rPr>
          <w:rFonts w:ascii="Times New Roman" w:eastAsia="Calibri" w:hAnsi="Times New Roman" w:cs="Times New Roman"/>
          <w:sz w:val="24"/>
          <w:szCs w:val="24"/>
        </w:rPr>
        <w:t>Liberalisasi perdagangan jasa konstruksi adalah salah satu perdagangan jasa yang</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kern w:val="2"/>
          <w:sz w:val="24"/>
          <w:szCs w:val="24"/>
          <w:lang w:eastAsia="zh-TW"/>
        </w:rPr>
        <w:t xml:space="preserve">pengaruhnya pada suatu negara cukup besar. </w:t>
      </w:r>
      <w:r w:rsidRPr="00F855D9">
        <w:rPr>
          <w:rFonts w:ascii="Times New Roman" w:eastAsia="Calibri" w:hAnsi="Times New Roman" w:cs="Times New Roman"/>
          <w:sz w:val="24"/>
          <w:szCs w:val="24"/>
        </w:rPr>
        <w:t xml:space="preserve">Bidang konstruksi berperan membangun struktur dan infrastruktur di suatu negara. Infrastruktur yang memadai dapat membantu meningkatkan laju pertumbuhan ekonomi di Indonesia. Berdasarkan data World Bank pada  tahun 2014, pasar jasa konstruksi Indonesia dengan nilai US$ 267 miliar merupakan pasar konstruksi terbesar di ASEAN dan nomor 4 di dunia. </w:t>
      </w:r>
      <w:r w:rsidRPr="00F855D9">
        <w:rPr>
          <w:rFonts w:ascii="Times New Roman" w:eastAsia="Calibri" w:hAnsi="Times New Roman" w:cs="Times New Roman"/>
          <w:sz w:val="24"/>
          <w:szCs w:val="24"/>
        </w:rPr>
        <w:lastRenderedPageBreak/>
        <w:t>Indonesia masih kalah dibandingkan dengan Tiongkok (US$ 1.78 triliun), Jepang (US$ 742 miliar) dan India (US$ 427 triliun). Sementara dibandingkan dengan negara anggota ASEAN lainnya Thailand (US$ 33 miliar), Malaysia (US$ 32 miliar), Filipina (US$ 25 miliar), Singapura (US$ 24 miliar) dan Vietnam (US$ 16 miliar). Prioritas pembangunan konstruksi nasional terpusat kepada pembangunan infrastruktur, perumahan, pertambangan dan energi. Pembinaan konstruksi mensinergikan kekuatan nasional untuk mempertahankan pasar nasional dan merebut pasar konstruksi regional.</w:t>
      </w:r>
      <w:r w:rsidRPr="00F855D9">
        <w:rPr>
          <w:rFonts w:ascii="Times New Roman" w:eastAsia="Calibri" w:hAnsi="Times New Roman" w:cs="Times New Roman"/>
          <w:sz w:val="24"/>
          <w:szCs w:val="24"/>
          <w:vertAlign w:val="superscript"/>
        </w:rPr>
        <w:footnoteReference w:id="5"/>
      </w:r>
    </w:p>
    <w:p w:rsidR="00F855D9" w:rsidRPr="00F855D9" w:rsidRDefault="00F855D9" w:rsidP="00915C1B">
      <w:pPr>
        <w:spacing w:line="480" w:lineRule="auto"/>
        <w:ind w:left="709" w:firstLine="720"/>
        <w:jc w:val="both"/>
        <w:rPr>
          <w:rFonts w:ascii="Times New Roman" w:eastAsia="Calibri" w:hAnsi="Times New Roman" w:cs="Times New Roman"/>
          <w:sz w:val="24"/>
          <w:szCs w:val="24"/>
        </w:rPr>
      </w:pPr>
      <w:r w:rsidRPr="00F855D9">
        <w:rPr>
          <w:rFonts w:ascii="Times New Roman" w:eastAsia="Calibri" w:hAnsi="Times New Roman" w:cs="Times New Roman"/>
          <w:sz w:val="24"/>
          <w:szCs w:val="24"/>
        </w:rPr>
        <w:t xml:space="preserve">Meningkatnya kegiatan pembangunan infrastruktur dan untuk tercapainya ketersediaan infrastruktur yang andal, arah pembinaan konstruksi di Indonesia mulai difokuskan untuk mendukung tiga agenda prioritas sebagaimana yang telah tercantum pada NAWACITA yang berlandaskan pada nilai – nilai Pancasila dan Trisakti. Pembinaan konstruksi di Indonesia direncanakan untuk mendukung pembangunan infrastruktur yang mampu meningkatkan kualitas hidup manusia, meningkatkan produktivitas rakyat, meningkatkan daya saing di pasar internasional serta mewujudkan kemandirian ekonomi dengan menggerakkan sektor – sektor strategis ekonomi domestik. Pemerintah Indonesia telah mendukung adanya perdagangan jasa ini dimulai dari Indonesia meratifikasi berdirinya </w:t>
      </w:r>
      <w:r w:rsidRPr="00F855D9">
        <w:rPr>
          <w:rFonts w:ascii="Times New Roman" w:eastAsia="Calibri" w:hAnsi="Times New Roman" w:cs="Times New Roman"/>
          <w:i/>
          <w:sz w:val="24"/>
          <w:szCs w:val="24"/>
        </w:rPr>
        <w:t>World Trade Organization</w:t>
      </w:r>
      <w:r w:rsidRPr="00F855D9">
        <w:rPr>
          <w:rFonts w:ascii="Times New Roman" w:eastAsia="Calibri" w:hAnsi="Times New Roman" w:cs="Times New Roman"/>
          <w:sz w:val="24"/>
          <w:szCs w:val="24"/>
        </w:rPr>
        <w:t xml:space="preserve"> (WTO) dan menjadi salah satu negara dari 153 negara yang telah terdaftar sebagai </w:t>
      </w:r>
      <w:r w:rsidRPr="00F855D9">
        <w:rPr>
          <w:rFonts w:ascii="Times New Roman" w:eastAsia="Calibri" w:hAnsi="Times New Roman" w:cs="Times New Roman"/>
          <w:sz w:val="24"/>
          <w:szCs w:val="24"/>
        </w:rPr>
        <w:lastRenderedPageBreak/>
        <w:t>anggota WTO melalui Undang-Undang Nomor 7 Tahun 1994</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Calibri" w:hAnsi="Times New Roman" w:cs="Times New Roman"/>
          <w:sz w:val="24"/>
          <w:szCs w:val="24"/>
        </w:rPr>
        <w:t xml:space="preserve">Tentang Pengesahan </w:t>
      </w:r>
      <w:r w:rsidRPr="00F855D9">
        <w:rPr>
          <w:rFonts w:ascii="Times New Roman" w:eastAsia="Calibri" w:hAnsi="Times New Roman" w:cs="Times New Roman"/>
          <w:i/>
          <w:sz w:val="24"/>
          <w:szCs w:val="24"/>
        </w:rPr>
        <w:t>Agreement Establishing The World Trade Organization</w:t>
      </w:r>
      <w:r w:rsidRPr="00F855D9">
        <w:rPr>
          <w:rFonts w:ascii="Times New Roman" w:eastAsia="Calibri" w:hAnsi="Times New Roman" w:cs="Times New Roman"/>
          <w:sz w:val="24"/>
          <w:szCs w:val="24"/>
        </w:rPr>
        <w:t>, kemudian melalui Keputusan Presiden Nomor 88 Tahun 1995 Tentang Pengesahan</w:t>
      </w:r>
      <w:r w:rsidRPr="00F855D9">
        <w:rPr>
          <w:rFonts w:ascii="Times New Roman" w:eastAsia="Calibri" w:hAnsi="Times New Roman" w:cs="Times New Roman"/>
          <w:i/>
          <w:sz w:val="24"/>
          <w:szCs w:val="24"/>
        </w:rPr>
        <w:t xml:space="preserve"> ASEAN</w:t>
      </w:r>
      <w:r w:rsidRPr="00F855D9">
        <w:rPr>
          <w:rFonts w:ascii="Times New Roman" w:eastAsia="Calibri" w:hAnsi="Times New Roman" w:cs="Times New Roman"/>
          <w:sz w:val="24"/>
          <w:szCs w:val="24"/>
        </w:rPr>
        <w:t xml:space="preserve"> </w:t>
      </w:r>
      <w:r w:rsidRPr="00F855D9">
        <w:rPr>
          <w:rFonts w:ascii="Times New Roman" w:eastAsia="Calibri" w:hAnsi="Times New Roman" w:cs="Times New Roman"/>
          <w:i/>
          <w:sz w:val="24"/>
          <w:szCs w:val="24"/>
        </w:rPr>
        <w:t>Framework Agreement on Services</w:t>
      </w:r>
      <w:r w:rsidRPr="00F855D9">
        <w:rPr>
          <w:rFonts w:ascii="Times New Roman" w:eastAsia="Calibri" w:hAnsi="Times New Roman" w:cs="Times New Roman"/>
          <w:sz w:val="24"/>
          <w:szCs w:val="24"/>
        </w:rPr>
        <w:t xml:space="preserve">, Undang-Undang Nomor 18 tahun 1999 tentang Jasa Konstruksi,  Undang-Undang   Nomor   25   Tahun   2007  </w:t>
      </w:r>
      <w:r w:rsidR="00967E1A">
        <w:rPr>
          <w:rFonts w:ascii="Times New Roman" w:eastAsia="Calibri" w:hAnsi="Times New Roman" w:cs="Times New Roman"/>
          <w:sz w:val="24"/>
          <w:szCs w:val="24"/>
        </w:rPr>
        <w:t>tentang  Penanaman  Modal, Undan</w:t>
      </w:r>
      <w:r w:rsidRPr="00F855D9">
        <w:rPr>
          <w:rFonts w:ascii="Times New Roman" w:eastAsia="Calibri" w:hAnsi="Times New Roman" w:cs="Times New Roman"/>
          <w:sz w:val="24"/>
          <w:szCs w:val="24"/>
        </w:rPr>
        <w:t>g – Undang Nomor 7 T</w:t>
      </w:r>
      <w:r w:rsidR="00967E1A">
        <w:rPr>
          <w:rFonts w:ascii="Times New Roman" w:eastAsia="Calibri" w:hAnsi="Times New Roman" w:cs="Times New Roman"/>
          <w:sz w:val="24"/>
          <w:szCs w:val="24"/>
        </w:rPr>
        <w:t>a</w:t>
      </w:r>
      <w:r w:rsidRPr="00F855D9">
        <w:rPr>
          <w:rFonts w:ascii="Times New Roman" w:eastAsia="Calibri" w:hAnsi="Times New Roman" w:cs="Times New Roman"/>
          <w:sz w:val="24"/>
          <w:szCs w:val="24"/>
        </w:rPr>
        <w:t>hun 2014 Tentang Perdagangan.</w:t>
      </w:r>
    </w:p>
    <w:p w:rsidR="00F855D9" w:rsidRPr="00F855D9" w:rsidRDefault="00F855D9" w:rsidP="00915C1B">
      <w:pPr>
        <w:spacing w:line="480" w:lineRule="auto"/>
        <w:ind w:left="709" w:firstLine="720"/>
        <w:jc w:val="both"/>
        <w:rPr>
          <w:rFonts w:ascii="Times New Roman" w:eastAsia="Calibri" w:hAnsi="Times New Roman" w:cs="Times New Roman"/>
          <w:sz w:val="24"/>
          <w:szCs w:val="24"/>
        </w:rPr>
      </w:pPr>
      <w:r w:rsidRPr="00F855D9">
        <w:rPr>
          <w:rFonts w:ascii="Times New Roman" w:eastAsia="Calibri" w:hAnsi="Times New Roman" w:cs="Times New Roman"/>
          <w:sz w:val="24"/>
          <w:szCs w:val="24"/>
        </w:rPr>
        <w:t>Undang-Undang Nomor 18 Tahun 1999 Tentang Jasa Konstruksi menjelaskan bahwa badan usaha maupun tenaga kerja profesional asing di sektor konstruksi tidak dihalangi untuk beroperasi dan bekerja di Indonesia. Hal ini menimbulkan tantangan tersendiri manakala sebagian besar badan usaha nasional tidak cukup memiliki daya saing dan kemampuan menyelenggarakan pekerjaan konstruksi yang efisien dan efektif. Pekerja konstruksi yang belum memiliki standar dan sertifikat keahlian internasional menjadi kendala yang ada saat ini. Tenaga kerja merupakan salah satu unsur penting yang mempengaruhi kelangsungan dan kelancaran pelaksanaan pembangunan konstruksi. Hasil pekerjaan konstruksi yang berkualitas dapat diperoleh jika para pelaku bidang jasa konstruksi memiliki kompetensi dan profesionalisme yang tinggi sesuai bidang pekerjaannya.</w:t>
      </w:r>
    </w:p>
    <w:p w:rsidR="00F855D9" w:rsidRPr="00F855D9" w:rsidRDefault="00F855D9" w:rsidP="00915C1B">
      <w:pPr>
        <w:spacing w:line="480" w:lineRule="auto"/>
        <w:ind w:left="709" w:firstLine="720"/>
        <w:jc w:val="both"/>
        <w:rPr>
          <w:rFonts w:ascii="Times New Roman" w:eastAsia="Calibri" w:hAnsi="Times New Roman" w:cs="Times New Roman"/>
          <w:sz w:val="24"/>
          <w:szCs w:val="24"/>
        </w:rPr>
      </w:pPr>
      <w:r w:rsidRPr="00F855D9">
        <w:rPr>
          <w:rFonts w:ascii="Times New Roman" w:eastAsia="Calibri" w:hAnsi="Times New Roman" w:cs="Times New Roman"/>
          <w:sz w:val="24"/>
          <w:szCs w:val="24"/>
        </w:rPr>
        <w:t xml:space="preserve">Keterbukaan penanaman modal sektor jasa konstruksi nasional telah diatur dan ditetapkan dalam Peraturan Presiden Nomor 44 Tahun 2016 Tentang Daftar Bidang Usaha yang Tertutup dan Bidang Usaha yang Terbuka dengan Persyaratan di Bidang Penanaman Modal. Perpres </w:t>
      </w:r>
      <w:r w:rsidRPr="00F855D9">
        <w:rPr>
          <w:rFonts w:ascii="Times New Roman" w:eastAsia="Calibri" w:hAnsi="Times New Roman" w:cs="Times New Roman"/>
          <w:sz w:val="24"/>
          <w:szCs w:val="24"/>
        </w:rPr>
        <w:lastRenderedPageBreak/>
        <w:t xml:space="preserve">tersebut mengatur tentang 3 (tiga) kelompok bidang usaha, yaitu bidang usaha tertutup, bidang usaha terbuka dengan persyaratan yaitu bidang usaha yang dicadangkan untuk Usaha Kecil Menengah dan Koperasi, bidang usaha yang dipersyaratkan dengan kemitraan, dan bidang usaha yang yang dipersyaratkan dengan kepemilikan modal, lokasi tertentu dan perizinan khusus serta bidang usaha yang terbuka. Kementerian Pekerjaan Umum pada tahun 2015 mencatat bahwa terdapat 3 negara utama yang memiliki badan usaha jasa konstruksi di Indonesia yaitu Jepang, Cina, Korea. Sejak tahun 2005 hingga tahun 2015 jumlah badan usaha dari 4 negara tersebut terus meningkat. Adapun bertambahnya jumlah badan usaha asing tersebut tidak terlepas dari keikutsertaan Indonesia dalam berbagai forum perjanjian internasional seperti ASEAN-Korea, ASEAN-Jepang, ASEAN-India, dan juga sebagai dampak diberlakukannya </w:t>
      </w:r>
      <w:r w:rsidRPr="00F855D9">
        <w:rPr>
          <w:rFonts w:ascii="Times New Roman" w:eastAsia="Calibri" w:hAnsi="Times New Roman" w:cs="Times New Roman"/>
          <w:i/>
          <w:sz w:val="24"/>
          <w:szCs w:val="24"/>
        </w:rPr>
        <w:t>Master Plan</w:t>
      </w:r>
      <w:r w:rsidRPr="00F855D9">
        <w:rPr>
          <w:rFonts w:ascii="Times New Roman" w:eastAsia="Calibri" w:hAnsi="Times New Roman" w:cs="Times New Roman"/>
          <w:sz w:val="24"/>
          <w:szCs w:val="24"/>
        </w:rPr>
        <w:t xml:space="preserve"> Percepatan Pembangunan Ekonomi Indonesia (MP3EI) di tahun 2011.</w:t>
      </w:r>
      <w:r w:rsidRPr="00F855D9">
        <w:rPr>
          <w:rFonts w:ascii="Times New Roman" w:eastAsia="Calibri" w:hAnsi="Times New Roman" w:cs="Times New Roman"/>
          <w:sz w:val="24"/>
          <w:szCs w:val="24"/>
          <w:vertAlign w:val="superscript"/>
        </w:rPr>
        <w:footnoteReference w:id="6"/>
      </w:r>
      <w:r w:rsidRPr="00F855D9">
        <w:rPr>
          <w:rFonts w:ascii="Times New Roman" w:eastAsia="Calibri" w:hAnsi="Times New Roman" w:cs="Times New Roman"/>
          <w:sz w:val="24"/>
          <w:szCs w:val="24"/>
        </w:rPr>
        <w:t xml:space="preserve"> </w:t>
      </w:r>
    </w:p>
    <w:p w:rsidR="00F855D9" w:rsidRPr="00F855D9" w:rsidRDefault="00F855D9" w:rsidP="00915C1B">
      <w:pPr>
        <w:spacing w:line="480" w:lineRule="auto"/>
        <w:ind w:left="709" w:firstLine="720"/>
        <w:jc w:val="both"/>
        <w:rPr>
          <w:rFonts w:ascii="Times New Roman" w:eastAsia="Calibri" w:hAnsi="Times New Roman" w:cs="Times New Roman"/>
          <w:sz w:val="24"/>
          <w:szCs w:val="24"/>
        </w:rPr>
      </w:pPr>
      <w:r w:rsidRPr="00F855D9">
        <w:rPr>
          <w:rFonts w:ascii="Times New Roman" w:eastAsia="Calibri" w:hAnsi="Times New Roman" w:cs="Times New Roman"/>
          <w:sz w:val="24"/>
          <w:szCs w:val="24"/>
        </w:rPr>
        <w:t>Sesuai Cetak Biru MEA, Jasa Konstruksi sebagai jasa non PIS (</w:t>
      </w:r>
      <w:r w:rsidRPr="00F855D9">
        <w:rPr>
          <w:rFonts w:ascii="Times New Roman" w:eastAsia="Calibri" w:hAnsi="Times New Roman" w:cs="Times New Roman"/>
          <w:i/>
          <w:sz w:val="24"/>
          <w:szCs w:val="24"/>
        </w:rPr>
        <w:t>Priority Integration Sector)</w:t>
      </w:r>
      <w:r w:rsidRPr="00F855D9">
        <w:rPr>
          <w:rFonts w:ascii="Times New Roman" w:eastAsia="Calibri" w:hAnsi="Times New Roman" w:cs="Times New Roman"/>
          <w:sz w:val="24"/>
          <w:szCs w:val="24"/>
        </w:rPr>
        <w:t xml:space="preserve"> harus memenuhi komitmen dengan membuka akses pasar bagi pemasok jasa asing negara-negara anggota ASEAN dengan kepemilikan modal asing FEP (</w:t>
      </w:r>
      <w:r w:rsidRPr="00F855D9">
        <w:rPr>
          <w:rFonts w:ascii="Times New Roman" w:eastAsia="Calibri" w:hAnsi="Times New Roman" w:cs="Times New Roman"/>
          <w:i/>
          <w:sz w:val="24"/>
          <w:szCs w:val="24"/>
        </w:rPr>
        <w:t>Foreign Equity Participation</w:t>
      </w:r>
      <w:r w:rsidRPr="00F855D9">
        <w:rPr>
          <w:rFonts w:ascii="Times New Roman" w:eastAsia="Calibri" w:hAnsi="Times New Roman" w:cs="Times New Roman"/>
          <w:sz w:val="24"/>
          <w:szCs w:val="24"/>
        </w:rPr>
        <w:t xml:space="preserve">) 70% dalam AFAS Paket 10 tahun 2015. Saat ini Indonesia baru memberikan komitmen kepemilikan modal asing tidak melebihi 55% dalam bentuk </w:t>
      </w:r>
      <w:r w:rsidRPr="00F855D9">
        <w:rPr>
          <w:rFonts w:ascii="Times New Roman" w:eastAsia="Calibri" w:hAnsi="Times New Roman" w:cs="Times New Roman"/>
          <w:sz w:val="24"/>
          <w:szCs w:val="24"/>
        </w:rPr>
        <w:lastRenderedPageBreak/>
        <w:t xml:space="preserve">Perusahaan Terbatas (PT) dan dalam bentuk </w:t>
      </w:r>
      <w:r w:rsidRPr="00F855D9">
        <w:rPr>
          <w:rFonts w:ascii="Times New Roman" w:eastAsia="Calibri" w:hAnsi="Times New Roman" w:cs="Times New Roman"/>
          <w:i/>
          <w:sz w:val="24"/>
          <w:szCs w:val="24"/>
        </w:rPr>
        <w:t>Joint Operation</w:t>
      </w:r>
      <w:r w:rsidRPr="00F855D9">
        <w:rPr>
          <w:rFonts w:ascii="Times New Roman" w:eastAsia="Calibri" w:hAnsi="Times New Roman" w:cs="Times New Roman"/>
          <w:sz w:val="24"/>
          <w:szCs w:val="24"/>
        </w:rPr>
        <w:t>.</w:t>
      </w:r>
      <w:r w:rsidRPr="00F855D9">
        <w:rPr>
          <w:rFonts w:ascii="Times New Roman" w:eastAsia="Calibri" w:hAnsi="Times New Roman" w:cs="Times New Roman"/>
          <w:sz w:val="24"/>
          <w:szCs w:val="24"/>
          <w:vertAlign w:val="superscript"/>
        </w:rPr>
        <w:footnoteReference w:id="7"/>
      </w:r>
      <w:r w:rsidRPr="00F855D9">
        <w:rPr>
          <w:rFonts w:ascii="Times New Roman" w:eastAsia="Calibri" w:hAnsi="Times New Roman" w:cs="Times New Roman"/>
          <w:sz w:val="24"/>
          <w:szCs w:val="24"/>
        </w:rPr>
        <w:t xml:space="preserve"> Pengembangan jasa konstruksi menjadi agenda publik yang penting dan strategis bila melihat perkembangan yang terjadi secara cepat dalam konteks globalisasi dan liberalisasi, kemiskinan dan kesenjangan, demokratisasi dan otonomi daerah, serta kerusakan dan bencana alam. Selain itu, perkembangan jasa konstruksi juga tidak bisa dilepaskan dari konteks proses transformasi politik, budaya, ekonomi, dan birokrasi yang sedang terjadi.</w:t>
      </w:r>
      <w:r w:rsidRPr="00F855D9">
        <w:rPr>
          <w:rFonts w:ascii="Times New Roman" w:eastAsia="Calibri" w:hAnsi="Times New Roman" w:cs="Times New Roman"/>
          <w:sz w:val="24"/>
          <w:szCs w:val="24"/>
          <w:vertAlign w:val="superscript"/>
        </w:rPr>
        <w:footnoteReference w:id="8"/>
      </w:r>
    </w:p>
    <w:p w:rsidR="00F855D9" w:rsidRPr="00F855D9" w:rsidRDefault="00F855D9" w:rsidP="00915C1B">
      <w:pPr>
        <w:spacing w:line="480" w:lineRule="auto"/>
        <w:ind w:left="709" w:firstLine="720"/>
        <w:jc w:val="both"/>
        <w:rPr>
          <w:rFonts w:ascii="Times New Roman" w:eastAsia="Calibri" w:hAnsi="Times New Roman" w:cs="Times New Roman"/>
          <w:sz w:val="24"/>
          <w:szCs w:val="24"/>
        </w:rPr>
      </w:pPr>
      <w:r w:rsidRPr="00F855D9">
        <w:rPr>
          <w:rFonts w:ascii="Times New Roman" w:eastAsia="Calibri" w:hAnsi="Times New Roman" w:cs="Times New Roman"/>
          <w:sz w:val="24"/>
          <w:szCs w:val="24"/>
        </w:rPr>
        <w:t xml:space="preserve">Awal tahun 2016 menjadi babak awal persaingan pasar bebas (MEA) dalam bidang jasa konstruksi karena pengusaha konstruksi asing ikut bersaing dalam pasar konstruksi dalam negeri. Hal tersebut memberikan pengaruh yang positif maupun negatif bagi pengusaha industri jasa konstruksi di Indonesia. Karena melalui bidang konstruksi menjadi tolak ukur pembangunan nasional dalam memenuhi sarana dan prasarana infrastruktur negara yang berdampak pada peningkatan perekonomian suatu negara. Persaingan perdagangan jasa konstruksi yang kompetitif antar negara di ASEAN memicu adanya kesenjangan penguasaan pasar jasa konstruksi oleh negara anggota ASEAN yang mempunyai kualitas yang lebih baik daripada negara anggota yang lainnya. Guna meminimalisir kesenjangan yang ada, maka kebijakan dari pemerintah Indonesia dalam menghadapi persaingan perdagangan dalam </w:t>
      </w:r>
      <w:r w:rsidRPr="00F855D9">
        <w:rPr>
          <w:rFonts w:ascii="Times New Roman" w:eastAsia="Calibri" w:hAnsi="Times New Roman" w:cs="Times New Roman"/>
          <w:sz w:val="24"/>
          <w:szCs w:val="24"/>
        </w:rPr>
        <w:lastRenderedPageBreak/>
        <w:t xml:space="preserve">bidang jasa khususnya, telah dimulai jauh sebelum MEA dimulai pada awal 2016. </w:t>
      </w:r>
    </w:p>
    <w:p w:rsidR="00F855D9" w:rsidRPr="00F855D9" w:rsidRDefault="00F855D9" w:rsidP="00915C1B">
      <w:pPr>
        <w:spacing w:line="480" w:lineRule="auto"/>
        <w:ind w:left="709" w:firstLine="720"/>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Pemerintah Indonesia telah megeluarkan berbagai macam regulasi terkait perdagangan jasa di bidang konstruksi harus bersaing dengan regulasi dari negara anggota ASEAN lainnya. Vietnam merupakan salah satu negara anggota ASEAN yang daya saing di bidang jasa konstruksi setara dengan Indonesia. Vietnam menerapkan sistem ketenagakerjaan yang singnifikan bagi persaingan jasa di bidang konstruksi pada era MEA yang dapat memicu masuknya arus investasi dalam bidang konstruksi. Sistem ketenagakerjaan di negara Vietnam diatur dalam revisi peraturan ketenagakerjaan dan kerjasama industri (</w:t>
      </w:r>
      <w:r w:rsidRPr="00F855D9">
        <w:rPr>
          <w:rFonts w:ascii="Times New Roman" w:eastAsia="PMingLiU" w:hAnsi="Times New Roman" w:cs="Times New Roman"/>
          <w:i/>
          <w:kern w:val="2"/>
          <w:sz w:val="24"/>
          <w:szCs w:val="24"/>
          <w:lang w:eastAsia="zh-TW"/>
        </w:rPr>
        <w:t>Labor Code 12 Jun e 2012)</w:t>
      </w:r>
      <w:r w:rsidRPr="00F855D9">
        <w:rPr>
          <w:rFonts w:ascii="Times New Roman" w:eastAsia="PMingLiU" w:hAnsi="Times New Roman" w:cs="Times New Roman"/>
          <w:kern w:val="2"/>
          <w:sz w:val="24"/>
          <w:szCs w:val="24"/>
          <w:lang w:eastAsia="zh-TW"/>
        </w:rPr>
        <w:t xml:space="preserve"> yang efektif berlaku pada tahun 2013 yang mengedepankan pengelolaan investasi asing di negara tersebut. Peraturan pendukung tenaga kerja yaitu konsep rekrutmen, kontrak kerja, asuransi sosial, jam kerja, disiplin tenaga kerja, dan solusi permasalahan. Peraturan antara pemberi dan penerima tenaga kerja juga turut diatur dalam peraturan tersebut baik lokal ataupun dari luar negeri sehingga keberadaan tenaga kerja yang bekerja pada investor dalam atau luar negeri dapat terpantau dengan baik. Fasilitas lain yang mempermudah pihak asing untuk investasi adalah pemberian ijin yang mudah dari pemerintah vietnam (MOLISA). Vietnam dan Indonesia merupakan dua negara anggota ASEAN yang memiliki nilai index kompetisi global yang hampir sama yaitu 1,8 %.</w:t>
      </w:r>
      <w:r w:rsidRPr="00F855D9">
        <w:rPr>
          <w:rFonts w:ascii="Times New Roman" w:eastAsia="PMingLiU" w:hAnsi="Times New Roman" w:cs="Times New Roman"/>
          <w:kern w:val="2"/>
          <w:sz w:val="24"/>
          <w:szCs w:val="24"/>
          <w:vertAlign w:val="superscript"/>
          <w:lang w:eastAsia="zh-TW"/>
        </w:rPr>
        <w:footnoteReference w:id="9"/>
      </w:r>
      <w:r w:rsidRPr="00F855D9">
        <w:rPr>
          <w:rFonts w:ascii="Times New Roman" w:eastAsia="PMingLiU" w:hAnsi="Times New Roman" w:cs="Times New Roman"/>
          <w:kern w:val="2"/>
          <w:sz w:val="24"/>
          <w:szCs w:val="24"/>
          <w:lang w:eastAsia="zh-TW"/>
        </w:rPr>
        <w:t xml:space="preserve"> Vietnam membuat sistem ketenagakerjaan yang mempermudah pihak asing untuk dapat melakukan </w:t>
      </w:r>
      <w:r w:rsidRPr="00F855D9">
        <w:rPr>
          <w:rFonts w:ascii="Times New Roman" w:eastAsia="PMingLiU" w:hAnsi="Times New Roman" w:cs="Times New Roman"/>
          <w:kern w:val="2"/>
          <w:sz w:val="24"/>
          <w:szCs w:val="24"/>
          <w:lang w:eastAsia="zh-TW"/>
        </w:rPr>
        <w:lastRenderedPageBreak/>
        <w:t>investasi dengan mudah cukup berbeda dengan Indonesia yang saat ini izin investasi bagi pelaku usaha asing masih cukup sulit. Ketatnya persiangan antar negara anggota ASEAN dalam perdagangan jasa di bidang konstruksi pada era MEA  ditandai dengan dikeluarkannya berbagai macam kebijakan dari masing – masing negara.</w:t>
      </w:r>
    </w:p>
    <w:p w:rsidR="00F855D9" w:rsidRPr="00F855D9" w:rsidRDefault="00F855D9" w:rsidP="00915C1B">
      <w:pPr>
        <w:spacing w:line="480" w:lineRule="auto"/>
        <w:ind w:left="709" w:firstLine="720"/>
        <w:jc w:val="both"/>
        <w:rPr>
          <w:rFonts w:ascii="Times New Roman" w:eastAsia="Calibri" w:hAnsi="Times New Roman" w:cs="Times New Roman"/>
          <w:sz w:val="24"/>
          <w:szCs w:val="24"/>
        </w:rPr>
      </w:pPr>
      <w:r w:rsidRPr="00F855D9">
        <w:rPr>
          <w:rFonts w:ascii="Times New Roman" w:eastAsia="PMingLiU" w:hAnsi="Times New Roman" w:cs="Times New Roman"/>
          <w:kern w:val="2"/>
          <w:sz w:val="24"/>
          <w:szCs w:val="24"/>
          <w:lang w:eastAsia="zh-TW"/>
        </w:rPr>
        <w:t xml:space="preserve">Pemerintah Indonesia membuat berbagai macam kebijakan bertujuan untuk mempermudah proses perdagangan barang maupun jasa dalam era MEA, tetapi juga untuk mengurangi hambatan – hambatan yang menjadi kendala bagi pemerintah dan pelaku usaha Indonesia maupun pelaku usaha asing dalam liberalisasi perdagangan yang berlangsung saat ini.   </w:t>
      </w:r>
      <w:r w:rsidRPr="00F855D9">
        <w:rPr>
          <w:rFonts w:ascii="Times New Roman" w:eastAsia="Calibri" w:hAnsi="Times New Roman" w:cs="Times New Roman"/>
          <w:sz w:val="24"/>
          <w:szCs w:val="24"/>
        </w:rPr>
        <w:t>Kebijakan akan perdagangan Jasa konstruksi di Indonesia dalam menghadapi persaingan antar negara ASEAN sangat fundamental dilakukan karena pasar jasa konstruksi di Indonesia merupakan pasar konstruksi terbesar di ASEAN dan akan menjadi sasaran yang bagus bagi negara – negara ASEAN lain. Pengaruh dari kebijakan itulah akan berdampak pada persaingan jasa konstruksi dalam masyarakat ekonomi ASEAN yang sedang berlangsung saat ini. Dampak positif maupun negatif yang timbul dari berbagai kebijakan yang telah diambil pemerintah Indonesia akan menentukan arah kebijakan selanjutnya dari pemerintah Indonesia dalam menghadapi tantangan pasar di kawasan ASEAN dalam rangka menciptakan perdagangan yang efisien dan persaingan yang sehat.</w:t>
      </w:r>
    </w:p>
    <w:p w:rsidR="00915C1B" w:rsidRPr="00F855D9" w:rsidRDefault="00F855D9" w:rsidP="000A776B">
      <w:pPr>
        <w:spacing w:line="480" w:lineRule="auto"/>
        <w:ind w:left="709" w:firstLine="720"/>
        <w:jc w:val="both"/>
        <w:rPr>
          <w:rFonts w:ascii="Times New Roman" w:eastAsia="Calibri" w:hAnsi="Times New Roman" w:cs="Times New Roman"/>
          <w:sz w:val="24"/>
          <w:szCs w:val="24"/>
        </w:rPr>
      </w:pPr>
      <w:r w:rsidRPr="00F855D9">
        <w:rPr>
          <w:rFonts w:ascii="Times New Roman" w:eastAsia="Calibri" w:hAnsi="Times New Roman" w:cs="Times New Roman"/>
          <w:sz w:val="24"/>
          <w:szCs w:val="24"/>
        </w:rPr>
        <w:t xml:space="preserve">Berdasarkan uraian diatas, bahwasannya Indonesia sebagai pangsa pasar perdagangan jasa konstruksi terbesar di ASEAN dalam era masyarakat ekonomi ASEAN mendatangkan efek positif maupun negatif </w:t>
      </w:r>
      <w:r w:rsidRPr="00F855D9">
        <w:rPr>
          <w:rFonts w:ascii="Times New Roman" w:eastAsia="Calibri" w:hAnsi="Times New Roman" w:cs="Times New Roman"/>
          <w:sz w:val="24"/>
          <w:szCs w:val="24"/>
        </w:rPr>
        <w:lastRenderedPageBreak/>
        <w:t>bagi bangsa Indonesia itu sendiri akibat persaingan antar negara anggota ASEAN dalam merebut pasar MEA. Mengingat konstribusi jasa konstruksi bagi pembangunan nasional maka kebijakan pemerintah dalam jangka pendek maupun panjang perlu ditinjau lagi jika mengingat lesunya daya saing dari perusahaan jasa konstruksi dalam negeri untuk berpartisipasi dalam perdagangan jasa di era MEA ini. Oleh karena itu dampak dari kebijakan pemerintah Indonesia terhadap persaingan perdagangan jasa perlu dianalisis kembali. Maka dari itu, penulis tertarik menuangkannya ke dalam sebuah tesis yang berjudul “ANALISIS DAMPAK KEBIJAKAN PEMERINTAH INDONESIA TERHADAP PERSAINGAN PERDAGANGAN JASA DI BIDANG KONSTRUKSI DALAM RANGKA MASYARAKAT EKONOMI ASEAN”.</w:t>
      </w:r>
    </w:p>
    <w:p w:rsidR="00F855D9" w:rsidRPr="00F855D9" w:rsidRDefault="00F855D9" w:rsidP="003D7355">
      <w:pPr>
        <w:widowControl w:val="0"/>
        <w:numPr>
          <w:ilvl w:val="0"/>
          <w:numId w:val="16"/>
        </w:numPr>
        <w:spacing w:after="0" w:line="480" w:lineRule="auto"/>
        <w:ind w:left="709" w:hanging="709"/>
        <w:contextualSpacing/>
        <w:jc w:val="both"/>
        <w:rPr>
          <w:rFonts w:ascii="Times New Roman" w:eastAsia="PMingLiU" w:hAnsi="Times New Roman" w:cs="Times New Roman"/>
          <w:b/>
          <w:bCs/>
          <w:kern w:val="2"/>
          <w:sz w:val="24"/>
          <w:szCs w:val="24"/>
          <w:lang w:eastAsia="zh-TW"/>
        </w:rPr>
      </w:pPr>
      <w:r w:rsidRPr="00F855D9">
        <w:rPr>
          <w:rFonts w:ascii="Times New Roman" w:eastAsia="PMingLiU" w:hAnsi="Times New Roman" w:cs="Times New Roman"/>
          <w:b/>
          <w:bCs/>
          <w:kern w:val="2"/>
          <w:sz w:val="24"/>
          <w:szCs w:val="24"/>
          <w:lang w:eastAsia="zh-TW"/>
        </w:rPr>
        <w:t xml:space="preserve">Perumusan Masalah </w:t>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kern w:val="2"/>
          <w:sz w:val="24"/>
          <w:szCs w:val="24"/>
          <w:lang w:eastAsia="zh-TW"/>
        </w:rPr>
      </w:pPr>
      <w:r w:rsidRPr="00F855D9">
        <w:rPr>
          <w:rFonts w:ascii="Times New Roman" w:eastAsia="PMingLiU" w:hAnsi="Times New Roman" w:cs="Times New Roman"/>
          <w:bCs/>
          <w:kern w:val="2"/>
          <w:sz w:val="24"/>
          <w:szCs w:val="24"/>
          <w:lang w:eastAsia="zh-TW"/>
        </w:rPr>
        <w:t>Berdasarkan latar belakang yang telah diuraikan oleh penulis, penulis mengindikasikan beberapa permasalahan sebagai berikut :</w:t>
      </w:r>
    </w:p>
    <w:p w:rsidR="00F855D9" w:rsidRPr="00F855D9" w:rsidRDefault="00F855D9" w:rsidP="003D7355">
      <w:pPr>
        <w:widowControl w:val="0"/>
        <w:numPr>
          <w:ilvl w:val="0"/>
          <w:numId w:val="18"/>
        </w:numPr>
        <w:spacing w:after="0" w:line="480" w:lineRule="auto"/>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Bagaimana analisis dampak kebijakan pemerintah Indonesia terhadap persaingan perdagangan jasa di bidang konstruksi dalam rangka Masyarakat Ekonomi ASEAN ?</w:t>
      </w:r>
    </w:p>
    <w:p w:rsidR="00915C1B" w:rsidRDefault="00F855D9" w:rsidP="00F855D9">
      <w:pPr>
        <w:widowControl w:val="0"/>
        <w:numPr>
          <w:ilvl w:val="0"/>
          <w:numId w:val="18"/>
        </w:numPr>
        <w:spacing w:after="0" w:line="480" w:lineRule="auto"/>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Bagaimana perbandingan persaingan perdagangan jasa di bidang konstruksi antara Indonesia dengan negara anggota ASEAN lainnya dalam rangka Masyarakat Ekonomi ASEAN ?</w:t>
      </w:r>
    </w:p>
    <w:p w:rsidR="000A776B" w:rsidRPr="000A776B" w:rsidRDefault="000A776B" w:rsidP="000A776B">
      <w:pPr>
        <w:widowControl w:val="0"/>
        <w:spacing w:after="0" w:line="480" w:lineRule="auto"/>
        <w:ind w:left="1069"/>
        <w:contextualSpacing/>
        <w:jc w:val="both"/>
        <w:rPr>
          <w:rFonts w:ascii="Times New Roman" w:eastAsia="PMingLiU" w:hAnsi="Times New Roman" w:cs="Times New Roman"/>
          <w:kern w:val="2"/>
          <w:sz w:val="24"/>
          <w:szCs w:val="24"/>
          <w:lang w:eastAsia="zh-TW"/>
        </w:rPr>
      </w:pPr>
    </w:p>
    <w:p w:rsidR="00F855D9" w:rsidRPr="00F855D9" w:rsidRDefault="00F855D9" w:rsidP="003D7355">
      <w:pPr>
        <w:widowControl w:val="0"/>
        <w:numPr>
          <w:ilvl w:val="0"/>
          <w:numId w:val="16"/>
        </w:numPr>
        <w:spacing w:after="0" w:line="480" w:lineRule="auto"/>
        <w:ind w:left="709" w:hanging="709"/>
        <w:contextualSpacing/>
        <w:jc w:val="both"/>
        <w:rPr>
          <w:rFonts w:ascii="Times New Roman" w:eastAsia="PMingLiU" w:hAnsi="Times New Roman" w:cs="Times New Roman"/>
          <w:b/>
          <w:bCs/>
          <w:kern w:val="2"/>
          <w:sz w:val="24"/>
          <w:szCs w:val="24"/>
          <w:lang w:eastAsia="zh-TW"/>
        </w:rPr>
      </w:pPr>
      <w:r w:rsidRPr="00F855D9">
        <w:rPr>
          <w:rFonts w:ascii="Times New Roman" w:eastAsia="PMingLiU" w:hAnsi="Times New Roman" w:cs="Times New Roman"/>
          <w:b/>
          <w:bCs/>
          <w:kern w:val="2"/>
          <w:sz w:val="24"/>
          <w:szCs w:val="24"/>
          <w:lang w:eastAsia="zh-TW"/>
        </w:rPr>
        <w:t>Tujuan Penelitian</w:t>
      </w:r>
    </w:p>
    <w:p w:rsidR="00F855D9" w:rsidRPr="00F855D9" w:rsidRDefault="00F855D9" w:rsidP="00915C1B">
      <w:pPr>
        <w:widowControl w:val="0"/>
        <w:spacing w:after="0" w:line="480" w:lineRule="auto"/>
        <w:ind w:left="709" w:firstLine="720"/>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val="en-US" w:eastAsia="zh-TW"/>
        </w:rPr>
        <w:t xml:space="preserve">Berdasarkan permasalahan tersebut diatas maka tujuan dari </w:t>
      </w:r>
      <w:r w:rsidRPr="00F855D9">
        <w:rPr>
          <w:rFonts w:ascii="Times New Roman" w:eastAsia="PMingLiU" w:hAnsi="Times New Roman" w:cs="Times New Roman"/>
          <w:kern w:val="2"/>
          <w:sz w:val="24"/>
          <w:szCs w:val="24"/>
          <w:lang w:val="en-US" w:eastAsia="zh-TW"/>
        </w:rPr>
        <w:lastRenderedPageBreak/>
        <w:t>penelitian ini adalah</w:t>
      </w:r>
      <w:r w:rsidRPr="00F855D9">
        <w:rPr>
          <w:rFonts w:ascii="Times New Roman" w:eastAsia="PMingLiU" w:hAnsi="Times New Roman" w:cs="Times New Roman"/>
          <w:kern w:val="2"/>
          <w:sz w:val="24"/>
          <w:szCs w:val="24"/>
          <w:lang w:eastAsia="zh-TW"/>
        </w:rPr>
        <w:t xml:space="preserve"> </w:t>
      </w:r>
      <w:r w:rsidRPr="00F855D9">
        <w:rPr>
          <w:rFonts w:ascii="Times New Roman" w:eastAsia="PMingLiU" w:hAnsi="Times New Roman" w:cs="Times New Roman"/>
          <w:kern w:val="2"/>
          <w:sz w:val="24"/>
          <w:szCs w:val="24"/>
          <w:lang w:val="en-US" w:eastAsia="zh-TW"/>
        </w:rPr>
        <w:t>:</w:t>
      </w:r>
    </w:p>
    <w:p w:rsidR="00F855D9" w:rsidRDefault="00F855D9" w:rsidP="003D7355">
      <w:pPr>
        <w:widowControl w:val="0"/>
        <w:numPr>
          <w:ilvl w:val="0"/>
          <w:numId w:val="19"/>
        </w:numPr>
        <w:spacing w:after="0" w:line="480" w:lineRule="auto"/>
        <w:ind w:left="1134"/>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Untuk mendeskripsikan analisis dampak kebijakan pemerintah Indonesia terhadap persaingan perdagangan jasa di bidang konstruksi dalam rangka Masyarakat Ekonomi ASEAN.</w:t>
      </w:r>
    </w:p>
    <w:p w:rsidR="000A776B" w:rsidRPr="00F855D9" w:rsidRDefault="000A776B" w:rsidP="000A776B">
      <w:pPr>
        <w:widowControl w:val="0"/>
        <w:spacing w:after="0" w:line="480" w:lineRule="auto"/>
        <w:contextualSpacing/>
        <w:jc w:val="both"/>
        <w:rPr>
          <w:rFonts w:ascii="Times New Roman" w:eastAsia="PMingLiU" w:hAnsi="Times New Roman" w:cs="Times New Roman"/>
          <w:kern w:val="2"/>
          <w:sz w:val="24"/>
          <w:szCs w:val="24"/>
          <w:lang w:eastAsia="zh-TW"/>
        </w:rPr>
      </w:pPr>
    </w:p>
    <w:p w:rsidR="00F855D9" w:rsidRPr="00F855D9" w:rsidRDefault="00F855D9" w:rsidP="003D7355">
      <w:pPr>
        <w:widowControl w:val="0"/>
        <w:numPr>
          <w:ilvl w:val="0"/>
          <w:numId w:val="19"/>
        </w:numPr>
        <w:spacing w:after="0" w:line="480" w:lineRule="auto"/>
        <w:ind w:left="1134"/>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Untuk mendeskripsikan perbandingan persaingan perdagangan jasa di bidang konstruksi antara Indonesia dengan negara anggota ASEAN lainnya dalam rangka Masyarakat Ekonomi ASEAN.</w:t>
      </w:r>
    </w:p>
    <w:p w:rsidR="00F855D9" w:rsidRPr="00F855D9" w:rsidRDefault="00F855D9" w:rsidP="00F855D9">
      <w:pPr>
        <w:widowControl w:val="0"/>
        <w:spacing w:after="0" w:line="480" w:lineRule="auto"/>
        <w:jc w:val="both"/>
        <w:rPr>
          <w:rFonts w:ascii="Times New Roman" w:eastAsia="PMingLiU" w:hAnsi="Times New Roman" w:cs="Times New Roman"/>
          <w:kern w:val="2"/>
          <w:sz w:val="24"/>
          <w:szCs w:val="24"/>
          <w:lang w:eastAsia="zh-TW"/>
        </w:rPr>
      </w:pPr>
    </w:p>
    <w:p w:rsidR="00F855D9" w:rsidRPr="00F855D9" w:rsidRDefault="00F855D9" w:rsidP="003D7355">
      <w:pPr>
        <w:widowControl w:val="0"/>
        <w:numPr>
          <w:ilvl w:val="0"/>
          <w:numId w:val="16"/>
        </w:numPr>
        <w:spacing w:after="0" w:line="480" w:lineRule="auto"/>
        <w:ind w:left="709" w:hanging="709"/>
        <w:contextualSpacing/>
        <w:jc w:val="both"/>
        <w:rPr>
          <w:rFonts w:ascii="Times New Roman" w:eastAsia="PMingLiU" w:hAnsi="Times New Roman" w:cs="Times New Roman"/>
          <w:b/>
          <w:bCs/>
          <w:kern w:val="2"/>
          <w:sz w:val="24"/>
          <w:szCs w:val="24"/>
          <w:lang w:eastAsia="zh-TW"/>
        </w:rPr>
      </w:pPr>
      <w:r w:rsidRPr="00F855D9">
        <w:rPr>
          <w:rFonts w:ascii="Times New Roman" w:eastAsia="PMingLiU" w:hAnsi="Times New Roman" w:cs="Times New Roman"/>
          <w:b/>
          <w:bCs/>
          <w:kern w:val="2"/>
          <w:sz w:val="24"/>
          <w:szCs w:val="24"/>
          <w:lang w:eastAsia="zh-TW"/>
        </w:rPr>
        <w:t>Kegunaan Penelitian</w:t>
      </w:r>
    </w:p>
    <w:p w:rsidR="00F855D9" w:rsidRPr="00F855D9" w:rsidRDefault="00F855D9" w:rsidP="00915C1B">
      <w:pPr>
        <w:widowControl w:val="0"/>
        <w:spacing w:after="0" w:line="480" w:lineRule="auto"/>
        <w:ind w:left="709" w:firstLine="720"/>
        <w:contextualSpacing/>
        <w:jc w:val="both"/>
        <w:rPr>
          <w:rFonts w:ascii="Times New Roman" w:eastAsia="PMingLiU" w:hAnsi="Times New Roman" w:cs="Times New Roman"/>
          <w:kern w:val="2"/>
          <w:sz w:val="24"/>
          <w:szCs w:val="24"/>
          <w:lang w:val="en-US" w:eastAsia="zh-TW"/>
        </w:rPr>
      </w:pPr>
      <w:r w:rsidRPr="00F855D9">
        <w:rPr>
          <w:rFonts w:ascii="Times New Roman" w:eastAsia="PMingLiU" w:hAnsi="Times New Roman" w:cs="Times New Roman"/>
          <w:kern w:val="2"/>
          <w:sz w:val="24"/>
          <w:szCs w:val="24"/>
          <w:lang w:eastAsia="zh-TW"/>
        </w:rPr>
        <w:t>Kegunaan</w:t>
      </w:r>
      <w:r w:rsidRPr="00F855D9">
        <w:rPr>
          <w:rFonts w:ascii="Times New Roman" w:eastAsia="PMingLiU" w:hAnsi="Times New Roman" w:cs="Times New Roman"/>
          <w:kern w:val="2"/>
          <w:sz w:val="24"/>
          <w:szCs w:val="24"/>
          <w:lang w:val="en-US" w:eastAsia="zh-TW"/>
        </w:rPr>
        <w:t xml:space="preserve"> yang diharapkan dari pelaksanaan penelitian ini adalah sebagai berikut :</w:t>
      </w:r>
    </w:p>
    <w:p w:rsidR="00F855D9" w:rsidRPr="00F855D9" w:rsidRDefault="00F855D9" w:rsidP="003D7355">
      <w:pPr>
        <w:widowControl w:val="0"/>
        <w:numPr>
          <w:ilvl w:val="0"/>
          <w:numId w:val="20"/>
        </w:numPr>
        <w:spacing w:after="0" w:line="480" w:lineRule="auto"/>
        <w:ind w:left="1134"/>
        <w:contextualSpacing/>
        <w:jc w:val="both"/>
        <w:rPr>
          <w:rFonts w:ascii="Times New Roman" w:eastAsia="PMingLiU" w:hAnsi="Times New Roman" w:cs="Times New Roman"/>
          <w:kern w:val="2"/>
          <w:sz w:val="24"/>
          <w:szCs w:val="24"/>
          <w:lang w:val="en-US" w:eastAsia="zh-TW"/>
        </w:rPr>
      </w:pPr>
      <w:r w:rsidRPr="00F855D9">
        <w:rPr>
          <w:rFonts w:ascii="Times New Roman" w:eastAsia="PMingLiU" w:hAnsi="Times New Roman" w:cs="Times New Roman"/>
          <w:kern w:val="2"/>
          <w:sz w:val="24"/>
          <w:szCs w:val="24"/>
          <w:lang w:eastAsia="zh-TW"/>
        </w:rPr>
        <w:t>Kegunaan T</w:t>
      </w:r>
      <w:r w:rsidRPr="00F855D9">
        <w:rPr>
          <w:rFonts w:ascii="Times New Roman" w:eastAsia="PMingLiU" w:hAnsi="Times New Roman" w:cs="Times New Roman"/>
          <w:kern w:val="2"/>
          <w:sz w:val="24"/>
          <w:szCs w:val="24"/>
          <w:lang w:val="en-US" w:eastAsia="zh-TW"/>
        </w:rPr>
        <w:t>eoriti</w:t>
      </w:r>
      <w:r w:rsidRPr="00F855D9">
        <w:rPr>
          <w:rFonts w:ascii="Times New Roman" w:eastAsia="PMingLiU" w:hAnsi="Times New Roman" w:cs="Times New Roman"/>
          <w:kern w:val="2"/>
          <w:sz w:val="24"/>
          <w:szCs w:val="24"/>
          <w:lang w:eastAsia="zh-TW"/>
        </w:rPr>
        <w:t xml:space="preserve">s </w:t>
      </w:r>
    </w:p>
    <w:p w:rsidR="00F855D9" w:rsidRPr="00F855D9" w:rsidRDefault="00F855D9" w:rsidP="003D7355">
      <w:pPr>
        <w:widowControl w:val="0"/>
        <w:numPr>
          <w:ilvl w:val="0"/>
          <w:numId w:val="21"/>
        </w:numPr>
        <w:spacing w:after="0" w:line="480" w:lineRule="auto"/>
        <w:contextualSpacing/>
        <w:jc w:val="both"/>
        <w:rPr>
          <w:rFonts w:ascii="Times New Roman" w:eastAsia="PMingLiU" w:hAnsi="Times New Roman" w:cs="Times New Roman"/>
          <w:kern w:val="2"/>
          <w:sz w:val="24"/>
          <w:szCs w:val="24"/>
          <w:lang w:val="en-US" w:eastAsia="zh-TW"/>
        </w:rPr>
      </w:pPr>
      <w:r w:rsidRPr="00F855D9">
        <w:rPr>
          <w:rFonts w:ascii="Times New Roman" w:eastAsia="PMingLiU" w:hAnsi="Times New Roman" w:cs="Times New Roman"/>
          <w:kern w:val="2"/>
          <w:sz w:val="24"/>
          <w:szCs w:val="24"/>
          <w:lang w:eastAsia="zh-TW"/>
        </w:rPr>
        <w:t xml:space="preserve"> D</w:t>
      </w:r>
      <w:r w:rsidRPr="00F855D9">
        <w:rPr>
          <w:rFonts w:ascii="Times New Roman" w:eastAsia="PMingLiU" w:hAnsi="Times New Roman" w:cs="Times New Roman"/>
          <w:kern w:val="2"/>
          <w:sz w:val="24"/>
          <w:szCs w:val="24"/>
          <w:lang w:val="en-US" w:eastAsia="zh-TW"/>
        </w:rPr>
        <w:t xml:space="preserve">iharapkan dapat mengembangkan ilmu pengetahuan di bidang hukum </w:t>
      </w:r>
      <w:r w:rsidRPr="00F855D9">
        <w:rPr>
          <w:rFonts w:ascii="Times New Roman" w:eastAsia="PMingLiU" w:hAnsi="Times New Roman" w:cs="Times New Roman"/>
          <w:kern w:val="2"/>
          <w:sz w:val="24"/>
          <w:szCs w:val="24"/>
          <w:lang w:eastAsia="zh-TW"/>
        </w:rPr>
        <w:t>perdagangan internasional</w:t>
      </w:r>
      <w:r w:rsidRPr="00F855D9">
        <w:rPr>
          <w:rFonts w:ascii="Times New Roman" w:eastAsia="PMingLiU" w:hAnsi="Times New Roman" w:cs="Times New Roman"/>
          <w:kern w:val="2"/>
          <w:sz w:val="24"/>
          <w:szCs w:val="24"/>
          <w:lang w:val="en-US" w:eastAsia="zh-TW"/>
        </w:rPr>
        <w:t xml:space="preserve">, khususnya mengenai </w:t>
      </w:r>
      <w:r w:rsidRPr="00F855D9">
        <w:rPr>
          <w:rFonts w:ascii="Times New Roman" w:eastAsia="PMingLiU" w:hAnsi="Times New Roman" w:cs="Times New Roman"/>
          <w:kern w:val="2"/>
          <w:sz w:val="24"/>
          <w:szCs w:val="24"/>
          <w:lang w:eastAsia="zh-TW"/>
        </w:rPr>
        <w:t>perdagangan jasa di bidang konstruksi dalam rangka Masyarakat Ekonomi ASEAN</w:t>
      </w:r>
      <w:r w:rsidRPr="00F855D9">
        <w:rPr>
          <w:rFonts w:ascii="Times New Roman" w:eastAsia="PMingLiU" w:hAnsi="Times New Roman" w:cs="Times New Roman"/>
          <w:kern w:val="2"/>
          <w:sz w:val="24"/>
          <w:szCs w:val="24"/>
          <w:lang w:val="en-US" w:eastAsia="zh-TW"/>
        </w:rPr>
        <w:t>.</w:t>
      </w:r>
    </w:p>
    <w:p w:rsidR="00F855D9" w:rsidRPr="00F855D9" w:rsidRDefault="00F855D9" w:rsidP="003D7355">
      <w:pPr>
        <w:widowControl w:val="0"/>
        <w:numPr>
          <w:ilvl w:val="0"/>
          <w:numId w:val="21"/>
        </w:numPr>
        <w:spacing w:after="0" w:line="480" w:lineRule="auto"/>
        <w:contextualSpacing/>
        <w:jc w:val="both"/>
        <w:rPr>
          <w:rFonts w:ascii="Times New Roman" w:eastAsia="PMingLiU" w:hAnsi="Times New Roman" w:cs="Times New Roman"/>
          <w:kern w:val="2"/>
          <w:sz w:val="24"/>
          <w:szCs w:val="24"/>
          <w:lang w:val="en-US" w:eastAsia="zh-TW"/>
        </w:rPr>
      </w:pPr>
      <w:r w:rsidRPr="00F855D9">
        <w:rPr>
          <w:rFonts w:ascii="Times New Roman" w:eastAsia="PMingLiU" w:hAnsi="Times New Roman" w:cs="Times New Roman"/>
          <w:kern w:val="2"/>
          <w:sz w:val="24"/>
          <w:szCs w:val="24"/>
          <w:lang w:val="en-US" w:eastAsia="zh-TW"/>
        </w:rPr>
        <w:t>Diharapkan hasil dari penelitian dan penulisan hukum ini dapat dijadikan referensi dan dasar bagi penulisan hukum atau penelitian selanjutnya.</w:t>
      </w:r>
    </w:p>
    <w:p w:rsidR="00F855D9" w:rsidRPr="00F855D9" w:rsidRDefault="00F855D9" w:rsidP="003D7355">
      <w:pPr>
        <w:widowControl w:val="0"/>
        <w:numPr>
          <w:ilvl w:val="0"/>
          <w:numId w:val="20"/>
        </w:numPr>
        <w:spacing w:after="0" w:line="480" w:lineRule="auto"/>
        <w:ind w:left="1134"/>
        <w:contextualSpacing/>
        <w:jc w:val="both"/>
        <w:rPr>
          <w:rFonts w:ascii="Times New Roman" w:eastAsia="PMingLiU" w:hAnsi="Times New Roman" w:cs="Times New Roman"/>
          <w:kern w:val="2"/>
          <w:sz w:val="24"/>
          <w:szCs w:val="24"/>
          <w:lang w:val="en-US" w:eastAsia="zh-TW"/>
        </w:rPr>
      </w:pPr>
      <w:r w:rsidRPr="00F855D9">
        <w:rPr>
          <w:rFonts w:ascii="Times New Roman" w:eastAsia="PMingLiU" w:hAnsi="Times New Roman" w:cs="Times New Roman"/>
          <w:kern w:val="2"/>
          <w:sz w:val="24"/>
          <w:szCs w:val="24"/>
          <w:lang w:eastAsia="zh-TW"/>
        </w:rPr>
        <w:t>Kegunaan P</w:t>
      </w:r>
      <w:r w:rsidRPr="00F855D9">
        <w:rPr>
          <w:rFonts w:ascii="Times New Roman" w:eastAsia="PMingLiU" w:hAnsi="Times New Roman" w:cs="Times New Roman"/>
          <w:kern w:val="2"/>
          <w:sz w:val="24"/>
          <w:szCs w:val="24"/>
          <w:lang w:val="en-US" w:eastAsia="zh-TW"/>
        </w:rPr>
        <w:t>raktis</w:t>
      </w:r>
    </w:p>
    <w:p w:rsidR="00F855D9" w:rsidRPr="00F855D9" w:rsidRDefault="00F855D9" w:rsidP="003D7355">
      <w:pPr>
        <w:widowControl w:val="0"/>
        <w:numPr>
          <w:ilvl w:val="0"/>
          <w:numId w:val="22"/>
        </w:numPr>
        <w:spacing w:after="0" w:line="480" w:lineRule="auto"/>
        <w:contextualSpacing/>
        <w:jc w:val="both"/>
        <w:rPr>
          <w:rFonts w:ascii="Times New Roman" w:eastAsia="PMingLiU" w:hAnsi="Times New Roman" w:cs="Times New Roman"/>
          <w:kern w:val="2"/>
          <w:sz w:val="24"/>
          <w:szCs w:val="24"/>
          <w:lang w:val="en-US" w:eastAsia="zh-TW"/>
        </w:rPr>
      </w:pP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kern w:val="2"/>
          <w:sz w:val="24"/>
          <w:szCs w:val="24"/>
          <w:lang w:eastAsia="zh-TW"/>
        </w:rPr>
        <w:t xml:space="preserve">Untuk </w:t>
      </w:r>
      <w:r w:rsidRPr="00F855D9">
        <w:rPr>
          <w:rFonts w:ascii="Times New Roman" w:eastAsia="PMingLiU" w:hAnsi="Times New Roman" w:cs="Times New Roman"/>
          <w:kern w:val="2"/>
          <w:sz w:val="24"/>
          <w:szCs w:val="24"/>
          <w:lang w:val="en-US" w:eastAsia="zh-TW"/>
        </w:rPr>
        <w:t xml:space="preserve">dapat memberikan pengetahuan baru mengenai  kebijakan pemerintah Indonesia terhadap persaingan perdagangan jasa konstruksi dalam </w:t>
      </w:r>
      <w:r w:rsidRPr="00F855D9">
        <w:rPr>
          <w:rFonts w:ascii="Times New Roman" w:eastAsia="PMingLiU" w:hAnsi="Times New Roman" w:cs="Times New Roman"/>
          <w:kern w:val="2"/>
          <w:sz w:val="24"/>
          <w:szCs w:val="24"/>
          <w:lang w:eastAsia="zh-TW"/>
        </w:rPr>
        <w:t xml:space="preserve">rangka </w:t>
      </w:r>
      <w:r w:rsidRPr="00F855D9">
        <w:rPr>
          <w:rFonts w:ascii="Times New Roman" w:eastAsia="PMingLiU" w:hAnsi="Times New Roman" w:cs="Times New Roman"/>
          <w:kern w:val="2"/>
          <w:sz w:val="24"/>
          <w:szCs w:val="24"/>
          <w:lang w:val="en-US" w:eastAsia="zh-TW"/>
        </w:rPr>
        <w:t xml:space="preserve">Masyarakat Ekonomi ASEAN dan perbandingan </w:t>
      </w:r>
      <w:r w:rsidRPr="00F855D9">
        <w:rPr>
          <w:rFonts w:ascii="Times New Roman" w:eastAsia="PMingLiU" w:hAnsi="Times New Roman" w:cs="Times New Roman"/>
          <w:kern w:val="2"/>
          <w:sz w:val="24"/>
          <w:szCs w:val="24"/>
          <w:lang w:val="en-US" w:eastAsia="zh-TW"/>
        </w:rPr>
        <w:lastRenderedPageBreak/>
        <w:t>persaingan perdagangan jasa di bidang konstruksi antara Indonesia dengan dengan negara anggota ASEAN lainnya dalam Masyarakat Ekonomi ASEAN.</w:t>
      </w:r>
    </w:p>
    <w:p w:rsidR="00F855D9" w:rsidRPr="00F855D9" w:rsidRDefault="00F855D9" w:rsidP="003D7355">
      <w:pPr>
        <w:widowControl w:val="0"/>
        <w:numPr>
          <w:ilvl w:val="0"/>
          <w:numId w:val="22"/>
        </w:numPr>
        <w:spacing w:after="0" w:line="480" w:lineRule="auto"/>
        <w:ind w:left="1134"/>
        <w:contextualSpacing/>
        <w:jc w:val="both"/>
        <w:rPr>
          <w:rFonts w:ascii="Times New Roman" w:eastAsia="PMingLiU" w:hAnsi="Times New Roman" w:cs="Times New Roman"/>
          <w:kern w:val="2"/>
          <w:sz w:val="24"/>
          <w:szCs w:val="24"/>
          <w:lang w:val="en-US" w:eastAsia="zh-TW"/>
        </w:rPr>
      </w:pPr>
      <w:r w:rsidRPr="00F855D9">
        <w:rPr>
          <w:rFonts w:ascii="Times New Roman" w:eastAsia="PMingLiU" w:hAnsi="Times New Roman" w:cs="Times New Roman"/>
          <w:kern w:val="2"/>
          <w:sz w:val="24"/>
          <w:szCs w:val="24"/>
          <w:lang w:eastAsia="zh-TW"/>
        </w:rPr>
        <w:t>Memberikan masukan bagi pemerintah untuk menerapkan kebijakan yang tepat dalam persaingan perdagangan jasa dalam rangka Masyarakat Ekonomi ASEAN.</w:t>
      </w:r>
    </w:p>
    <w:p w:rsidR="00F855D9" w:rsidRPr="00F855D9" w:rsidRDefault="00F855D9" w:rsidP="003D7355">
      <w:pPr>
        <w:widowControl w:val="0"/>
        <w:numPr>
          <w:ilvl w:val="0"/>
          <w:numId w:val="22"/>
        </w:numPr>
        <w:spacing w:after="0" w:line="480" w:lineRule="auto"/>
        <w:ind w:left="1134"/>
        <w:contextualSpacing/>
        <w:jc w:val="both"/>
        <w:rPr>
          <w:rFonts w:ascii="Times New Roman" w:eastAsia="PMingLiU" w:hAnsi="Times New Roman" w:cs="Times New Roman"/>
          <w:kern w:val="2"/>
          <w:sz w:val="24"/>
          <w:szCs w:val="24"/>
          <w:lang w:val="en-US" w:eastAsia="zh-TW"/>
        </w:rPr>
      </w:pPr>
      <w:r w:rsidRPr="00F855D9">
        <w:rPr>
          <w:rFonts w:ascii="Times New Roman" w:eastAsia="PMingLiU" w:hAnsi="Times New Roman" w:cs="Times New Roman"/>
          <w:kern w:val="2"/>
          <w:sz w:val="24"/>
          <w:szCs w:val="24"/>
          <w:lang w:eastAsia="zh-TW"/>
        </w:rPr>
        <w:t>Untuk memberikan masukan kepada pelaku usaha terkait iklim persaingan perdagangan jasa di bidang konstruksi dalam era MEA.</w:t>
      </w:r>
    </w:p>
    <w:p w:rsidR="00F855D9" w:rsidRPr="00F855D9" w:rsidRDefault="00F855D9" w:rsidP="003D7355">
      <w:pPr>
        <w:widowControl w:val="0"/>
        <w:numPr>
          <w:ilvl w:val="0"/>
          <w:numId w:val="22"/>
        </w:numPr>
        <w:spacing w:after="0" w:line="480" w:lineRule="auto"/>
        <w:contextualSpacing/>
        <w:rPr>
          <w:rFonts w:ascii="Times New Roman" w:eastAsia="PMingLiU" w:hAnsi="Times New Roman" w:cs="Times New Roman"/>
          <w:kern w:val="2"/>
          <w:sz w:val="24"/>
          <w:szCs w:val="24"/>
          <w:lang w:val="en-US" w:eastAsia="zh-TW"/>
        </w:rPr>
      </w:pPr>
      <w:r w:rsidRPr="00F855D9">
        <w:rPr>
          <w:rFonts w:ascii="Times New Roman" w:eastAsia="PMingLiU" w:hAnsi="Times New Roman" w:cs="Times New Roman"/>
          <w:kern w:val="2"/>
          <w:sz w:val="24"/>
          <w:szCs w:val="24"/>
          <w:lang w:val="en-US" w:eastAsia="zh-TW"/>
        </w:rPr>
        <w:t>Untuk menambah khasanah Ilmu Hukum baik bagi pembaca maupun bagi penulis sendiri.</w:t>
      </w:r>
    </w:p>
    <w:p w:rsidR="00F855D9" w:rsidRDefault="00F855D9" w:rsidP="00F855D9">
      <w:pPr>
        <w:widowControl w:val="0"/>
        <w:spacing w:after="0" w:line="480" w:lineRule="auto"/>
        <w:contextualSpacing/>
        <w:rPr>
          <w:rFonts w:ascii="Times New Roman" w:eastAsia="PMingLiU" w:hAnsi="Times New Roman" w:cs="Times New Roman"/>
          <w:kern w:val="2"/>
          <w:sz w:val="24"/>
          <w:szCs w:val="24"/>
          <w:lang w:val="en-US" w:eastAsia="zh-TW"/>
        </w:rPr>
      </w:pPr>
    </w:p>
    <w:p w:rsidR="00915C1B" w:rsidRDefault="00915C1B" w:rsidP="00F855D9">
      <w:pPr>
        <w:widowControl w:val="0"/>
        <w:spacing w:after="0" w:line="480" w:lineRule="auto"/>
        <w:contextualSpacing/>
        <w:rPr>
          <w:rFonts w:ascii="Times New Roman" w:eastAsia="PMingLiU" w:hAnsi="Times New Roman" w:cs="Times New Roman"/>
          <w:kern w:val="2"/>
          <w:sz w:val="24"/>
          <w:szCs w:val="24"/>
          <w:lang w:val="en-US" w:eastAsia="zh-TW"/>
        </w:rPr>
      </w:pPr>
    </w:p>
    <w:p w:rsidR="00915C1B" w:rsidRDefault="00915C1B" w:rsidP="00F855D9">
      <w:pPr>
        <w:widowControl w:val="0"/>
        <w:spacing w:after="0" w:line="480" w:lineRule="auto"/>
        <w:contextualSpacing/>
        <w:rPr>
          <w:rFonts w:ascii="Times New Roman" w:eastAsia="PMingLiU" w:hAnsi="Times New Roman" w:cs="Times New Roman"/>
          <w:kern w:val="2"/>
          <w:sz w:val="24"/>
          <w:szCs w:val="24"/>
          <w:lang w:val="en-US" w:eastAsia="zh-TW"/>
        </w:rPr>
      </w:pPr>
    </w:p>
    <w:p w:rsidR="00915C1B" w:rsidRDefault="00915C1B" w:rsidP="00F855D9">
      <w:pPr>
        <w:widowControl w:val="0"/>
        <w:spacing w:after="0" w:line="480" w:lineRule="auto"/>
        <w:contextualSpacing/>
        <w:rPr>
          <w:rFonts w:ascii="Times New Roman" w:eastAsia="PMingLiU" w:hAnsi="Times New Roman" w:cs="Times New Roman"/>
          <w:kern w:val="2"/>
          <w:sz w:val="24"/>
          <w:szCs w:val="24"/>
          <w:lang w:val="en-US" w:eastAsia="zh-TW"/>
        </w:rPr>
      </w:pPr>
    </w:p>
    <w:p w:rsidR="00915C1B" w:rsidRDefault="00915C1B" w:rsidP="00F855D9">
      <w:pPr>
        <w:widowControl w:val="0"/>
        <w:spacing w:after="0" w:line="480" w:lineRule="auto"/>
        <w:contextualSpacing/>
        <w:rPr>
          <w:rFonts w:ascii="Times New Roman" w:eastAsia="PMingLiU" w:hAnsi="Times New Roman" w:cs="Times New Roman"/>
          <w:kern w:val="2"/>
          <w:sz w:val="24"/>
          <w:szCs w:val="24"/>
          <w:lang w:val="en-US" w:eastAsia="zh-TW"/>
        </w:rPr>
      </w:pPr>
    </w:p>
    <w:p w:rsidR="00915C1B" w:rsidRDefault="00915C1B" w:rsidP="00F855D9">
      <w:pPr>
        <w:widowControl w:val="0"/>
        <w:spacing w:after="0" w:line="480" w:lineRule="auto"/>
        <w:contextualSpacing/>
        <w:rPr>
          <w:rFonts w:ascii="Times New Roman" w:eastAsia="PMingLiU" w:hAnsi="Times New Roman" w:cs="Times New Roman"/>
          <w:kern w:val="2"/>
          <w:sz w:val="24"/>
          <w:szCs w:val="24"/>
          <w:lang w:val="en-US" w:eastAsia="zh-TW"/>
        </w:rPr>
      </w:pPr>
    </w:p>
    <w:p w:rsidR="00915C1B" w:rsidRDefault="00915C1B" w:rsidP="00F855D9">
      <w:pPr>
        <w:widowControl w:val="0"/>
        <w:spacing w:after="0" w:line="480" w:lineRule="auto"/>
        <w:contextualSpacing/>
        <w:rPr>
          <w:rFonts w:ascii="Times New Roman" w:eastAsia="PMingLiU" w:hAnsi="Times New Roman" w:cs="Times New Roman"/>
          <w:kern w:val="2"/>
          <w:sz w:val="24"/>
          <w:szCs w:val="24"/>
          <w:lang w:val="en-US" w:eastAsia="zh-TW"/>
        </w:rPr>
      </w:pPr>
    </w:p>
    <w:p w:rsidR="00915C1B" w:rsidRDefault="00915C1B" w:rsidP="00F855D9">
      <w:pPr>
        <w:widowControl w:val="0"/>
        <w:spacing w:after="0" w:line="480" w:lineRule="auto"/>
        <w:contextualSpacing/>
        <w:rPr>
          <w:rFonts w:ascii="Times New Roman" w:eastAsia="PMingLiU" w:hAnsi="Times New Roman" w:cs="Times New Roman"/>
          <w:kern w:val="2"/>
          <w:sz w:val="24"/>
          <w:szCs w:val="24"/>
          <w:lang w:val="en-US" w:eastAsia="zh-TW"/>
        </w:rPr>
      </w:pPr>
    </w:p>
    <w:p w:rsidR="000A776B" w:rsidRDefault="000A776B" w:rsidP="00F855D9">
      <w:pPr>
        <w:widowControl w:val="0"/>
        <w:spacing w:after="0" w:line="480" w:lineRule="auto"/>
        <w:contextualSpacing/>
        <w:rPr>
          <w:rFonts w:ascii="Times New Roman" w:eastAsia="PMingLiU" w:hAnsi="Times New Roman" w:cs="Times New Roman"/>
          <w:kern w:val="2"/>
          <w:sz w:val="24"/>
          <w:szCs w:val="24"/>
          <w:lang w:eastAsia="zh-TW"/>
        </w:rPr>
      </w:pPr>
    </w:p>
    <w:p w:rsidR="00F52E6B" w:rsidRDefault="00F52E6B" w:rsidP="00F855D9">
      <w:pPr>
        <w:widowControl w:val="0"/>
        <w:spacing w:after="0" w:line="480" w:lineRule="auto"/>
        <w:contextualSpacing/>
        <w:rPr>
          <w:rFonts w:ascii="Times New Roman" w:eastAsia="PMingLiU" w:hAnsi="Times New Roman" w:cs="Times New Roman"/>
          <w:kern w:val="2"/>
          <w:sz w:val="24"/>
          <w:szCs w:val="24"/>
          <w:lang w:eastAsia="zh-TW"/>
        </w:rPr>
      </w:pPr>
    </w:p>
    <w:p w:rsidR="00F52E6B" w:rsidRDefault="00F52E6B" w:rsidP="00F855D9">
      <w:pPr>
        <w:widowControl w:val="0"/>
        <w:spacing w:after="0" w:line="480" w:lineRule="auto"/>
        <w:contextualSpacing/>
        <w:rPr>
          <w:rFonts w:ascii="Times New Roman" w:eastAsia="PMingLiU" w:hAnsi="Times New Roman" w:cs="Times New Roman"/>
          <w:kern w:val="2"/>
          <w:sz w:val="24"/>
          <w:szCs w:val="24"/>
          <w:lang w:eastAsia="zh-TW"/>
        </w:rPr>
      </w:pPr>
    </w:p>
    <w:p w:rsidR="00F52E6B" w:rsidRDefault="00F52E6B" w:rsidP="00F855D9">
      <w:pPr>
        <w:widowControl w:val="0"/>
        <w:spacing w:after="0" w:line="480" w:lineRule="auto"/>
        <w:contextualSpacing/>
        <w:rPr>
          <w:rFonts w:ascii="Times New Roman" w:eastAsia="PMingLiU" w:hAnsi="Times New Roman" w:cs="Times New Roman"/>
          <w:kern w:val="2"/>
          <w:sz w:val="24"/>
          <w:szCs w:val="24"/>
          <w:lang w:eastAsia="zh-TW"/>
        </w:rPr>
      </w:pPr>
    </w:p>
    <w:p w:rsidR="00F52E6B" w:rsidRDefault="00F52E6B" w:rsidP="00F855D9">
      <w:pPr>
        <w:widowControl w:val="0"/>
        <w:spacing w:after="0" w:line="480" w:lineRule="auto"/>
        <w:contextualSpacing/>
        <w:rPr>
          <w:rFonts w:ascii="Times New Roman" w:eastAsia="PMingLiU" w:hAnsi="Times New Roman" w:cs="Times New Roman"/>
          <w:kern w:val="2"/>
          <w:sz w:val="24"/>
          <w:szCs w:val="24"/>
          <w:lang w:eastAsia="zh-TW"/>
        </w:rPr>
      </w:pPr>
    </w:p>
    <w:p w:rsidR="00F52E6B" w:rsidRPr="00F52E6B" w:rsidRDefault="00F52E6B" w:rsidP="00F855D9">
      <w:pPr>
        <w:widowControl w:val="0"/>
        <w:spacing w:after="0" w:line="480" w:lineRule="auto"/>
        <w:contextualSpacing/>
        <w:rPr>
          <w:rFonts w:ascii="Times New Roman" w:eastAsia="PMingLiU" w:hAnsi="Times New Roman" w:cs="Times New Roman"/>
          <w:kern w:val="2"/>
          <w:sz w:val="24"/>
          <w:szCs w:val="24"/>
          <w:lang w:eastAsia="zh-TW"/>
        </w:rPr>
      </w:pPr>
    </w:p>
    <w:p w:rsidR="00F855D9" w:rsidRPr="00F855D9" w:rsidRDefault="00F855D9" w:rsidP="003D7355">
      <w:pPr>
        <w:widowControl w:val="0"/>
        <w:numPr>
          <w:ilvl w:val="0"/>
          <w:numId w:val="16"/>
        </w:numPr>
        <w:spacing w:after="0" w:line="480" w:lineRule="auto"/>
        <w:ind w:left="709" w:hanging="709"/>
        <w:contextualSpacing/>
        <w:jc w:val="both"/>
        <w:rPr>
          <w:rFonts w:ascii="Times New Roman" w:eastAsia="PMingLiU" w:hAnsi="Times New Roman" w:cs="Times New Roman"/>
          <w:b/>
          <w:bCs/>
          <w:color w:val="FF0000"/>
          <w:kern w:val="2"/>
          <w:sz w:val="24"/>
          <w:szCs w:val="24"/>
          <w:lang w:eastAsia="zh-TW"/>
        </w:rPr>
      </w:pPr>
      <w:r w:rsidRPr="00F855D9">
        <w:rPr>
          <w:rFonts w:ascii="Times New Roman" w:eastAsia="PMingLiU" w:hAnsi="Times New Roman" w:cs="Times New Roman"/>
          <w:b/>
          <w:bCs/>
          <w:kern w:val="2"/>
          <w:sz w:val="24"/>
          <w:szCs w:val="24"/>
          <w:lang w:eastAsia="zh-TW"/>
        </w:rPr>
        <w:lastRenderedPageBreak/>
        <w:t>Kerangka Pemikiran, Konseptual, Teori</w:t>
      </w:r>
    </w:p>
    <w:p w:rsidR="00F855D9" w:rsidRPr="00F855D9" w:rsidRDefault="00F855D9" w:rsidP="003D7355">
      <w:pPr>
        <w:widowControl w:val="0"/>
        <w:numPr>
          <w:ilvl w:val="1"/>
          <w:numId w:val="20"/>
        </w:numPr>
        <w:spacing w:after="0" w:line="480" w:lineRule="auto"/>
        <w:ind w:left="426"/>
        <w:contextualSpacing/>
        <w:jc w:val="both"/>
        <w:rPr>
          <w:rFonts w:ascii="Times New Roman" w:eastAsia="PMingLiU" w:hAnsi="Times New Roman" w:cs="Times New Roman"/>
          <w:b/>
          <w:bCs/>
          <w:color w:val="FF0000"/>
          <w:kern w:val="2"/>
          <w:sz w:val="24"/>
          <w:szCs w:val="24"/>
          <w:lang w:eastAsia="zh-TW"/>
        </w:rPr>
      </w:pPr>
      <w:r w:rsidRPr="00F855D9">
        <w:rPr>
          <w:rFonts w:ascii="Times New Roman" w:eastAsia="PMingLiU" w:hAnsi="Times New Roman" w:cs="Times New Roman"/>
          <w:b/>
          <w:bCs/>
          <w:kern w:val="2"/>
          <w:sz w:val="24"/>
          <w:szCs w:val="24"/>
          <w:lang w:eastAsia="zh-TW"/>
        </w:rPr>
        <w:t>Kerangka Pemikiran</w:t>
      </w:r>
    </w:p>
    <w:p w:rsidR="00F855D9" w:rsidRPr="00F855D9" w:rsidRDefault="00F855D9" w:rsidP="00F855D9">
      <w:pPr>
        <w:widowControl w:val="0"/>
        <w:spacing w:after="0" w:line="480" w:lineRule="auto"/>
        <w:jc w:val="both"/>
        <w:rPr>
          <w:rFonts w:ascii="Times New Roman" w:eastAsia="PMingLiU" w:hAnsi="Times New Roman" w:cs="Times New Roman"/>
          <w:b/>
          <w:bCs/>
          <w:color w:val="FF0000"/>
          <w:kern w:val="2"/>
          <w:sz w:val="24"/>
          <w:szCs w:val="24"/>
          <w:lang w:eastAsia="zh-TW"/>
        </w:rPr>
      </w:pP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12672" behindDoc="0" locked="0" layoutInCell="1" allowOverlap="1" wp14:anchorId="25175F3A" wp14:editId="0CAD08C7">
                <wp:simplePos x="0" y="0"/>
                <wp:positionH relativeFrom="column">
                  <wp:posOffset>1673888</wp:posOffset>
                </wp:positionH>
                <wp:positionV relativeFrom="paragraph">
                  <wp:posOffset>180698</wp:posOffset>
                </wp:positionV>
                <wp:extent cx="2189066" cy="492704"/>
                <wp:effectExtent l="0" t="0" r="20955" b="22225"/>
                <wp:wrapNone/>
                <wp:docPr id="10" name="Text Box 10"/>
                <wp:cNvGraphicFramePr/>
                <a:graphic xmlns:a="http://schemas.openxmlformats.org/drawingml/2006/main">
                  <a:graphicData uri="http://schemas.microsoft.com/office/word/2010/wordprocessingShape">
                    <wps:wsp>
                      <wps:cNvSpPr txBox="1"/>
                      <wps:spPr>
                        <a:xfrm>
                          <a:off x="0" y="0"/>
                          <a:ext cx="2189066" cy="492704"/>
                        </a:xfrm>
                        <a:prstGeom prst="rect">
                          <a:avLst/>
                        </a:prstGeom>
                        <a:solidFill>
                          <a:sysClr val="window" lastClr="FFFFFF"/>
                        </a:solidFill>
                        <a:ln w="6350">
                          <a:solidFill>
                            <a:prstClr val="black"/>
                          </a:solidFill>
                        </a:ln>
                        <a:effectLst/>
                      </wps:spPr>
                      <wps:txbx>
                        <w:txbxContent>
                          <w:p w:rsidR="00967E1A" w:rsidRPr="00915C1B" w:rsidRDefault="00967E1A" w:rsidP="00915C1B">
                            <w:pPr>
                              <w:spacing w:line="240" w:lineRule="auto"/>
                              <w:jc w:val="center"/>
                              <w:rPr>
                                <w:rFonts w:ascii="Times New Roman" w:hAnsi="Times New Roman" w:cs="Times New Roman"/>
                                <w:sz w:val="24"/>
                                <w:szCs w:val="24"/>
                              </w:rPr>
                            </w:pPr>
                            <w:r w:rsidRPr="00915C1B">
                              <w:rPr>
                                <w:rFonts w:ascii="Times New Roman" w:hAnsi="Times New Roman" w:cs="Times New Roman"/>
                                <w:sz w:val="24"/>
                                <w:szCs w:val="24"/>
                              </w:rPr>
                              <w:t>Masyarakat Ekonomi ASEAN (MEA)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5175F3A" id="_x0000_t202" coordsize="21600,21600" o:spt="202" path="m,l,21600r21600,l21600,xe">
                <v:stroke joinstyle="miter"/>
                <v:path gradientshapeok="t" o:connecttype="rect"/>
              </v:shapetype>
              <v:shape id="Text Box 10" o:spid="_x0000_s1026" type="#_x0000_t202" style="position:absolute;left:0;text-align:left;margin-left:131.8pt;margin-top:14.25pt;width:172.35pt;height:38.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" fillcolor="window" strokeweight=".5pt">
                <v:textbox>
                  <w:txbxContent>
                    <w:p w:rsidR="00967E1A" w:rsidRPr="00915C1B" w:rsidRDefault="00967E1A" w:rsidP="00915C1B">
                      <w:pPr>
                        <w:spacing w:line="240" w:lineRule="auto"/>
                        <w:jc w:val="center"/>
                        <w:rPr>
                          <w:rFonts w:ascii="Times New Roman" w:hAnsi="Times New Roman" w:cs="Times New Roman"/>
                          <w:sz w:val="24"/>
                          <w:szCs w:val="24"/>
                        </w:rPr>
                      </w:pPr>
                      <w:r w:rsidRPr="00915C1B">
                        <w:rPr>
                          <w:rFonts w:ascii="Times New Roman" w:hAnsi="Times New Roman" w:cs="Times New Roman"/>
                          <w:sz w:val="24"/>
                          <w:szCs w:val="24"/>
                        </w:rPr>
                        <w:t>Masyarakat Ekonomi ASEAN (MEA)</w:t>
                      </w:r>
                    </w:p>
                  </w:txbxContent>
                </v:textbox>
              </v:shape>
            </w:pict>
          </mc:Fallback>
        </mc:AlternateContent>
      </w:r>
    </w:p>
    <w:p w:rsidR="00F855D9" w:rsidRPr="00F855D9" w:rsidRDefault="00F855D9" w:rsidP="00F855D9">
      <w:pPr>
        <w:widowControl w:val="0"/>
        <w:spacing w:after="0" w:line="480" w:lineRule="auto"/>
        <w:jc w:val="both"/>
        <w:rPr>
          <w:rFonts w:ascii="Times New Roman" w:eastAsia="PMingLiU" w:hAnsi="Times New Roman" w:cs="Times New Roman"/>
          <w:b/>
          <w:bCs/>
          <w:color w:val="FF0000"/>
          <w:kern w:val="2"/>
          <w:sz w:val="24"/>
          <w:szCs w:val="24"/>
          <w:lang w:eastAsia="zh-TW"/>
        </w:rPr>
      </w:pPr>
      <w:r w:rsidRPr="00F855D9">
        <w:rPr>
          <w:rFonts w:ascii="Times New Roman" w:eastAsia="PMingLiU" w:hAnsi="Times New Roman" w:cs="Times New Roman"/>
          <w:b/>
          <w:bCs/>
          <w:noProof/>
          <w:color w:val="FF0000"/>
          <w:kern w:val="2"/>
          <w:sz w:val="24"/>
          <w:szCs w:val="24"/>
          <w:lang w:eastAsia="id-ID"/>
        </w:rPr>
        <mc:AlternateContent>
          <mc:Choice Requires="wps">
            <w:drawing>
              <wp:anchor distT="0" distB="0" distL="114300" distR="114300" simplePos="0" relativeHeight="251621888" behindDoc="0" locked="0" layoutInCell="1" allowOverlap="1" wp14:anchorId="6536772C" wp14:editId="7586B001">
                <wp:simplePos x="0" y="0"/>
                <wp:positionH relativeFrom="column">
                  <wp:posOffset>2654742</wp:posOffset>
                </wp:positionH>
                <wp:positionV relativeFrom="paragraph">
                  <wp:posOffset>322828</wp:posOffset>
                </wp:positionV>
                <wp:extent cx="7951" cy="382519"/>
                <wp:effectExtent l="38100" t="0" r="68580" b="55880"/>
                <wp:wrapNone/>
                <wp:docPr id="5" name="Straight Arrow Connector 5"/>
                <wp:cNvGraphicFramePr/>
                <a:graphic xmlns:a="http://schemas.openxmlformats.org/drawingml/2006/main">
                  <a:graphicData uri="http://schemas.microsoft.com/office/word/2010/wordprocessingShape">
                    <wps:wsp>
                      <wps:cNvCnPr/>
                      <wps:spPr>
                        <a:xfrm>
                          <a:off x="0" y="0"/>
                          <a:ext cx="7951" cy="38251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5="http://schemas.microsoft.com/office/word/2012/wordml">
            <w:pict>
              <v:shapetype w14:anchorId="1029C70D" id="_x0000_t32" coordsize="21600,21600" o:spt="32" o:oned="t" path="m,l21600,21600e" filled="f">
                <v:path arrowok="t" fillok="f" o:connecttype="none"/>
                <o:lock v:ext="edit" shapetype="t"/>
              </v:shapetype>
              <v:shape id="Straight Arrow Connector 5" o:spid="_x0000_s1026" type="#_x0000_t32" style="position:absolute;margin-left:209.05pt;margin-top:25.4pt;width:.65pt;height:30.1pt;z-index:25162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">
                <v:stroke endarrow="block"/>
              </v:shape>
            </w:pict>
          </mc:Fallback>
        </mc:AlternateContent>
      </w:r>
    </w:p>
    <w:p w:rsidR="00F855D9" w:rsidRPr="00F855D9" w:rsidRDefault="00915C1B"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noProof/>
          <w:kern w:val="2"/>
          <w:sz w:val="24"/>
          <w:szCs w:val="24"/>
          <w:lang w:eastAsia="id-ID"/>
        </w:rPr>
        <mc:AlternateContent>
          <mc:Choice Requires="wps">
            <w:drawing>
              <wp:anchor distT="0" distB="0" distL="114300" distR="114300" simplePos="0" relativeHeight="251598336" behindDoc="0" locked="0" layoutInCell="1" allowOverlap="1" wp14:anchorId="02CA782A" wp14:editId="2C708B1F">
                <wp:simplePos x="0" y="0"/>
                <wp:positionH relativeFrom="column">
                  <wp:posOffset>1222633</wp:posOffset>
                </wp:positionH>
                <wp:positionV relativeFrom="paragraph">
                  <wp:posOffset>341909</wp:posOffset>
                </wp:positionV>
                <wp:extent cx="2954216" cy="562708"/>
                <wp:effectExtent l="0" t="0" r="17780" b="27940"/>
                <wp:wrapNone/>
                <wp:docPr id="3" name="Text Box 3"/>
                <wp:cNvGraphicFramePr/>
                <a:graphic xmlns:a="http://schemas.openxmlformats.org/drawingml/2006/main">
                  <a:graphicData uri="http://schemas.microsoft.com/office/word/2010/wordprocessingShape">
                    <wps:wsp>
                      <wps:cNvSpPr txBox="1"/>
                      <wps:spPr>
                        <a:xfrm>
                          <a:off x="0" y="0"/>
                          <a:ext cx="2954216" cy="562708"/>
                        </a:xfrm>
                        <a:prstGeom prst="rect">
                          <a:avLst/>
                        </a:prstGeom>
                        <a:solidFill>
                          <a:sysClr val="window" lastClr="FFFFFF"/>
                        </a:solidFill>
                        <a:ln w="6350">
                          <a:solidFill>
                            <a:prstClr val="black"/>
                          </a:solidFill>
                        </a:ln>
                        <a:effectLst/>
                      </wps:spPr>
                      <wps:txbx>
                        <w:txbxContent>
                          <w:p w:rsidR="00967E1A" w:rsidRPr="00915C1B" w:rsidRDefault="00967E1A" w:rsidP="00915C1B">
                            <w:pPr>
                              <w:spacing w:line="240" w:lineRule="auto"/>
                              <w:jc w:val="center"/>
                              <w:rPr>
                                <w:rFonts w:ascii="Times New Roman" w:hAnsi="Times New Roman" w:cs="Times New Roman"/>
                                <w:i/>
                                <w:sz w:val="24"/>
                                <w:szCs w:val="24"/>
                              </w:rPr>
                            </w:pPr>
                            <w:r w:rsidRPr="00915C1B">
                              <w:rPr>
                                <w:rFonts w:ascii="Times New Roman" w:hAnsi="Times New Roman" w:cs="Times New Roman"/>
                                <w:i/>
                                <w:sz w:val="24"/>
                                <w:szCs w:val="24"/>
                              </w:rPr>
                              <w:t>ASEAN Framework Agreement On Services</w:t>
                            </w:r>
                          </w:p>
                          <w:p w:rsidR="00967E1A" w:rsidRPr="00915C1B" w:rsidRDefault="00967E1A" w:rsidP="00915C1B">
                            <w:pPr>
                              <w:spacing w:line="240" w:lineRule="auto"/>
                              <w:jc w:val="center"/>
                              <w:rPr>
                                <w:rFonts w:ascii="Times New Roman" w:hAnsi="Times New Roman" w:cs="Times New Roman"/>
                                <w:sz w:val="24"/>
                                <w:szCs w:val="24"/>
                              </w:rPr>
                            </w:pPr>
                            <w:r w:rsidRPr="00915C1B">
                              <w:rPr>
                                <w:rFonts w:ascii="Times New Roman" w:hAnsi="Times New Roman" w:cs="Times New Roman"/>
                                <w:sz w:val="24"/>
                                <w:szCs w:val="24"/>
                              </w:rPr>
                              <w:t>(AFAS)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CA782A" id="Text Box 3" o:spid="_x0000_s1027" type="#_x0000_t202" style="position:absolute;left:0;text-align:left;margin-left:96.25pt;margin-top:26.9pt;width:232.6pt;height:44.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" fillcolor="window" strokeweight=".5pt">
                <v:textbox>
                  <w:txbxContent>
                    <w:p w:rsidR="00967E1A" w:rsidRPr="00915C1B" w:rsidRDefault="00967E1A" w:rsidP="00915C1B">
                      <w:pPr>
                        <w:spacing w:line="240" w:lineRule="auto"/>
                        <w:jc w:val="center"/>
                        <w:rPr>
                          <w:rFonts w:ascii="Times New Roman" w:hAnsi="Times New Roman" w:cs="Times New Roman"/>
                          <w:i/>
                          <w:sz w:val="24"/>
                          <w:szCs w:val="24"/>
                        </w:rPr>
                      </w:pPr>
                      <w:r w:rsidRPr="00915C1B">
                        <w:rPr>
                          <w:rFonts w:ascii="Times New Roman" w:hAnsi="Times New Roman" w:cs="Times New Roman"/>
                          <w:i/>
                          <w:sz w:val="24"/>
                          <w:szCs w:val="24"/>
                        </w:rPr>
                        <w:t>ASEAN Framework Agreement On Services</w:t>
                      </w:r>
                    </w:p>
                    <w:p w:rsidR="00967E1A" w:rsidRPr="00915C1B" w:rsidRDefault="00967E1A" w:rsidP="00915C1B">
                      <w:pPr>
                        <w:spacing w:line="240" w:lineRule="auto"/>
                        <w:jc w:val="center"/>
                        <w:rPr>
                          <w:rFonts w:ascii="Times New Roman" w:hAnsi="Times New Roman" w:cs="Times New Roman"/>
                          <w:sz w:val="24"/>
                          <w:szCs w:val="24"/>
                        </w:rPr>
                      </w:pPr>
                      <w:r w:rsidRPr="00915C1B">
                        <w:rPr>
                          <w:rFonts w:ascii="Times New Roman" w:hAnsi="Times New Roman" w:cs="Times New Roman"/>
                          <w:sz w:val="24"/>
                          <w:szCs w:val="24"/>
                        </w:rPr>
                        <w:t>(AFAS)</w:t>
                      </w:r>
                    </w:p>
                  </w:txbxContent>
                </v:textbox>
              </v:shape>
            </w:pict>
          </mc:Fallback>
        </mc:AlternateContent>
      </w:r>
      <w:r w:rsidR="00F855D9"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71040" behindDoc="0" locked="0" layoutInCell="1" allowOverlap="1" wp14:anchorId="1756D3EF" wp14:editId="790D2B4C">
                <wp:simplePos x="0" y="0"/>
                <wp:positionH relativeFrom="column">
                  <wp:posOffset>-800100</wp:posOffset>
                </wp:positionH>
                <wp:positionV relativeFrom="paragraph">
                  <wp:posOffset>220133</wp:posOffset>
                </wp:positionV>
                <wp:extent cx="1633220" cy="643255"/>
                <wp:effectExtent l="0" t="0" r="24130" b="23495"/>
                <wp:wrapNone/>
                <wp:docPr id="92" name="Text Box 92"/>
                <wp:cNvGraphicFramePr/>
                <a:graphic xmlns:a="http://schemas.openxmlformats.org/drawingml/2006/main">
                  <a:graphicData uri="http://schemas.microsoft.com/office/word/2010/wordprocessingShape">
                    <wps:wsp>
                      <wps:cNvSpPr txBox="1"/>
                      <wps:spPr>
                        <a:xfrm>
                          <a:off x="0" y="0"/>
                          <a:ext cx="1633220" cy="643255"/>
                        </a:xfrm>
                        <a:prstGeom prst="rect">
                          <a:avLst/>
                        </a:prstGeom>
                        <a:solidFill>
                          <a:sysClr val="window" lastClr="FFFFFF"/>
                        </a:solidFill>
                        <a:ln w="6350">
                          <a:solidFill>
                            <a:prstClr val="black"/>
                          </a:solidFill>
                        </a:ln>
                        <a:effectLst/>
                      </wps:spPr>
                      <wps:txbx>
                        <w:txbxContent>
                          <w:p w:rsidR="00967E1A" w:rsidRPr="00915C1B" w:rsidRDefault="00967E1A" w:rsidP="00F855D9">
                            <w:pPr>
                              <w:jc w:val="center"/>
                              <w:rPr>
                                <w:rFonts w:ascii="Times New Roman" w:hAnsi="Times New Roman" w:cs="Times New Roman"/>
                                <w:sz w:val="24"/>
                                <w:szCs w:val="24"/>
                              </w:rPr>
                            </w:pPr>
                            <w:r w:rsidRPr="00915C1B">
                              <w:rPr>
                                <w:rFonts w:ascii="Times New Roman" w:hAnsi="Times New Roman" w:cs="Times New Roman"/>
                                <w:i/>
                                <w:sz w:val="24"/>
                                <w:szCs w:val="24"/>
                              </w:rPr>
                              <w:t>Generat Agreement On Trade In Service</w:t>
                            </w:r>
                            <w:r w:rsidRPr="00915C1B">
                              <w:rPr>
                                <w:rFonts w:ascii="Times New Roman" w:hAnsi="Times New Roman" w:cs="Times New Roman"/>
                                <w:sz w:val="24"/>
                                <w:szCs w:val="24"/>
                              </w:rPr>
                              <w:t xml:space="preserve"> (GATS)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756D3EF" id="Text Box 92" o:spid="_x0000_s1028" type="#_x0000_t202" style="position:absolute;left:0;text-align:left;margin-left:-63pt;margin-top:17.35pt;width:128.6pt;height:50.6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" fillcolor="window" strokeweight=".5pt">
                <v:textbox>
                  <w:txbxContent>
                    <w:p w:rsidR="00967E1A" w:rsidRPr="00915C1B" w:rsidRDefault="00967E1A" w:rsidP="00F855D9">
                      <w:pPr>
                        <w:jc w:val="center"/>
                        <w:rPr>
                          <w:rFonts w:ascii="Times New Roman" w:hAnsi="Times New Roman" w:cs="Times New Roman"/>
                          <w:sz w:val="24"/>
                          <w:szCs w:val="24"/>
                        </w:rPr>
                      </w:pPr>
                      <w:r w:rsidRPr="00915C1B">
                        <w:rPr>
                          <w:rFonts w:ascii="Times New Roman" w:hAnsi="Times New Roman" w:cs="Times New Roman"/>
                          <w:i/>
                          <w:sz w:val="24"/>
                          <w:szCs w:val="24"/>
                        </w:rPr>
                        <w:t>Generat Agreement On Trade In Service</w:t>
                      </w:r>
                      <w:r w:rsidRPr="00915C1B">
                        <w:rPr>
                          <w:rFonts w:ascii="Times New Roman" w:hAnsi="Times New Roman" w:cs="Times New Roman"/>
                          <w:sz w:val="24"/>
                          <w:szCs w:val="24"/>
                        </w:rPr>
                        <w:t xml:space="preserve"> (GATS)</w:t>
                      </w:r>
                    </w:p>
                  </w:txbxContent>
                </v:textbox>
              </v:shape>
            </w:pict>
          </mc:Fallback>
        </mc:AlternateContent>
      </w:r>
    </w:p>
    <w:p w:rsidR="00F855D9" w:rsidRPr="00F855D9" w:rsidRDefault="00F855D9" w:rsidP="00F855D9">
      <w:pPr>
        <w:widowControl w:val="0"/>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28032" behindDoc="0" locked="0" layoutInCell="1" allowOverlap="1" wp14:anchorId="24A13897" wp14:editId="5804CCB3">
                <wp:simplePos x="0" y="0"/>
                <wp:positionH relativeFrom="column">
                  <wp:posOffset>841164</wp:posOffset>
                </wp:positionH>
                <wp:positionV relativeFrom="paragraph">
                  <wp:posOffset>183092</wp:posOffset>
                </wp:positionV>
                <wp:extent cx="405442" cy="0"/>
                <wp:effectExtent l="38100" t="76200" r="0" b="95250"/>
                <wp:wrapNone/>
                <wp:docPr id="64" name="Straight Arrow Connector 64"/>
                <wp:cNvGraphicFramePr/>
                <a:graphic xmlns:a="http://schemas.openxmlformats.org/drawingml/2006/main">
                  <a:graphicData uri="http://schemas.microsoft.com/office/word/2010/wordprocessingShape">
                    <wps:wsp>
                      <wps:cNvCnPr/>
                      <wps:spPr>
                        <a:xfrm flipH="1">
                          <a:off x="0" y="0"/>
                          <a:ext cx="40544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5="http://schemas.microsoft.com/office/word/2012/wordml">
            <w:pict>
              <v:shape w14:anchorId="69992788" id="Straight Arrow Connector 64" o:spid="_x0000_s1026" type="#_x0000_t32" style="position:absolute;margin-left:66.25pt;margin-top:14.4pt;width:31.9pt;height:0;flip:x;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">
                <v:stroke endarrow="block"/>
              </v:shape>
            </w:pict>
          </mc:Fallback>
        </mc:AlternateContent>
      </w:r>
    </w:p>
    <w:p w:rsidR="00F855D9" w:rsidRPr="00F855D9" w:rsidRDefault="00915C1B"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06528" behindDoc="0" locked="0" layoutInCell="1" allowOverlap="1" wp14:anchorId="10719C81" wp14:editId="718DAC9E">
                <wp:simplePos x="0" y="0"/>
                <wp:positionH relativeFrom="column">
                  <wp:posOffset>3754818</wp:posOffset>
                </wp:positionH>
                <wp:positionV relativeFrom="paragraph">
                  <wp:posOffset>304060</wp:posOffset>
                </wp:positionV>
                <wp:extent cx="2089785" cy="1929095"/>
                <wp:effectExtent l="0" t="0" r="24765" b="14605"/>
                <wp:wrapNone/>
                <wp:docPr id="4" name="Text Box 4"/>
                <wp:cNvGraphicFramePr/>
                <a:graphic xmlns:a="http://schemas.openxmlformats.org/drawingml/2006/main">
                  <a:graphicData uri="http://schemas.microsoft.com/office/word/2010/wordprocessingShape">
                    <wps:wsp>
                      <wps:cNvSpPr txBox="1"/>
                      <wps:spPr>
                        <a:xfrm>
                          <a:off x="0" y="0"/>
                          <a:ext cx="2089785" cy="1929095"/>
                        </a:xfrm>
                        <a:prstGeom prst="rect">
                          <a:avLst/>
                        </a:prstGeom>
                        <a:solidFill>
                          <a:sysClr val="window" lastClr="FFFFFF"/>
                        </a:solidFill>
                        <a:ln w="6350">
                          <a:solidFill>
                            <a:prstClr val="black"/>
                          </a:solidFill>
                        </a:ln>
                        <a:effectLst/>
                      </wps:spPr>
                      <wps:txbx>
                        <w:txbxContent>
                          <w:p w:rsidR="00967E1A" w:rsidRPr="00915C1B" w:rsidRDefault="00967E1A" w:rsidP="00915C1B">
                            <w:pPr>
                              <w:spacing w:line="240" w:lineRule="auto"/>
                              <w:jc w:val="both"/>
                              <w:rPr>
                                <w:rFonts w:ascii="Times New Roman" w:hAnsi="Times New Roman" w:cs="Times New Roman"/>
                                <w:sz w:val="24"/>
                                <w:szCs w:val="24"/>
                              </w:rPr>
                            </w:pPr>
                            <w:r>
                              <w:t xml:space="preserve">1. </w:t>
                            </w:r>
                            <w:r w:rsidRPr="00915C1B">
                              <w:rPr>
                                <w:rFonts w:ascii="Times New Roman" w:hAnsi="Times New Roman" w:cs="Times New Roman"/>
                                <w:sz w:val="24"/>
                                <w:szCs w:val="24"/>
                              </w:rPr>
                              <w:t>Undang-Undang Nomor 18 tahun 1999 Tentang Jasa Konstruksi</w:t>
                            </w:r>
                          </w:p>
                          <w:p w:rsidR="00967E1A" w:rsidRDefault="00967E1A" w:rsidP="00915C1B">
                            <w:pPr>
                              <w:spacing w:line="240" w:lineRule="auto"/>
                              <w:jc w:val="both"/>
                              <w:rPr>
                                <w:rFonts w:ascii="Times New Roman" w:hAnsi="Times New Roman" w:cs="Times New Roman"/>
                                <w:sz w:val="24"/>
                                <w:szCs w:val="24"/>
                              </w:rPr>
                            </w:pPr>
                            <w:r w:rsidRPr="00915C1B">
                              <w:rPr>
                                <w:rFonts w:ascii="Times New Roman" w:hAnsi="Times New Roman" w:cs="Times New Roman"/>
                                <w:sz w:val="24"/>
                                <w:szCs w:val="24"/>
                              </w:rPr>
                              <w:t>2. Undang-Undang   Nomor     25 Tahun   2007  T</w:t>
                            </w:r>
                            <w:r>
                              <w:rPr>
                                <w:rFonts w:ascii="Times New Roman" w:hAnsi="Times New Roman" w:cs="Times New Roman"/>
                                <w:sz w:val="24"/>
                                <w:szCs w:val="24"/>
                              </w:rPr>
                              <w:t>entang  Penanaman  Modal</w:t>
                            </w:r>
                          </w:p>
                          <w:p w:rsidR="00967E1A" w:rsidRPr="00915C1B" w:rsidRDefault="00967E1A" w:rsidP="00915C1B">
                            <w:pPr>
                              <w:spacing w:line="240" w:lineRule="auto"/>
                              <w:jc w:val="both"/>
                              <w:rPr>
                                <w:rFonts w:ascii="Times New Roman" w:hAnsi="Times New Roman" w:cs="Times New Roman"/>
                                <w:sz w:val="24"/>
                                <w:szCs w:val="24"/>
                              </w:rPr>
                            </w:pPr>
                            <w:r w:rsidRPr="00915C1B">
                              <w:rPr>
                                <w:rFonts w:ascii="Times New Roman" w:hAnsi="Times New Roman" w:cs="Times New Roman"/>
                                <w:sz w:val="24"/>
                                <w:szCs w:val="24"/>
                              </w:rPr>
                              <w:t>3. Undang - Undang Nomor 7 Tahun 2014 Tentang Perdagangan</w:t>
                            </w:r>
                          </w:p>
                          <w:p w:rsidR="00967E1A" w:rsidRDefault="00967E1A" w:rsidP="00F855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719C81" id="Text Box 4" o:spid="_x0000_s1029" type="#_x0000_t202" style="position:absolute;left:0;text-align:left;margin-left:295.65pt;margin-top:23.95pt;width:164.55pt;height:151.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" fillcolor="window" strokeweight=".5pt">
                <v:textbox>
                  <w:txbxContent>
                    <w:p w:rsidR="00967E1A" w:rsidRPr="00915C1B" w:rsidRDefault="00967E1A" w:rsidP="00915C1B">
                      <w:pPr>
                        <w:spacing w:line="240" w:lineRule="auto"/>
                        <w:jc w:val="both"/>
                        <w:rPr>
                          <w:rFonts w:ascii="Times New Roman" w:hAnsi="Times New Roman" w:cs="Times New Roman"/>
                          <w:sz w:val="24"/>
                          <w:szCs w:val="24"/>
                        </w:rPr>
                      </w:pPr>
                      <w:r>
                        <w:t xml:space="preserve">1. </w:t>
                      </w:r>
                      <w:r w:rsidRPr="00915C1B">
                        <w:rPr>
                          <w:rFonts w:ascii="Times New Roman" w:hAnsi="Times New Roman" w:cs="Times New Roman"/>
                          <w:sz w:val="24"/>
                          <w:szCs w:val="24"/>
                        </w:rPr>
                        <w:t>Undang-Undang Nomor 18 tahun 1999 Tentang Jasa Konstruksi</w:t>
                      </w:r>
                    </w:p>
                    <w:p w:rsidR="00967E1A" w:rsidRDefault="00967E1A" w:rsidP="00915C1B">
                      <w:pPr>
                        <w:spacing w:line="240" w:lineRule="auto"/>
                        <w:jc w:val="both"/>
                        <w:rPr>
                          <w:rFonts w:ascii="Times New Roman" w:hAnsi="Times New Roman" w:cs="Times New Roman"/>
                          <w:sz w:val="24"/>
                          <w:szCs w:val="24"/>
                        </w:rPr>
                      </w:pPr>
                      <w:r w:rsidRPr="00915C1B">
                        <w:rPr>
                          <w:rFonts w:ascii="Times New Roman" w:hAnsi="Times New Roman" w:cs="Times New Roman"/>
                          <w:sz w:val="24"/>
                          <w:szCs w:val="24"/>
                        </w:rPr>
                        <w:t>2. Undang-Undang   Nomor     25 Tahun   2007  T</w:t>
                      </w:r>
                      <w:r>
                        <w:rPr>
                          <w:rFonts w:ascii="Times New Roman" w:hAnsi="Times New Roman" w:cs="Times New Roman"/>
                          <w:sz w:val="24"/>
                          <w:szCs w:val="24"/>
                        </w:rPr>
                        <w:t>entang  Penanaman  Modal</w:t>
                      </w:r>
                    </w:p>
                    <w:p w:rsidR="00967E1A" w:rsidRPr="00915C1B" w:rsidRDefault="00967E1A" w:rsidP="00915C1B">
                      <w:pPr>
                        <w:spacing w:line="240" w:lineRule="auto"/>
                        <w:jc w:val="both"/>
                        <w:rPr>
                          <w:rFonts w:ascii="Times New Roman" w:hAnsi="Times New Roman" w:cs="Times New Roman"/>
                          <w:sz w:val="24"/>
                          <w:szCs w:val="24"/>
                        </w:rPr>
                      </w:pPr>
                      <w:r w:rsidRPr="00915C1B">
                        <w:rPr>
                          <w:rFonts w:ascii="Times New Roman" w:hAnsi="Times New Roman" w:cs="Times New Roman"/>
                          <w:sz w:val="24"/>
                          <w:szCs w:val="24"/>
                        </w:rPr>
                        <w:t>3. Undang - Undang Nomor 7 Tahun 2014 Tentang Perdagangan</w:t>
                      </w:r>
                    </w:p>
                    <w:p w:rsidR="00967E1A" w:rsidRDefault="00967E1A" w:rsidP="00F855D9"/>
                  </w:txbxContent>
                </v:textbox>
              </v:shape>
            </w:pict>
          </mc:Fallback>
        </mc:AlternateContent>
      </w:r>
      <w:r>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720192" behindDoc="0" locked="0" layoutInCell="1" allowOverlap="1" wp14:anchorId="157C3B47" wp14:editId="59FACC69">
                <wp:simplePos x="0" y="0"/>
                <wp:positionH relativeFrom="column">
                  <wp:posOffset>2667167</wp:posOffset>
                </wp:positionH>
                <wp:positionV relativeFrom="paragraph">
                  <wp:posOffset>213625</wp:posOffset>
                </wp:positionV>
                <wp:extent cx="0" cy="633046"/>
                <wp:effectExtent l="76200" t="0" r="76200" b="53340"/>
                <wp:wrapNone/>
                <wp:docPr id="62" name="Straight Arrow Connector 62"/>
                <wp:cNvGraphicFramePr/>
                <a:graphic xmlns:a="http://schemas.openxmlformats.org/drawingml/2006/main">
                  <a:graphicData uri="http://schemas.microsoft.com/office/word/2010/wordprocessingShape">
                    <wps:wsp>
                      <wps:cNvCnPr/>
                      <wps:spPr>
                        <a:xfrm>
                          <a:off x="0" y="0"/>
                          <a:ext cx="0" cy="6330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FD5958B" id="Straight Arrow Connector 62" o:spid="_x0000_s1026" type="#_x0000_t32" style="position:absolute;margin-left:210pt;margin-top:16.8pt;width:0;height:49.8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" strokecolor="black [3040]">
                <v:stroke endarrow="block"/>
              </v:shape>
            </w:pict>
          </mc:Fallback>
        </mc:AlternateContent>
      </w:r>
      <w:r w:rsidR="00F855D9"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99712" behindDoc="0" locked="0" layoutInCell="1" allowOverlap="1" wp14:anchorId="0580CC23" wp14:editId="39241516">
                <wp:simplePos x="0" y="0"/>
                <wp:positionH relativeFrom="column">
                  <wp:posOffset>-139912</wp:posOffset>
                </wp:positionH>
                <wp:positionV relativeFrom="paragraph">
                  <wp:posOffset>168487</wp:posOffset>
                </wp:positionV>
                <wp:extent cx="8467" cy="905933"/>
                <wp:effectExtent l="0" t="0" r="29845" b="27940"/>
                <wp:wrapNone/>
                <wp:docPr id="15" name="Straight Connector 15"/>
                <wp:cNvGraphicFramePr/>
                <a:graphic xmlns:a="http://schemas.openxmlformats.org/drawingml/2006/main">
                  <a:graphicData uri="http://schemas.microsoft.com/office/word/2010/wordprocessingShape">
                    <wps:wsp>
                      <wps:cNvCnPr/>
                      <wps:spPr>
                        <a:xfrm>
                          <a:off x="0" y="0"/>
                          <a:ext cx="8467" cy="90593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48B0006C" id="Straight Connector 15"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11pt,13.25pt" to="-10.3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"/>
            </w:pict>
          </mc:Fallback>
        </mc:AlternateContent>
      </w:r>
    </w:p>
    <w:p w:rsidR="00F855D9" w:rsidRPr="00F855D9" w:rsidRDefault="00F855D9"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p>
    <w:p w:rsidR="00F855D9" w:rsidRPr="00F855D9" w:rsidRDefault="00F855D9"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702784" behindDoc="0" locked="0" layoutInCell="1" allowOverlap="1" wp14:anchorId="75745A28" wp14:editId="0BB3A68C">
                <wp:simplePos x="0" y="0"/>
                <wp:positionH relativeFrom="column">
                  <wp:posOffset>-131658</wp:posOffset>
                </wp:positionH>
                <wp:positionV relativeFrom="paragraph">
                  <wp:posOffset>372957</wp:posOffset>
                </wp:positionV>
                <wp:extent cx="1464945" cy="0"/>
                <wp:effectExtent l="0" t="76200" r="20955" b="95250"/>
                <wp:wrapNone/>
                <wp:docPr id="17" name="Straight Arrow Connector 17"/>
                <wp:cNvGraphicFramePr/>
                <a:graphic xmlns:a="http://schemas.openxmlformats.org/drawingml/2006/main">
                  <a:graphicData uri="http://schemas.microsoft.com/office/word/2010/wordprocessingShape">
                    <wps:wsp>
                      <wps:cNvCnPr/>
                      <wps:spPr>
                        <a:xfrm>
                          <a:off x="0" y="0"/>
                          <a:ext cx="146494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5="http://schemas.microsoft.com/office/word/2012/wordml">
            <w:pict>
              <v:shape w14:anchorId="560B2BC9" id="Straight Arrow Connector 17" o:spid="_x0000_s1026" type="#_x0000_t32" style="position:absolute;margin-left:-10.35pt;margin-top:29.35pt;width:115.35pt;height:0;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">
                <v:stroke endarrow="block"/>
              </v:shape>
            </w:pict>
          </mc:Fallback>
        </mc:AlternateContent>
      </w: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09600" behindDoc="0" locked="0" layoutInCell="1" allowOverlap="1" wp14:anchorId="0608FFA3" wp14:editId="2243BB3A">
                <wp:simplePos x="0" y="0"/>
                <wp:positionH relativeFrom="column">
                  <wp:posOffset>1307888</wp:posOffset>
                </wp:positionH>
                <wp:positionV relativeFrom="paragraph">
                  <wp:posOffset>144780</wp:posOffset>
                </wp:positionV>
                <wp:extent cx="2137834" cy="508635"/>
                <wp:effectExtent l="0" t="0" r="15240" b="24765"/>
                <wp:wrapNone/>
                <wp:docPr id="7" name="Text Box 7"/>
                <wp:cNvGraphicFramePr/>
                <a:graphic xmlns:a="http://schemas.openxmlformats.org/drawingml/2006/main">
                  <a:graphicData uri="http://schemas.microsoft.com/office/word/2010/wordprocessingShape">
                    <wps:wsp>
                      <wps:cNvSpPr txBox="1"/>
                      <wps:spPr>
                        <a:xfrm>
                          <a:off x="0" y="0"/>
                          <a:ext cx="2137834" cy="508635"/>
                        </a:xfrm>
                        <a:prstGeom prst="rect">
                          <a:avLst/>
                        </a:prstGeom>
                        <a:solidFill>
                          <a:sysClr val="window" lastClr="FFFFFF"/>
                        </a:solidFill>
                        <a:ln w="6350">
                          <a:solidFill>
                            <a:prstClr val="black"/>
                          </a:solidFill>
                        </a:ln>
                        <a:effectLst/>
                      </wps:spPr>
                      <wps:txbx>
                        <w:txbxContent>
                          <w:p w:rsidR="00967E1A" w:rsidRPr="00915C1B" w:rsidRDefault="00967E1A" w:rsidP="00F855D9">
                            <w:pPr>
                              <w:jc w:val="center"/>
                              <w:rPr>
                                <w:rFonts w:ascii="Times New Roman" w:hAnsi="Times New Roman" w:cs="Times New Roman"/>
                                <w:sz w:val="24"/>
                                <w:szCs w:val="24"/>
                              </w:rPr>
                            </w:pPr>
                            <w:r w:rsidRPr="00915C1B">
                              <w:rPr>
                                <w:rFonts w:ascii="Times New Roman" w:hAnsi="Times New Roman" w:cs="Times New Roman"/>
                                <w:sz w:val="24"/>
                                <w:szCs w:val="24"/>
                              </w:rPr>
                              <w:t xml:space="preserve">Kebijakan Perdagangan Jasa Di Sektor Konstruksi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08FFA3" id="Text Box 7" o:spid="_x0000_s1030" type="#_x0000_t202" style="position:absolute;left:0;text-align:left;margin-left:103pt;margin-top:11.4pt;width:168.35pt;height:40.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" fillcolor="window" strokeweight=".5pt">
                <v:textbox>
                  <w:txbxContent>
                    <w:p w:rsidR="00967E1A" w:rsidRPr="00915C1B" w:rsidRDefault="00967E1A" w:rsidP="00F855D9">
                      <w:pPr>
                        <w:jc w:val="center"/>
                        <w:rPr>
                          <w:rFonts w:ascii="Times New Roman" w:hAnsi="Times New Roman" w:cs="Times New Roman"/>
                          <w:sz w:val="24"/>
                          <w:szCs w:val="24"/>
                        </w:rPr>
                      </w:pPr>
                      <w:r w:rsidRPr="00915C1B">
                        <w:rPr>
                          <w:rFonts w:ascii="Times New Roman" w:hAnsi="Times New Roman" w:cs="Times New Roman"/>
                          <w:sz w:val="24"/>
                          <w:szCs w:val="24"/>
                        </w:rPr>
                        <w:t xml:space="preserve">Kebijakan Perdagangan Jasa Di Sektor Konstruksi </w:t>
                      </w:r>
                    </w:p>
                  </w:txbxContent>
                </v:textbox>
              </v:shape>
            </w:pict>
          </mc:Fallback>
        </mc:AlternateContent>
      </w:r>
    </w:p>
    <w:p w:rsidR="00F855D9" w:rsidRPr="00F855D9" w:rsidRDefault="00F855D9"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53632" behindDoc="0" locked="0" layoutInCell="1" allowOverlap="1" wp14:anchorId="1B725D97" wp14:editId="0D7D2234">
                <wp:simplePos x="0" y="0"/>
                <wp:positionH relativeFrom="column">
                  <wp:posOffset>3435562</wp:posOffset>
                </wp:positionH>
                <wp:positionV relativeFrom="paragraph">
                  <wp:posOffset>51435</wp:posOffset>
                </wp:positionV>
                <wp:extent cx="318458" cy="0"/>
                <wp:effectExtent l="0" t="76200" r="24765" b="95250"/>
                <wp:wrapNone/>
                <wp:docPr id="91" name="Straight Arrow Connector 91"/>
                <wp:cNvGraphicFramePr/>
                <a:graphic xmlns:a="http://schemas.openxmlformats.org/drawingml/2006/main">
                  <a:graphicData uri="http://schemas.microsoft.com/office/word/2010/wordprocessingShape">
                    <wps:wsp>
                      <wps:cNvCnPr/>
                      <wps:spPr>
                        <a:xfrm>
                          <a:off x="0" y="0"/>
                          <a:ext cx="318458"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5="http://schemas.microsoft.com/office/word/2012/wordml">
            <w:pict>
              <v:shape w14:anchorId="2A125D00" id="Straight Arrow Connector 91" o:spid="_x0000_s1026" type="#_x0000_t32" style="position:absolute;margin-left:270.5pt;margin-top:4.05pt;width:25.1pt;height:0;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">
                <v:stroke endarrow="block"/>
              </v:shape>
            </w:pict>
          </mc:Fallback>
        </mc:AlternateContent>
      </w: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36224" behindDoc="0" locked="0" layoutInCell="1" allowOverlap="1" wp14:anchorId="1495EF26" wp14:editId="57043881">
                <wp:simplePos x="0" y="0"/>
                <wp:positionH relativeFrom="column">
                  <wp:posOffset>2726378</wp:posOffset>
                </wp:positionH>
                <wp:positionV relativeFrom="paragraph">
                  <wp:posOffset>301781</wp:posOffset>
                </wp:positionV>
                <wp:extent cx="8627" cy="940279"/>
                <wp:effectExtent l="0" t="0" r="29845" b="31750"/>
                <wp:wrapNone/>
                <wp:docPr id="66" name="Straight Connector 66"/>
                <wp:cNvGraphicFramePr/>
                <a:graphic xmlns:a="http://schemas.openxmlformats.org/drawingml/2006/main">
                  <a:graphicData uri="http://schemas.microsoft.com/office/word/2010/wordprocessingShape">
                    <wps:wsp>
                      <wps:cNvCnPr/>
                      <wps:spPr>
                        <a:xfrm>
                          <a:off x="0" y="0"/>
                          <a:ext cx="8627" cy="94027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6994FB" id="Straight Connector 66"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7pt,23.75pt" to="215.4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"/>
            </w:pict>
          </mc:Fallback>
        </mc:AlternateContent>
      </w:r>
    </w:p>
    <w:p w:rsidR="00F855D9" w:rsidRPr="00F855D9" w:rsidRDefault="00F855D9"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p>
    <w:p w:rsidR="00F855D9" w:rsidRPr="00F855D9" w:rsidRDefault="00F855D9"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p>
    <w:p w:rsidR="00F855D9" w:rsidRPr="00F855D9" w:rsidRDefault="00F855D9"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86400" behindDoc="0" locked="0" layoutInCell="1" allowOverlap="1" wp14:anchorId="57F89370" wp14:editId="763D2313">
                <wp:simplePos x="0" y="0"/>
                <wp:positionH relativeFrom="column">
                  <wp:posOffset>4671695</wp:posOffset>
                </wp:positionH>
                <wp:positionV relativeFrom="paragraph">
                  <wp:posOffset>194681</wp:posOffset>
                </wp:positionV>
                <wp:extent cx="8626" cy="310659"/>
                <wp:effectExtent l="38100" t="0" r="67945" b="51435"/>
                <wp:wrapNone/>
                <wp:docPr id="70" name="Straight Arrow Connector 70"/>
                <wp:cNvGraphicFramePr/>
                <a:graphic xmlns:a="http://schemas.openxmlformats.org/drawingml/2006/main">
                  <a:graphicData uri="http://schemas.microsoft.com/office/word/2010/wordprocessingShape">
                    <wps:wsp>
                      <wps:cNvCnPr/>
                      <wps:spPr>
                        <a:xfrm>
                          <a:off x="0" y="0"/>
                          <a:ext cx="8626" cy="31065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5="http://schemas.microsoft.com/office/word/2012/wordml">
            <w:pict>
              <v:shape w14:anchorId="45FFCEA9" id="Straight Arrow Connector 70" o:spid="_x0000_s1026" type="#_x0000_t32" style="position:absolute;margin-left:367.85pt;margin-top:15.35pt;width:.7pt;height:24.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">
                <v:stroke endarrow="block"/>
              </v:shape>
            </w:pict>
          </mc:Fallback>
        </mc:AlternateContent>
      </w: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83328" behindDoc="0" locked="0" layoutInCell="1" allowOverlap="1" wp14:anchorId="2277859E" wp14:editId="5E4DBFA9">
                <wp:simplePos x="0" y="0"/>
                <wp:positionH relativeFrom="column">
                  <wp:posOffset>776809</wp:posOffset>
                </wp:positionH>
                <wp:positionV relativeFrom="paragraph">
                  <wp:posOffset>208280</wp:posOffset>
                </wp:positionV>
                <wp:extent cx="8626" cy="310659"/>
                <wp:effectExtent l="38100" t="0" r="67945" b="51435"/>
                <wp:wrapNone/>
                <wp:docPr id="68" name="Straight Arrow Connector 68"/>
                <wp:cNvGraphicFramePr/>
                <a:graphic xmlns:a="http://schemas.openxmlformats.org/drawingml/2006/main">
                  <a:graphicData uri="http://schemas.microsoft.com/office/word/2010/wordprocessingShape">
                    <wps:wsp>
                      <wps:cNvCnPr/>
                      <wps:spPr>
                        <a:xfrm>
                          <a:off x="0" y="0"/>
                          <a:ext cx="8626" cy="31065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5="http://schemas.microsoft.com/office/word/2012/wordml">
            <w:pict>
              <v:shape w14:anchorId="7A6CD1FA" id="Straight Arrow Connector 68" o:spid="_x0000_s1026" type="#_x0000_t32" style="position:absolute;margin-left:61.15pt;margin-top:16.4pt;width:.7pt;height:24.45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">
                <v:stroke endarrow="block"/>
              </v:shape>
            </w:pict>
          </mc:Fallback>
        </mc:AlternateContent>
      </w: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80256" behindDoc="0" locked="0" layoutInCell="1" allowOverlap="1" wp14:anchorId="67BE9840" wp14:editId="15E3B1A2">
                <wp:simplePos x="0" y="0"/>
                <wp:positionH relativeFrom="column">
                  <wp:posOffset>776605</wp:posOffset>
                </wp:positionH>
                <wp:positionV relativeFrom="paragraph">
                  <wp:posOffset>190764</wp:posOffset>
                </wp:positionV>
                <wp:extent cx="3895773" cy="17253"/>
                <wp:effectExtent l="0" t="0" r="28575" b="20955"/>
                <wp:wrapNone/>
                <wp:docPr id="67" name="Straight Connector 67"/>
                <wp:cNvGraphicFramePr/>
                <a:graphic xmlns:a="http://schemas.openxmlformats.org/drawingml/2006/main">
                  <a:graphicData uri="http://schemas.microsoft.com/office/word/2010/wordprocessingShape">
                    <wps:wsp>
                      <wps:cNvCnPr/>
                      <wps:spPr>
                        <a:xfrm flipV="1">
                          <a:off x="0" y="0"/>
                          <a:ext cx="3895773" cy="1725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1BE10C68" id="Straight Connector 67" o:spid="_x0000_s1026" style="position:absolute;flip:y;z-index:251680256;visibility:visible;mso-wrap-style:square;mso-wrap-distance-left:9pt;mso-wrap-distance-top:0;mso-wrap-distance-right:9pt;mso-wrap-distance-bottom:0;mso-position-horizontal:absolute;mso-position-horizontal-relative:text;mso-position-vertical:absolute;mso-position-vertical-relative:text" from="61.15pt,15pt" to="367.9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"/>
            </w:pict>
          </mc:Fallback>
        </mc:AlternateContent>
      </w:r>
    </w:p>
    <w:p w:rsidR="00F855D9" w:rsidRPr="00F855D9" w:rsidRDefault="00F855D9"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18816" behindDoc="0" locked="0" layoutInCell="1" allowOverlap="1" wp14:anchorId="5B225A48" wp14:editId="4FEE7278">
                <wp:simplePos x="0" y="0"/>
                <wp:positionH relativeFrom="column">
                  <wp:posOffset>3446473</wp:posOffset>
                </wp:positionH>
                <wp:positionV relativeFrom="paragraph">
                  <wp:posOffset>155575</wp:posOffset>
                </wp:positionV>
                <wp:extent cx="2444115" cy="284480"/>
                <wp:effectExtent l="0" t="0" r="13335" b="20320"/>
                <wp:wrapNone/>
                <wp:docPr id="30" name="Text Box 30"/>
                <wp:cNvGraphicFramePr/>
                <a:graphic xmlns:a="http://schemas.openxmlformats.org/drawingml/2006/main">
                  <a:graphicData uri="http://schemas.microsoft.com/office/word/2010/wordprocessingShape">
                    <wps:wsp>
                      <wps:cNvSpPr txBox="1"/>
                      <wps:spPr>
                        <a:xfrm>
                          <a:off x="0" y="0"/>
                          <a:ext cx="2444115" cy="284480"/>
                        </a:xfrm>
                        <a:prstGeom prst="rect">
                          <a:avLst/>
                        </a:prstGeom>
                        <a:solidFill>
                          <a:sysClr val="window" lastClr="FFFFFF"/>
                        </a:solidFill>
                        <a:ln w="6350">
                          <a:solidFill>
                            <a:prstClr val="black"/>
                          </a:solidFill>
                        </a:ln>
                        <a:effectLst/>
                      </wps:spPr>
                      <wps:txbx>
                        <w:txbxContent>
                          <w:p w:rsidR="00967E1A" w:rsidRPr="00915C1B" w:rsidRDefault="00967E1A" w:rsidP="00F855D9">
                            <w:pPr>
                              <w:jc w:val="center"/>
                              <w:rPr>
                                <w:rFonts w:ascii="Times New Roman" w:hAnsi="Times New Roman" w:cs="Times New Roman"/>
                                <w:sz w:val="24"/>
                                <w:szCs w:val="24"/>
                              </w:rPr>
                            </w:pPr>
                            <w:r w:rsidRPr="00915C1B">
                              <w:rPr>
                                <w:rFonts w:ascii="Times New Roman" w:hAnsi="Times New Roman" w:cs="Times New Roman"/>
                                <w:sz w:val="24"/>
                                <w:szCs w:val="24"/>
                              </w:rPr>
                              <w:t>Pelaku Usaha Konstruksi ASEAN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225A48" id="Text Box 30" o:spid="_x0000_s1031" type="#_x0000_t202" style="position:absolute;left:0;text-align:left;margin-left:271.4pt;margin-top:12.25pt;width:192.45pt;height:2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" fillcolor="window" strokeweight=".5pt">
                <v:textbox>
                  <w:txbxContent>
                    <w:p w:rsidR="00967E1A" w:rsidRPr="00915C1B" w:rsidRDefault="00967E1A" w:rsidP="00F855D9">
                      <w:pPr>
                        <w:jc w:val="center"/>
                        <w:rPr>
                          <w:rFonts w:ascii="Times New Roman" w:hAnsi="Times New Roman" w:cs="Times New Roman"/>
                          <w:sz w:val="24"/>
                          <w:szCs w:val="24"/>
                        </w:rPr>
                      </w:pPr>
                      <w:r w:rsidRPr="00915C1B">
                        <w:rPr>
                          <w:rFonts w:ascii="Times New Roman" w:hAnsi="Times New Roman" w:cs="Times New Roman"/>
                          <w:sz w:val="24"/>
                          <w:szCs w:val="24"/>
                        </w:rPr>
                        <w:t>Pelaku Usaha Konstruksi ASEAN</w:t>
                      </w:r>
                    </w:p>
                  </w:txbxContent>
                </v:textbox>
              </v:shape>
            </w:pict>
          </mc:Fallback>
        </mc:AlternateContent>
      </w: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24960" behindDoc="0" locked="0" layoutInCell="1" allowOverlap="1" wp14:anchorId="09AA382B" wp14:editId="6239838A">
                <wp:simplePos x="0" y="0"/>
                <wp:positionH relativeFrom="column">
                  <wp:posOffset>-487404</wp:posOffset>
                </wp:positionH>
                <wp:positionV relativeFrom="paragraph">
                  <wp:posOffset>165100</wp:posOffset>
                </wp:positionV>
                <wp:extent cx="2643809" cy="285750"/>
                <wp:effectExtent l="0" t="0" r="23495" b="19050"/>
                <wp:wrapNone/>
                <wp:docPr id="34" name="Text Box 34"/>
                <wp:cNvGraphicFramePr/>
                <a:graphic xmlns:a="http://schemas.openxmlformats.org/drawingml/2006/main">
                  <a:graphicData uri="http://schemas.microsoft.com/office/word/2010/wordprocessingShape">
                    <wps:wsp>
                      <wps:cNvSpPr txBox="1"/>
                      <wps:spPr>
                        <a:xfrm>
                          <a:off x="0" y="0"/>
                          <a:ext cx="2643809" cy="285750"/>
                        </a:xfrm>
                        <a:prstGeom prst="rect">
                          <a:avLst/>
                        </a:prstGeom>
                        <a:solidFill>
                          <a:sysClr val="window" lastClr="FFFFFF"/>
                        </a:solidFill>
                        <a:ln w="6350">
                          <a:solidFill>
                            <a:prstClr val="black"/>
                          </a:solidFill>
                        </a:ln>
                        <a:effectLst/>
                      </wps:spPr>
                      <wps:txbx>
                        <w:txbxContent>
                          <w:p w:rsidR="00967E1A" w:rsidRPr="00915C1B" w:rsidRDefault="00967E1A" w:rsidP="00F855D9">
                            <w:pPr>
                              <w:jc w:val="center"/>
                              <w:rPr>
                                <w:rFonts w:ascii="Times New Roman" w:hAnsi="Times New Roman" w:cs="Times New Roman"/>
                                <w:sz w:val="24"/>
                                <w:szCs w:val="24"/>
                              </w:rPr>
                            </w:pPr>
                            <w:r w:rsidRPr="00915C1B">
                              <w:rPr>
                                <w:rFonts w:ascii="Times New Roman" w:hAnsi="Times New Roman" w:cs="Times New Roman"/>
                                <w:sz w:val="24"/>
                                <w:szCs w:val="24"/>
                              </w:rPr>
                              <w:t>Pelaku Usaha Konstruksi 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AA382B" id="Text Box 34" o:spid="_x0000_s1032" type="#_x0000_t202" style="position:absolute;left:0;text-align:left;margin-left:-38.4pt;margin-top:13pt;width:208.15pt;height: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" fillcolor="window" strokeweight=".5pt">
                <v:textbox>
                  <w:txbxContent>
                    <w:p w:rsidR="00967E1A" w:rsidRPr="00915C1B" w:rsidRDefault="00967E1A" w:rsidP="00F855D9">
                      <w:pPr>
                        <w:jc w:val="center"/>
                        <w:rPr>
                          <w:rFonts w:ascii="Times New Roman" w:hAnsi="Times New Roman" w:cs="Times New Roman"/>
                          <w:sz w:val="24"/>
                          <w:szCs w:val="24"/>
                        </w:rPr>
                      </w:pPr>
                      <w:r w:rsidRPr="00915C1B">
                        <w:rPr>
                          <w:rFonts w:ascii="Times New Roman" w:hAnsi="Times New Roman" w:cs="Times New Roman"/>
                          <w:sz w:val="24"/>
                          <w:szCs w:val="24"/>
                        </w:rPr>
                        <w:t>Pelaku Usaha Konstruksi Indonesia</w:t>
                      </w:r>
                    </w:p>
                  </w:txbxContent>
                </v:textbox>
              </v:shape>
            </w:pict>
          </mc:Fallback>
        </mc:AlternateContent>
      </w:r>
    </w:p>
    <w:p w:rsidR="00F855D9" w:rsidRPr="00F855D9" w:rsidRDefault="00F855D9"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46464" behindDoc="0" locked="0" layoutInCell="1" allowOverlap="1" wp14:anchorId="53782EA2" wp14:editId="44A1CD1A">
                <wp:simplePos x="0" y="0"/>
                <wp:positionH relativeFrom="column">
                  <wp:posOffset>2743631</wp:posOffset>
                </wp:positionH>
                <wp:positionV relativeFrom="paragraph">
                  <wp:posOffset>229954</wp:posOffset>
                </wp:positionV>
                <wp:extent cx="0" cy="295311"/>
                <wp:effectExtent l="76200" t="0" r="57150" b="47625"/>
                <wp:wrapNone/>
                <wp:docPr id="86" name="Straight Arrow Connector 86"/>
                <wp:cNvGraphicFramePr/>
                <a:graphic xmlns:a="http://schemas.openxmlformats.org/drawingml/2006/main">
                  <a:graphicData uri="http://schemas.microsoft.com/office/word/2010/wordprocessingShape">
                    <wps:wsp>
                      <wps:cNvCnPr/>
                      <wps:spPr>
                        <a:xfrm>
                          <a:off x="0" y="0"/>
                          <a:ext cx="0" cy="29531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5="http://schemas.microsoft.com/office/word/2012/wordml">
            <w:pict>
              <v:shape w14:anchorId="7E0BCF4B" id="Straight Arrow Connector 86" o:spid="_x0000_s1026" type="#_x0000_t32" style="position:absolute;margin-left:216.05pt;margin-top:18.1pt;width:0;height:23.25pt;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">
                <v:stroke endarrow="block"/>
              </v:shape>
            </w:pict>
          </mc:Fallback>
        </mc:AlternateContent>
      </w: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43392" behindDoc="0" locked="0" layoutInCell="1" allowOverlap="1" wp14:anchorId="0E462688" wp14:editId="3440D8D8">
                <wp:simplePos x="0" y="0"/>
                <wp:positionH relativeFrom="column">
                  <wp:posOffset>4701588</wp:posOffset>
                </wp:positionH>
                <wp:positionV relativeFrom="paragraph">
                  <wp:posOffset>95022</wp:posOffset>
                </wp:positionV>
                <wp:extent cx="0" cy="119692"/>
                <wp:effectExtent l="0" t="0" r="19050" b="33020"/>
                <wp:wrapNone/>
                <wp:docPr id="84" name="Straight Connector 84"/>
                <wp:cNvGraphicFramePr/>
                <a:graphic xmlns:a="http://schemas.openxmlformats.org/drawingml/2006/main">
                  <a:graphicData uri="http://schemas.microsoft.com/office/word/2010/wordprocessingShape">
                    <wps:wsp>
                      <wps:cNvCnPr/>
                      <wps:spPr>
                        <a:xfrm>
                          <a:off x="0" y="0"/>
                          <a:ext cx="0" cy="11969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66D54B8B" id="Straight Connector 84"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370.2pt,7.5pt" to="370.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"/>
            </w:pict>
          </mc:Fallback>
        </mc:AlternateContent>
      </w: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92544" behindDoc="0" locked="0" layoutInCell="1" allowOverlap="1" wp14:anchorId="36CB9B1B" wp14:editId="3C0A1CF9">
                <wp:simplePos x="0" y="0"/>
                <wp:positionH relativeFrom="column">
                  <wp:posOffset>802688</wp:posOffset>
                </wp:positionH>
                <wp:positionV relativeFrom="paragraph">
                  <wp:posOffset>214714</wp:posOffset>
                </wp:positionV>
                <wp:extent cx="3899140" cy="15755"/>
                <wp:effectExtent l="0" t="0" r="25400" b="22860"/>
                <wp:wrapNone/>
                <wp:docPr id="83" name="Straight Connector 83"/>
                <wp:cNvGraphicFramePr/>
                <a:graphic xmlns:a="http://schemas.openxmlformats.org/drawingml/2006/main">
                  <a:graphicData uri="http://schemas.microsoft.com/office/word/2010/wordprocessingShape">
                    <wps:wsp>
                      <wps:cNvCnPr/>
                      <wps:spPr>
                        <a:xfrm flipV="1">
                          <a:off x="0" y="0"/>
                          <a:ext cx="3899140" cy="1575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22F0C0BF" id="Straight Connector 83" o:spid="_x0000_s1026" style="position:absolute;flip:y;z-index:251692544;visibility:visible;mso-wrap-style:square;mso-wrap-distance-left:9pt;mso-wrap-distance-top:0;mso-wrap-distance-right:9pt;mso-wrap-distance-bottom:0;mso-position-horizontal:absolute;mso-position-horizontal-relative:text;mso-position-vertical:absolute;mso-position-vertical-relative:text" from="63.2pt,16.9pt" to="370.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"/>
            </w:pict>
          </mc:Fallback>
        </mc:AlternateContent>
      </w: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89472" behindDoc="0" locked="0" layoutInCell="1" allowOverlap="1" wp14:anchorId="6B063ED7" wp14:editId="69A5BBC2">
                <wp:simplePos x="0" y="0"/>
                <wp:positionH relativeFrom="column">
                  <wp:posOffset>802688</wp:posOffset>
                </wp:positionH>
                <wp:positionV relativeFrom="paragraph">
                  <wp:posOffset>95022</wp:posOffset>
                </wp:positionV>
                <wp:extent cx="0" cy="136945"/>
                <wp:effectExtent l="0" t="0" r="19050" b="34925"/>
                <wp:wrapNone/>
                <wp:docPr id="78" name="Straight Connector 78"/>
                <wp:cNvGraphicFramePr/>
                <a:graphic xmlns:a="http://schemas.openxmlformats.org/drawingml/2006/main">
                  <a:graphicData uri="http://schemas.microsoft.com/office/word/2010/wordprocessingShape">
                    <wps:wsp>
                      <wps:cNvCnPr/>
                      <wps:spPr>
                        <a:xfrm>
                          <a:off x="0" y="0"/>
                          <a:ext cx="0" cy="13694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54C28DE5" id="Straight Connector 78"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63.2pt,7.5pt" to="63.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"/>
            </w:pict>
          </mc:Fallback>
        </mc:AlternateContent>
      </w:r>
    </w:p>
    <w:p w:rsidR="00F855D9" w:rsidRPr="00F855D9" w:rsidRDefault="00F855D9"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15744" behindDoc="0" locked="0" layoutInCell="1" allowOverlap="1" wp14:anchorId="1620F2D9" wp14:editId="09111B7E">
                <wp:simplePos x="0" y="0"/>
                <wp:positionH relativeFrom="column">
                  <wp:posOffset>4086225</wp:posOffset>
                </wp:positionH>
                <wp:positionV relativeFrom="paragraph">
                  <wp:posOffset>22972</wp:posOffset>
                </wp:positionV>
                <wp:extent cx="1779638" cy="1135464"/>
                <wp:effectExtent l="0" t="0" r="11430" b="26670"/>
                <wp:wrapNone/>
                <wp:docPr id="9" name="Text Box 9"/>
                <wp:cNvGraphicFramePr/>
                <a:graphic xmlns:a="http://schemas.openxmlformats.org/drawingml/2006/main">
                  <a:graphicData uri="http://schemas.microsoft.com/office/word/2010/wordprocessingShape">
                    <wps:wsp>
                      <wps:cNvSpPr txBox="1"/>
                      <wps:spPr>
                        <a:xfrm>
                          <a:off x="0" y="0"/>
                          <a:ext cx="1779638" cy="1135464"/>
                        </a:xfrm>
                        <a:prstGeom prst="rect">
                          <a:avLst/>
                        </a:prstGeom>
                        <a:solidFill>
                          <a:sysClr val="window" lastClr="FFFFFF"/>
                        </a:solidFill>
                        <a:ln w="6350">
                          <a:solidFill>
                            <a:prstClr val="black"/>
                          </a:solidFill>
                        </a:ln>
                        <a:effectLst/>
                      </wps:spPr>
                      <wps:txbx>
                        <w:txbxContent>
                          <w:p w:rsidR="00967E1A" w:rsidRPr="00915C1B" w:rsidRDefault="00967E1A" w:rsidP="003D7355">
                            <w:pPr>
                              <w:pStyle w:val="ListParagraph"/>
                              <w:widowControl w:val="0"/>
                              <w:numPr>
                                <w:ilvl w:val="0"/>
                                <w:numId w:val="26"/>
                              </w:numPr>
                              <w:spacing w:after="0" w:line="240" w:lineRule="auto"/>
                              <w:ind w:left="426"/>
                              <w:rPr>
                                <w:rFonts w:ascii="Times New Roman" w:hAnsi="Times New Roman" w:cs="Times New Roman"/>
                                <w:sz w:val="24"/>
                                <w:szCs w:val="24"/>
                              </w:rPr>
                            </w:pPr>
                            <w:r w:rsidRPr="00915C1B">
                              <w:rPr>
                                <w:rFonts w:ascii="Times New Roman" w:hAnsi="Times New Roman" w:cs="Times New Roman"/>
                                <w:sz w:val="24"/>
                                <w:szCs w:val="24"/>
                              </w:rPr>
                              <w:t>Teori Utilitarianisme, Jeremy Bentham</w:t>
                            </w:r>
                          </w:p>
                          <w:p w:rsidR="00967E1A" w:rsidRPr="00915C1B" w:rsidRDefault="00967E1A" w:rsidP="003D7355">
                            <w:pPr>
                              <w:pStyle w:val="ListParagraph"/>
                              <w:widowControl w:val="0"/>
                              <w:numPr>
                                <w:ilvl w:val="0"/>
                                <w:numId w:val="26"/>
                              </w:numPr>
                              <w:spacing w:after="0" w:line="240" w:lineRule="auto"/>
                              <w:ind w:left="426"/>
                              <w:rPr>
                                <w:rFonts w:ascii="Times New Roman" w:hAnsi="Times New Roman" w:cs="Times New Roman"/>
                                <w:sz w:val="24"/>
                                <w:szCs w:val="24"/>
                              </w:rPr>
                            </w:pPr>
                            <w:r w:rsidRPr="00915C1B">
                              <w:rPr>
                                <w:rFonts w:ascii="Times New Roman" w:hAnsi="Times New Roman" w:cs="Times New Roman"/>
                                <w:sz w:val="24"/>
                                <w:szCs w:val="24"/>
                              </w:rPr>
                              <w:t xml:space="preserve">Teori </w:t>
                            </w:r>
                            <w:r w:rsidRPr="00915C1B">
                              <w:rPr>
                                <w:rFonts w:ascii="Times New Roman" w:hAnsi="Times New Roman" w:cs="Times New Roman"/>
                                <w:i/>
                                <w:sz w:val="24"/>
                                <w:szCs w:val="24"/>
                              </w:rPr>
                              <w:t>Economic Analysis of Law</w:t>
                            </w:r>
                            <w:r w:rsidRPr="00915C1B">
                              <w:rPr>
                                <w:rFonts w:ascii="Times New Roman" w:hAnsi="Times New Roman" w:cs="Times New Roman"/>
                                <w:sz w:val="24"/>
                                <w:szCs w:val="24"/>
                              </w:rPr>
                              <w:t>, Richard A. Ponser</w:t>
                            </w:r>
                          </w:p>
                          <w:p w:rsidR="00967E1A" w:rsidRPr="00D80169" w:rsidRDefault="00967E1A" w:rsidP="00F855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20F2D9" id="Text Box 9" o:spid="_x0000_s1033" type="#_x0000_t202" style="position:absolute;left:0;text-align:left;margin-left:321.75pt;margin-top:1.8pt;width:140.15pt;height:89.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" fillcolor="window" strokeweight=".5pt">
                <v:textbox>
                  <w:txbxContent>
                    <w:p w:rsidR="00967E1A" w:rsidRPr="00915C1B" w:rsidRDefault="00967E1A" w:rsidP="003D7355">
                      <w:pPr>
                        <w:pStyle w:val="ListParagraph"/>
                        <w:widowControl w:val="0"/>
                        <w:numPr>
                          <w:ilvl w:val="0"/>
                          <w:numId w:val="26"/>
                        </w:numPr>
                        <w:spacing w:after="0" w:line="240" w:lineRule="auto"/>
                        <w:ind w:left="426"/>
                        <w:rPr>
                          <w:rFonts w:ascii="Times New Roman" w:hAnsi="Times New Roman" w:cs="Times New Roman"/>
                          <w:sz w:val="24"/>
                          <w:szCs w:val="24"/>
                        </w:rPr>
                      </w:pPr>
                      <w:r w:rsidRPr="00915C1B">
                        <w:rPr>
                          <w:rFonts w:ascii="Times New Roman" w:hAnsi="Times New Roman" w:cs="Times New Roman"/>
                          <w:sz w:val="24"/>
                          <w:szCs w:val="24"/>
                        </w:rPr>
                        <w:t>Teori Utilitarianisme, Jeremy Bentham</w:t>
                      </w:r>
                    </w:p>
                    <w:p w:rsidR="00967E1A" w:rsidRPr="00915C1B" w:rsidRDefault="00967E1A" w:rsidP="003D7355">
                      <w:pPr>
                        <w:pStyle w:val="ListParagraph"/>
                        <w:widowControl w:val="0"/>
                        <w:numPr>
                          <w:ilvl w:val="0"/>
                          <w:numId w:val="26"/>
                        </w:numPr>
                        <w:spacing w:after="0" w:line="240" w:lineRule="auto"/>
                        <w:ind w:left="426"/>
                        <w:rPr>
                          <w:rFonts w:ascii="Times New Roman" w:hAnsi="Times New Roman" w:cs="Times New Roman"/>
                          <w:sz w:val="24"/>
                          <w:szCs w:val="24"/>
                        </w:rPr>
                      </w:pPr>
                      <w:r w:rsidRPr="00915C1B">
                        <w:rPr>
                          <w:rFonts w:ascii="Times New Roman" w:hAnsi="Times New Roman" w:cs="Times New Roman"/>
                          <w:sz w:val="24"/>
                          <w:szCs w:val="24"/>
                        </w:rPr>
                        <w:t xml:space="preserve">Teori </w:t>
                      </w:r>
                      <w:r w:rsidRPr="00915C1B">
                        <w:rPr>
                          <w:rFonts w:ascii="Times New Roman" w:hAnsi="Times New Roman" w:cs="Times New Roman"/>
                          <w:i/>
                          <w:sz w:val="24"/>
                          <w:szCs w:val="24"/>
                        </w:rPr>
                        <w:t>Economic Analysis of Law</w:t>
                      </w:r>
                      <w:r w:rsidRPr="00915C1B">
                        <w:rPr>
                          <w:rFonts w:ascii="Times New Roman" w:hAnsi="Times New Roman" w:cs="Times New Roman"/>
                          <w:sz w:val="24"/>
                          <w:szCs w:val="24"/>
                        </w:rPr>
                        <w:t>, Richard A. Ponser</w:t>
                      </w:r>
                    </w:p>
                    <w:p w:rsidR="00967E1A" w:rsidRPr="00D80169" w:rsidRDefault="00967E1A" w:rsidP="00F855D9"/>
                  </w:txbxContent>
                </v:textbox>
              </v:shape>
            </w:pict>
          </mc:Fallback>
        </mc:AlternateContent>
      </w: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56704" behindDoc="0" locked="0" layoutInCell="1" allowOverlap="1" wp14:anchorId="70586E23" wp14:editId="0B862BDB">
                <wp:simplePos x="0" y="0"/>
                <wp:positionH relativeFrom="column">
                  <wp:posOffset>2005634</wp:posOffset>
                </wp:positionH>
                <wp:positionV relativeFrom="paragraph">
                  <wp:posOffset>199556</wp:posOffset>
                </wp:positionV>
                <wp:extent cx="1490345" cy="367665"/>
                <wp:effectExtent l="0" t="0" r="14605" b="13335"/>
                <wp:wrapNone/>
                <wp:docPr id="6" name="Text Box 6"/>
                <wp:cNvGraphicFramePr/>
                <a:graphic xmlns:a="http://schemas.openxmlformats.org/drawingml/2006/main">
                  <a:graphicData uri="http://schemas.microsoft.com/office/word/2010/wordprocessingShape">
                    <wps:wsp>
                      <wps:cNvSpPr txBox="1"/>
                      <wps:spPr>
                        <a:xfrm>
                          <a:off x="0" y="0"/>
                          <a:ext cx="1490345" cy="367665"/>
                        </a:xfrm>
                        <a:prstGeom prst="rect">
                          <a:avLst/>
                        </a:prstGeom>
                        <a:solidFill>
                          <a:sysClr val="window" lastClr="FFFFFF"/>
                        </a:solidFill>
                        <a:ln w="6350">
                          <a:solidFill>
                            <a:prstClr val="black"/>
                          </a:solidFill>
                        </a:ln>
                        <a:effectLst/>
                      </wps:spPr>
                      <wps:txbx>
                        <w:txbxContent>
                          <w:p w:rsidR="00967E1A" w:rsidRPr="00915C1B" w:rsidRDefault="00967E1A" w:rsidP="00F855D9">
                            <w:pPr>
                              <w:jc w:val="center"/>
                              <w:rPr>
                                <w:rFonts w:ascii="Times New Roman" w:hAnsi="Times New Roman" w:cs="Times New Roman"/>
                                <w:sz w:val="24"/>
                                <w:szCs w:val="24"/>
                              </w:rPr>
                            </w:pPr>
                            <w:r w:rsidRPr="00915C1B">
                              <w:rPr>
                                <w:rFonts w:ascii="Times New Roman" w:hAnsi="Times New Roman" w:cs="Times New Roman"/>
                                <w:sz w:val="24"/>
                                <w:szCs w:val="24"/>
                              </w:rPr>
                              <w:t>Persaingan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586E23" id="Text Box 6" o:spid="_x0000_s1034" type="#_x0000_t202" style="position:absolute;left:0;text-align:left;margin-left:157.9pt;margin-top:15.7pt;width:117.35pt;height:2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" fillcolor="window" strokeweight=".5pt">
                <v:textbox>
                  <w:txbxContent>
                    <w:p w:rsidR="00967E1A" w:rsidRPr="00915C1B" w:rsidRDefault="00967E1A" w:rsidP="00F855D9">
                      <w:pPr>
                        <w:jc w:val="center"/>
                        <w:rPr>
                          <w:rFonts w:ascii="Times New Roman" w:hAnsi="Times New Roman" w:cs="Times New Roman"/>
                          <w:sz w:val="24"/>
                          <w:szCs w:val="24"/>
                        </w:rPr>
                      </w:pPr>
                      <w:r w:rsidRPr="00915C1B">
                        <w:rPr>
                          <w:rFonts w:ascii="Times New Roman" w:hAnsi="Times New Roman" w:cs="Times New Roman"/>
                          <w:sz w:val="24"/>
                          <w:szCs w:val="24"/>
                        </w:rPr>
                        <w:t>Persaingan</w:t>
                      </w:r>
                    </w:p>
                  </w:txbxContent>
                </v:textbox>
              </v:shape>
            </w:pict>
          </mc:Fallback>
        </mc:AlternateContent>
      </w:r>
    </w:p>
    <w:p w:rsidR="00F855D9" w:rsidRPr="00F855D9" w:rsidRDefault="00F855D9"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705856" behindDoc="0" locked="0" layoutInCell="1" allowOverlap="1" wp14:anchorId="354D1CD8" wp14:editId="6A584B5B">
                <wp:simplePos x="0" y="0"/>
                <wp:positionH relativeFrom="column">
                  <wp:posOffset>2744277</wp:posOffset>
                </wp:positionH>
                <wp:positionV relativeFrom="paragraph">
                  <wp:posOffset>227137</wp:posOffset>
                </wp:positionV>
                <wp:extent cx="9939" cy="467056"/>
                <wp:effectExtent l="0" t="0" r="28575" b="28575"/>
                <wp:wrapNone/>
                <wp:docPr id="16" name="Straight Connector 16"/>
                <wp:cNvGraphicFramePr/>
                <a:graphic xmlns:a="http://schemas.openxmlformats.org/drawingml/2006/main">
                  <a:graphicData uri="http://schemas.microsoft.com/office/word/2010/wordprocessingShape">
                    <wps:wsp>
                      <wps:cNvCnPr/>
                      <wps:spPr>
                        <a:xfrm>
                          <a:off x="0" y="0"/>
                          <a:ext cx="9939" cy="46705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509820CC" id="Straight Connector 16"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216.1pt,17.9pt" to="216.9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"/>
            </w:pict>
          </mc:Fallback>
        </mc:AlternateContent>
      </w:r>
    </w:p>
    <w:p w:rsidR="00F855D9" w:rsidRPr="00F855D9" w:rsidRDefault="00F855D9"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717120" behindDoc="0" locked="0" layoutInCell="1" allowOverlap="1" wp14:anchorId="584FC76F" wp14:editId="07A2E450">
                <wp:simplePos x="0" y="0"/>
                <wp:positionH relativeFrom="column">
                  <wp:posOffset>2744277</wp:posOffset>
                </wp:positionH>
                <wp:positionV relativeFrom="paragraph">
                  <wp:posOffset>65460</wp:posOffset>
                </wp:positionV>
                <wp:extent cx="1371600" cy="0"/>
                <wp:effectExtent l="0" t="76200" r="19050" b="95250"/>
                <wp:wrapNone/>
                <wp:docPr id="28" name="Straight Arrow Connector 28"/>
                <wp:cNvGraphicFramePr/>
                <a:graphic xmlns:a="http://schemas.openxmlformats.org/drawingml/2006/main">
                  <a:graphicData uri="http://schemas.microsoft.com/office/word/2010/wordprocessingShape">
                    <wps:wsp>
                      <wps:cNvCnPr/>
                      <wps:spPr>
                        <a:xfrm>
                          <a:off x="0" y="0"/>
                          <a:ext cx="13716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5="http://schemas.microsoft.com/office/word/2012/wordml">
            <w:pict>
              <v:shape w14:anchorId="01F68D8C" id="Straight Arrow Connector 28" o:spid="_x0000_s1026" type="#_x0000_t32" style="position:absolute;margin-left:216.1pt;margin-top:5.15pt;width:108pt;height:0;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">
                <v:stroke endarrow="block"/>
              </v:shape>
            </w:pict>
          </mc:Fallback>
        </mc:AlternateContent>
      </w: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714048" behindDoc="0" locked="0" layoutInCell="1" allowOverlap="1" wp14:anchorId="0F1D95A0" wp14:editId="7D01D651">
                <wp:simplePos x="0" y="0"/>
                <wp:positionH relativeFrom="column">
                  <wp:posOffset>3390044</wp:posOffset>
                </wp:positionH>
                <wp:positionV relativeFrom="paragraph">
                  <wp:posOffset>353695</wp:posOffset>
                </wp:positionV>
                <wp:extent cx="9939" cy="199169"/>
                <wp:effectExtent l="38100" t="0" r="66675" b="48895"/>
                <wp:wrapNone/>
                <wp:docPr id="25" name="Straight Arrow Connector 25"/>
                <wp:cNvGraphicFramePr/>
                <a:graphic xmlns:a="http://schemas.openxmlformats.org/drawingml/2006/main">
                  <a:graphicData uri="http://schemas.microsoft.com/office/word/2010/wordprocessingShape">
                    <wps:wsp>
                      <wps:cNvCnPr/>
                      <wps:spPr>
                        <a:xfrm>
                          <a:off x="0" y="0"/>
                          <a:ext cx="9939" cy="19916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5="http://schemas.microsoft.com/office/word/2012/wordml">
            <w:pict>
              <v:shape w14:anchorId="4A69CF85" id="Straight Arrow Connector 25" o:spid="_x0000_s1026" type="#_x0000_t32" style="position:absolute;margin-left:266.95pt;margin-top:27.85pt;width:.8pt;height:15.7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">
                <v:stroke endarrow="block"/>
              </v:shape>
            </w:pict>
          </mc:Fallback>
        </mc:AlternateContent>
      </w: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63872" behindDoc="0" locked="0" layoutInCell="1" allowOverlap="1" wp14:anchorId="4A87CE4C" wp14:editId="5702109A">
                <wp:simplePos x="0" y="0"/>
                <wp:positionH relativeFrom="column">
                  <wp:posOffset>2753360</wp:posOffset>
                </wp:positionH>
                <wp:positionV relativeFrom="paragraph">
                  <wp:posOffset>353060</wp:posOffset>
                </wp:positionV>
                <wp:extent cx="646430" cy="0"/>
                <wp:effectExtent l="0" t="0" r="20320" b="19050"/>
                <wp:wrapNone/>
                <wp:docPr id="19" name="Straight Connector 19"/>
                <wp:cNvGraphicFramePr/>
                <a:graphic xmlns:a="http://schemas.openxmlformats.org/drawingml/2006/main">
                  <a:graphicData uri="http://schemas.microsoft.com/office/word/2010/wordprocessingShape">
                    <wps:wsp>
                      <wps:cNvCnPr/>
                      <wps:spPr>
                        <a:xfrm>
                          <a:off x="0" y="0"/>
                          <a:ext cx="64643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14A9EBA9" id="Straight Connector 19"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216.8pt,27.8pt" to="267.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"/>
            </w:pict>
          </mc:Fallback>
        </mc:AlternateContent>
      </w: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66944" behindDoc="0" locked="0" layoutInCell="1" allowOverlap="1" wp14:anchorId="0543B95E" wp14:editId="122B0153">
                <wp:simplePos x="0" y="0"/>
                <wp:positionH relativeFrom="column">
                  <wp:posOffset>1959085</wp:posOffset>
                </wp:positionH>
                <wp:positionV relativeFrom="paragraph">
                  <wp:posOffset>353612</wp:posOffset>
                </wp:positionV>
                <wp:extent cx="795131" cy="10022"/>
                <wp:effectExtent l="0" t="0" r="24130" b="28575"/>
                <wp:wrapNone/>
                <wp:docPr id="21" name="Straight Connector 21"/>
                <wp:cNvGraphicFramePr/>
                <a:graphic xmlns:a="http://schemas.openxmlformats.org/drawingml/2006/main">
                  <a:graphicData uri="http://schemas.microsoft.com/office/word/2010/wordprocessingShape">
                    <wps:wsp>
                      <wps:cNvCnPr/>
                      <wps:spPr>
                        <a:xfrm flipH="1">
                          <a:off x="0" y="0"/>
                          <a:ext cx="795131" cy="1002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16245AB3" id="Straight Connector 21" o:spid="_x0000_s1026" style="position:absolute;flip:x;z-index:251666944;visibility:visible;mso-wrap-style:square;mso-wrap-distance-left:9pt;mso-wrap-distance-top:0;mso-wrap-distance-right:9pt;mso-wrap-distance-bottom:0;mso-position-horizontal:absolute;mso-position-horizontal-relative:text;mso-position-vertical:absolute;mso-position-vertical-relative:text" from="154.25pt,27.85pt" to="216.8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"/>
            </w:pict>
          </mc:Fallback>
        </mc:AlternateContent>
      </w:r>
    </w:p>
    <w:p w:rsidR="00F855D9" w:rsidRPr="00F855D9" w:rsidRDefault="00915C1B"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50560" behindDoc="0" locked="0" layoutInCell="1" allowOverlap="1" wp14:anchorId="75A80F12" wp14:editId="4B572D89">
                <wp:simplePos x="0" y="0"/>
                <wp:positionH relativeFrom="column">
                  <wp:posOffset>2950950</wp:posOffset>
                </wp:positionH>
                <wp:positionV relativeFrom="paragraph">
                  <wp:posOffset>198183</wp:posOffset>
                </wp:positionV>
                <wp:extent cx="2846705" cy="1125415"/>
                <wp:effectExtent l="0" t="0" r="10795" b="17780"/>
                <wp:wrapNone/>
                <wp:docPr id="192" name="Text Box 192"/>
                <wp:cNvGraphicFramePr/>
                <a:graphic xmlns:a="http://schemas.openxmlformats.org/drawingml/2006/main">
                  <a:graphicData uri="http://schemas.microsoft.com/office/word/2010/wordprocessingShape">
                    <wps:wsp>
                      <wps:cNvSpPr txBox="1"/>
                      <wps:spPr>
                        <a:xfrm>
                          <a:off x="0" y="0"/>
                          <a:ext cx="2846705" cy="1125415"/>
                        </a:xfrm>
                        <a:prstGeom prst="rect">
                          <a:avLst/>
                        </a:prstGeom>
                        <a:solidFill>
                          <a:sysClr val="window" lastClr="FFFFFF"/>
                        </a:solidFill>
                        <a:ln w="6350">
                          <a:solidFill>
                            <a:prstClr val="black"/>
                          </a:solidFill>
                        </a:ln>
                        <a:effectLst/>
                      </wps:spPr>
                      <wps:txbx>
                        <w:txbxContent>
                          <w:p w:rsidR="00967E1A" w:rsidRPr="00915C1B" w:rsidRDefault="00967E1A" w:rsidP="00F855D9">
                            <w:pPr>
                              <w:jc w:val="both"/>
                              <w:rPr>
                                <w:rFonts w:ascii="Times New Roman" w:hAnsi="Times New Roman" w:cs="Times New Roman"/>
                                <w:sz w:val="24"/>
                                <w:szCs w:val="24"/>
                              </w:rPr>
                            </w:pPr>
                            <w:r w:rsidRPr="00915C1B">
                              <w:rPr>
                                <w:rFonts w:ascii="Times New Roman" w:hAnsi="Times New Roman" w:cs="Times New Roman"/>
                                <w:sz w:val="24"/>
                                <w:szCs w:val="24"/>
                              </w:rPr>
                              <w:t>Bagaimana perbandingan persaingan perdagangan jasa di bidang konstruksi antara Indonesia dengan negara anggota ASEAN lainnya dalam rangka Masyarakat Ekonomi ASEAN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A80F12" id="Text Box 192" o:spid="_x0000_s1035" type="#_x0000_t202" style="position:absolute;left:0;text-align:left;margin-left:232.35pt;margin-top:15.6pt;width:224.15pt;height:88.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" fillcolor="window" strokeweight=".5pt">
                <v:textbox>
                  <w:txbxContent>
                    <w:p w:rsidR="00967E1A" w:rsidRPr="00915C1B" w:rsidRDefault="00967E1A" w:rsidP="00F855D9">
                      <w:pPr>
                        <w:jc w:val="both"/>
                        <w:rPr>
                          <w:rFonts w:ascii="Times New Roman" w:hAnsi="Times New Roman" w:cs="Times New Roman"/>
                          <w:sz w:val="24"/>
                          <w:szCs w:val="24"/>
                        </w:rPr>
                      </w:pPr>
                      <w:r w:rsidRPr="00915C1B">
                        <w:rPr>
                          <w:rFonts w:ascii="Times New Roman" w:hAnsi="Times New Roman" w:cs="Times New Roman"/>
                          <w:sz w:val="24"/>
                          <w:szCs w:val="24"/>
                        </w:rPr>
                        <w:t>Bagaimana perbandingan persaingan perdagangan jasa di bidang konstruksi antara Indonesia dengan negara anggota ASEAN lainnya dalam rangka Masyarakat Ekonomi ASEAN ?</w:t>
                      </w:r>
                    </w:p>
                  </w:txbxContent>
                </v:textbox>
              </v:shape>
            </w:pict>
          </mc:Fallback>
        </mc:AlternateContent>
      </w:r>
      <w:r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633152" behindDoc="0" locked="0" layoutInCell="1" allowOverlap="1" wp14:anchorId="09E5DEB6" wp14:editId="529DAE47">
                <wp:simplePos x="0" y="0"/>
                <wp:positionH relativeFrom="column">
                  <wp:posOffset>-365006</wp:posOffset>
                </wp:positionH>
                <wp:positionV relativeFrom="paragraph">
                  <wp:posOffset>188134</wp:posOffset>
                </wp:positionV>
                <wp:extent cx="2740653" cy="1105319"/>
                <wp:effectExtent l="0" t="0" r="22225" b="19050"/>
                <wp:wrapNone/>
                <wp:docPr id="95" name="Text Box 95"/>
                <wp:cNvGraphicFramePr/>
                <a:graphic xmlns:a="http://schemas.openxmlformats.org/drawingml/2006/main">
                  <a:graphicData uri="http://schemas.microsoft.com/office/word/2010/wordprocessingShape">
                    <wps:wsp>
                      <wps:cNvSpPr txBox="1"/>
                      <wps:spPr>
                        <a:xfrm>
                          <a:off x="0" y="0"/>
                          <a:ext cx="2740653" cy="1105319"/>
                        </a:xfrm>
                        <a:prstGeom prst="rect">
                          <a:avLst/>
                        </a:prstGeom>
                        <a:solidFill>
                          <a:sysClr val="window" lastClr="FFFFFF"/>
                        </a:solidFill>
                        <a:ln w="6350">
                          <a:solidFill>
                            <a:prstClr val="black"/>
                          </a:solidFill>
                        </a:ln>
                        <a:effectLst/>
                      </wps:spPr>
                      <wps:txbx>
                        <w:txbxContent>
                          <w:p w:rsidR="00967E1A" w:rsidRPr="00915C1B" w:rsidRDefault="00967E1A" w:rsidP="00F855D9">
                            <w:pPr>
                              <w:jc w:val="both"/>
                              <w:rPr>
                                <w:rFonts w:ascii="Times New Roman" w:hAnsi="Times New Roman" w:cs="Times New Roman"/>
                                <w:sz w:val="24"/>
                                <w:szCs w:val="24"/>
                              </w:rPr>
                            </w:pPr>
                            <w:r w:rsidRPr="00915C1B">
                              <w:rPr>
                                <w:rFonts w:ascii="Times New Roman" w:hAnsi="Times New Roman" w:cs="Times New Roman"/>
                                <w:sz w:val="24"/>
                                <w:szCs w:val="24"/>
                              </w:rPr>
                              <w:t>Bagaimana analisis dampak kebijakan pemerintah Indonesia terhadap persaingan perdagangan jasa di bidang konstruksi dalam rangka Masyarakat Ekonomi ASEAN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E5DEB6" id="Text Box 95" o:spid="_x0000_s1036" type="#_x0000_t202" style="position:absolute;left:0;text-align:left;margin-left:-28.75pt;margin-top:14.8pt;width:215.8pt;height:87.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" fillcolor="window" strokeweight=".5pt">
                <v:textbox>
                  <w:txbxContent>
                    <w:p w:rsidR="00967E1A" w:rsidRPr="00915C1B" w:rsidRDefault="00967E1A" w:rsidP="00F855D9">
                      <w:pPr>
                        <w:jc w:val="both"/>
                        <w:rPr>
                          <w:rFonts w:ascii="Times New Roman" w:hAnsi="Times New Roman" w:cs="Times New Roman"/>
                          <w:sz w:val="24"/>
                          <w:szCs w:val="24"/>
                        </w:rPr>
                      </w:pPr>
                      <w:r w:rsidRPr="00915C1B">
                        <w:rPr>
                          <w:rFonts w:ascii="Times New Roman" w:hAnsi="Times New Roman" w:cs="Times New Roman"/>
                          <w:sz w:val="24"/>
                          <w:szCs w:val="24"/>
                        </w:rPr>
                        <w:t>Bagaimana analisis dampak kebijakan pemerintah Indonesia terhadap persaingan perdagangan jasa di bidang konstruksi dalam rangka Masyarakat Ekonomi ASEAN ?</w:t>
                      </w:r>
                    </w:p>
                  </w:txbxContent>
                </v:textbox>
              </v:shape>
            </w:pict>
          </mc:Fallback>
        </mc:AlternateContent>
      </w:r>
      <w:r w:rsidR="00F855D9" w:rsidRPr="00F855D9">
        <w:rPr>
          <w:rFonts w:ascii="Times New Roman" w:eastAsia="PMingLiU" w:hAnsi="Times New Roman" w:cs="Times New Roman"/>
          <w:b/>
          <w:bCs/>
          <w:noProof/>
          <w:color w:val="000000"/>
          <w:kern w:val="2"/>
          <w:sz w:val="24"/>
          <w:szCs w:val="24"/>
          <w:lang w:eastAsia="id-ID"/>
        </w:rPr>
        <mc:AlternateContent>
          <mc:Choice Requires="wps">
            <w:drawing>
              <wp:anchor distT="0" distB="0" distL="114300" distR="114300" simplePos="0" relativeHeight="251710976" behindDoc="0" locked="0" layoutInCell="1" allowOverlap="1" wp14:anchorId="0633C28C" wp14:editId="0ABB25CB">
                <wp:simplePos x="0" y="0"/>
                <wp:positionH relativeFrom="column">
                  <wp:posOffset>1959085</wp:posOffset>
                </wp:positionH>
                <wp:positionV relativeFrom="paragraph">
                  <wp:posOffset>12700</wp:posOffset>
                </wp:positionV>
                <wp:extent cx="0" cy="189258"/>
                <wp:effectExtent l="76200" t="0" r="57150" b="58420"/>
                <wp:wrapNone/>
                <wp:docPr id="24" name="Straight Arrow Connector 24"/>
                <wp:cNvGraphicFramePr/>
                <a:graphic xmlns:a="http://schemas.openxmlformats.org/drawingml/2006/main">
                  <a:graphicData uri="http://schemas.microsoft.com/office/word/2010/wordprocessingShape">
                    <wps:wsp>
                      <wps:cNvCnPr/>
                      <wps:spPr>
                        <a:xfrm>
                          <a:off x="0" y="0"/>
                          <a:ext cx="0" cy="18925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5="http://schemas.microsoft.com/office/word/2012/wordml">
            <w:pict>
              <v:shape w14:anchorId="393CB18F" id="Straight Arrow Connector 24" o:spid="_x0000_s1026" type="#_x0000_t32" style="position:absolute;margin-left:154.25pt;margin-top:1pt;width:0;height:14.9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">
                <v:stroke endarrow="block"/>
              </v:shape>
            </w:pict>
          </mc:Fallback>
        </mc:AlternateContent>
      </w:r>
    </w:p>
    <w:p w:rsidR="00F855D9" w:rsidRPr="00F855D9" w:rsidRDefault="00F855D9"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p>
    <w:p w:rsidR="00F855D9" w:rsidRPr="00F855D9" w:rsidRDefault="00F855D9"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p>
    <w:p w:rsidR="00F855D9" w:rsidRPr="00F855D9" w:rsidRDefault="00F855D9"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p>
    <w:p w:rsidR="00F855D9" w:rsidRPr="00F855D9" w:rsidRDefault="00F855D9" w:rsidP="00F855D9">
      <w:pPr>
        <w:widowControl w:val="0"/>
        <w:spacing w:after="0" w:line="480" w:lineRule="auto"/>
        <w:contextualSpacing/>
        <w:jc w:val="both"/>
        <w:rPr>
          <w:rFonts w:ascii="Times New Roman" w:eastAsia="PMingLiU" w:hAnsi="Times New Roman" w:cs="Times New Roman"/>
          <w:b/>
          <w:bCs/>
          <w:color w:val="000000"/>
          <w:kern w:val="2"/>
          <w:sz w:val="24"/>
          <w:szCs w:val="24"/>
          <w:lang w:eastAsia="zh-TW"/>
        </w:rPr>
      </w:pP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Masyarakat Ekonomi ASEAN adalah sebuah pasar tunggal yang </w:t>
      </w:r>
      <w:r w:rsidRPr="00F855D9">
        <w:rPr>
          <w:rFonts w:ascii="Times New Roman" w:eastAsia="PMingLiU" w:hAnsi="Times New Roman" w:cs="Times New Roman"/>
          <w:bCs/>
          <w:color w:val="000000"/>
          <w:kern w:val="2"/>
          <w:sz w:val="24"/>
          <w:szCs w:val="24"/>
          <w:lang w:eastAsia="zh-TW"/>
        </w:rPr>
        <w:lastRenderedPageBreak/>
        <w:t>disetujui oleh negara-negara di ASEAN dalam rangka liberalisasi perdagangan barang maupun jasa. MEA dilakukan agar daya saing ASEAN meningkat serta bisa menyaingi Tiongkok dan India untuk menarik investasi asing. Penanaman modal asing di wilayah ini sangat dibutuhkan untuk meningkatkan lapangan pekerjaan sehingga pada akhirnya akan meningkatkan kesejahteraan bagi penduduk di negara-negara ASEAN. Masyarakat Ekonomi ASEAN membuka arus perdagangan terhadap  pasar tenaga kerja profesional, seperti dokter, pengacara, akuntan, dan lainnya.</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Negara anggota ASEAN telah melakukan persetujuan dan juga kerjasama guna mencapai integrasi ekonomi yang dicita- citakan dalam era MEA dibentuklah  ASEAN </w:t>
      </w:r>
      <w:r w:rsidRPr="00F855D9">
        <w:rPr>
          <w:rFonts w:ascii="Times New Roman" w:eastAsia="PMingLiU" w:hAnsi="Times New Roman" w:cs="Times New Roman"/>
          <w:bCs/>
          <w:i/>
          <w:color w:val="000000"/>
          <w:kern w:val="2"/>
          <w:sz w:val="24"/>
          <w:szCs w:val="24"/>
          <w:lang w:eastAsia="zh-TW"/>
        </w:rPr>
        <w:t>Framework Agreement on Services</w:t>
      </w:r>
      <w:r w:rsidRPr="00F855D9">
        <w:rPr>
          <w:rFonts w:ascii="Times New Roman" w:eastAsia="PMingLiU" w:hAnsi="Times New Roman" w:cs="Times New Roman"/>
          <w:bCs/>
          <w:color w:val="000000"/>
          <w:kern w:val="2"/>
          <w:sz w:val="24"/>
          <w:szCs w:val="24"/>
          <w:lang w:eastAsia="zh-TW"/>
        </w:rPr>
        <w:t xml:space="preserve"> (AFAS) yaitu persetujuan dan kerjasama dalam rangka liberalisasi perdagangan bidang jasa dalam forum ASEAN. Perjanjian antar negara ASEAN ini pada prinsipnya mencerminkan keinginan agar sesama anggota ASEAN melakukan liberalisasi perdagangan jasa antar negara ASEAN secara lebih luas dan lebih mendalam dibandingkan dengan liberalisasi yang ditempuh dalam rangka GATS/ WTO (</w:t>
      </w:r>
      <w:r w:rsidRPr="00F855D9">
        <w:rPr>
          <w:rFonts w:ascii="Times New Roman" w:eastAsia="PMingLiU" w:hAnsi="Times New Roman" w:cs="Times New Roman"/>
          <w:bCs/>
          <w:i/>
          <w:color w:val="000000"/>
          <w:kern w:val="2"/>
          <w:sz w:val="24"/>
          <w:szCs w:val="24"/>
          <w:lang w:eastAsia="zh-TW"/>
        </w:rPr>
        <w:t>General Agreement on Trade in Services/ World Trade Organization).</w:t>
      </w:r>
      <w:r w:rsidRPr="00F855D9">
        <w:rPr>
          <w:rFonts w:ascii="Times New Roman" w:eastAsia="PMingLiU" w:hAnsi="Times New Roman" w:cs="Times New Roman"/>
          <w:bCs/>
          <w:color w:val="000000"/>
          <w:kern w:val="2"/>
          <w:sz w:val="24"/>
          <w:szCs w:val="24"/>
          <w:lang w:eastAsia="zh-TW"/>
        </w:rPr>
        <w:t xml:space="preserve"> AFAS sendiri tetap berpegang kepada prinsip – prinsip GATS dalam melakukan perdagangan jasa di era MEA.</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General Agreement on Trade in Services</w:t>
      </w:r>
      <w:r w:rsidRPr="00F855D9">
        <w:rPr>
          <w:rFonts w:ascii="Times New Roman" w:eastAsia="PMingLiU" w:hAnsi="Times New Roman" w:cs="Times New Roman"/>
          <w:bCs/>
          <w:color w:val="000000"/>
          <w:kern w:val="2"/>
          <w:sz w:val="24"/>
          <w:szCs w:val="24"/>
          <w:lang w:eastAsia="zh-TW"/>
        </w:rPr>
        <w:t xml:space="preserve"> (GATS) mendorong negara anggotanya untuk melakukan penyatuan terhadap standarisasi kebijakan perdagangan jasa. AFAS berdasarkan ketentuan GATS juga membentuk semacam stadarisasi tenaga kerja dalam bidang konstruksi </w:t>
      </w:r>
      <w:r w:rsidRPr="00F855D9">
        <w:rPr>
          <w:rFonts w:ascii="Times New Roman" w:eastAsia="PMingLiU" w:hAnsi="Times New Roman" w:cs="Times New Roman"/>
          <w:bCs/>
          <w:color w:val="000000"/>
          <w:kern w:val="2"/>
          <w:sz w:val="24"/>
          <w:szCs w:val="24"/>
          <w:lang w:eastAsia="zh-TW"/>
        </w:rPr>
        <w:lastRenderedPageBreak/>
        <w:t xml:space="preserve">yang disebut sebagai </w:t>
      </w:r>
      <w:r w:rsidRPr="00F855D9">
        <w:rPr>
          <w:rFonts w:ascii="Times New Roman" w:eastAsia="PMingLiU" w:hAnsi="Times New Roman" w:cs="Times New Roman"/>
          <w:bCs/>
          <w:i/>
          <w:color w:val="000000"/>
          <w:kern w:val="2"/>
          <w:sz w:val="24"/>
          <w:szCs w:val="24"/>
          <w:lang w:eastAsia="zh-TW"/>
        </w:rPr>
        <w:t>Mutual Recognition Arrangement</w:t>
      </w:r>
      <w:r w:rsidRPr="00F855D9">
        <w:rPr>
          <w:rFonts w:ascii="Times New Roman" w:eastAsia="PMingLiU" w:hAnsi="Times New Roman" w:cs="Times New Roman"/>
          <w:bCs/>
          <w:color w:val="000000"/>
          <w:kern w:val="2"/>
          <w:sz w:val="24"/>
          <w:szCs w:val="24"/>
          <w:lang w:eastAsia="zh-TW"/>
        </w:rPr>
        <w:t xml:space="preserve"> (MRA). Kebijakan standarisasi AFAS yang berpatokan kepada GATS tersebut mendorong pemerintah Indonesia membuat kebijakan perdagangan jasa di sektor konstruksi agar mampu bersaing dalam rangka MEA. Kebijakan pemerintah Indonesia seperti  Undang-Undang Nomor 18 tahun 1999 tentang Jasa Konstruksi, Undang-Undang   Nomor   25   Tahun   2007  tentang  Penanaman  Modal, Undang - Undang Nomor 7 Tahun 2014 Tentang Perdagangan diharapkan dapat sejalan dengan ketentuan dari AFAS dan juga GATS agar tercipta persaingan pasar yang jujur dan terbuka tanpa diskriminasi, mengingat Indonesia sebagai pangsa pasar terbesar untuk jasa konstruksi di ASEAN. Kebijakan dibuat karena pangsa jasa konstruksi di Indonesia yang menjanjikan, mendorong persaingan yang ketat bagi para negara anggota MEA  sebagai pelaku usaha asing dan juga pelaku usaha dalam negeri untuk dapat bersaing dengan jujur atau bahkan bersaing untuk menguasai pasar jasa konstruksi di Indonesia. Persaingan untuk memperebutkan pasar jasa konstruksi Indonesia, pemerintah Indonesia mengeluarkan berbagai kebijakan untuk menghadapi  persaingan antar negara anggota ASEAN.</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Kebijakan pemerintah Indonesia dalam menghadapi persaingan jasa konstruksi dalam era MEA menimbulkan dampak bagi iklim persaingan jasa konstruksi, investasi dan pembangunan di Indonesia. Dampak positif maupun negatif dari kebijakan tersebutlah yang akan dijadikan landasan penulis untuk menganalisis kebijakan pemerintah Indonesia terhadap persaingan perdagangan jasa konstruksi dalam MEA </w:t>
      </w:r>
      <w:r w:rsidRPr="00F855D9">
        <w:rPr>
          <w:rFonts w:ascii="Times New Roman" w:eastAsia="PMingLiU" w:hAnsi="Times New Roman" w:cs="Times New Roman"/>
          <w:bCs/>
          <w:color w:val="000000"/>
          <w:kern w:val="2"/>
          <w:sz w:val="24"/>
          <w:szCs w:val="24"/>
          <w:lang w:eastAsia="zh-TW"/>
        </w:rPr>
        <w:lastRenderedPageBreak/>
        <w:t>sudah sesuai diterapkan atau belum tepat diterapkan. Penulis juga menganalisis perbandingan persaingan dalam perdagangan jasa di sektor konstruksi antara negara Indonesia dengan negara anggota ASEAN lainnya untuk mengukur daya saing antar negara.</w:t>
      </w:r>
    </w:p>
    <w:p w:rsidR="00F855D9" w:rsidRPr="00F855D9" w:rsidRDefault="00F855D9" w:rsidP="00915C1B">
      <w:pPr>
        <w:widowControl w:val="0"/>
        <w:spacing w:after="0" w:line="480" w:lineRule="auto"/>
        <w:ind w:left="426"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Menganalisis permasalahan dalam penelitian ini, penulis melakukan pendekatan melalui teori  Utilitarianisme dari Jeremy Bentham  terhadap kebijakan yang sudah diambil pemerintah Indonesia terkait persaingan perdagangan jasa di bidang konstruksi dalam rangka MEA sudahkah memberikan manfaat seperti tujuan yang diharapkan berdasarkan integrasi ekonomi ASEAN dan teori  Richard A. Ponser tentang </w:t>
      </w:r>
      <w:r w:rsidRPr="00F855D9">
        <w:rPr>
          <w:rFonts w:ascii="Times New Roman" w:eastAsia="PMingLiU" w:hAnsi="Times New Roman" w:cs="Times New Roman"/>
          <w:bCs/>
          <w:i/>
          <w:color w:val="000000"/>
          <w:kern w:val="2"/>
          <w:sz w:val="24"/>
          <w:szCs w:val="24"/>
          <w:lang w:eastAsia="zh-TW"/>
        </w:rPr>
        <w:t>economic analysis of law</w:t>
      </w:r>
      <w:r w:rsidRPr="00F855D9">
        <w:rPr>
          <w:rFonts w:ascii="Times New Roman" w:eastAsia="PMingLiU" w:hAnsi="Times New Roman" w:cs="Times New Roman"/>
          <w:bCs/>
          <w:color w:val="000000"/>
          <w:kern w:val="2"/>
          <w:sz w:val="24"/>
          <w:szCs w:val="24"/>
          <w:lang w:eastAsia="zh-TW"/>
        </w:rPr>
        <w:t xml:space="preserve">  terkait dampak dari kebijakan tersebut untuk menilai efisiensi dari sebuah kebijakan yang diambil berdasarkan pertimbangan kondisi ekonomi yang ada. Sehingga diharapkan mampu menghasilkan analisis dampak dari kebijakan pemerintah Indonesia terhadap persaingan perdagangan jasa konstruksi dalam  rangka Masyarakat Ekonomi ASEAN.</w:t>
      </w:r>
    </w:p>
    <w:p w:rsidR="00F855D9" w:rsidRPr="00F855D9" w:rsidRDefault="00F855D9" w:rsidP="003D7355">
      <w:pPr>
        <w:widowControl w:val="0"/>
        <w:numPr>
          <w:ilvl w:val="1"/>
          <w:numId w:val="20"/>
        </w:numPr>
        <w:spacing w:after="0" w:line="480" w:lineRule="auto"/>
        <w:ind w:left="426"/>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Kerangka Konseptual</w:t>
      </w:r>
    </w:p>
    <w:p w:rsidR="00F855D9" w:rsidRPr="00F855D9" w:rsidRDefault="00F855D9" w:rsidP="003D7355">
      <w:pPr>
        <w:widowControl w:val="0"/>
        <w:numPr>
          <w:ilvl w:val="2"/>
          <w:numId w:val="20"/>
        </w:numPr>
        <w:spacing w:after="0" w:line="480" w:lineRule="auto"/>
        <w:ind w:left="851"/>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Analisis</w:t>
      </w:r>
    </w:p>
    <w:p w:rsidR="00F855D9" w:rsidRPr="00F855D9" w:rsidRDefault="00F855D9" w:rsidP="00915C1B">
      <w:pPr>
        <w:widowControl w:val="0"/>
        <w:spacing w:after="0" w:line="480" w:lineRule="auto"/>
        <w:ind w:left="491"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Dalam  Kamus  Bahasa  Indonesia  Kontemporer  karangan  Peter  Salim  dan Yenni Salim (2002)</w:t>
      </w:r>
      <w:r w:rsidRPr="00F855D9">
        <w:rPr>
          <w:rFonts w:ascii="Times New Roman" w:eastAsia="PMingLiU" w:hAnsi="Times New Roman" w:cs="Times New Roman"/>
          <w:bCs/>
          <w:color w:val="000000"/>
          <w:kern w:val="2"/>
          <w:sz w:val="24"/>
          <w:szCs w:val="24"/>
          <w:vertAlign w:val="superscript"/>
          <w:lang w:eastAsia="zh-TW"/>
        </w:rPr>
        <w:footnoteReference w:id="10"/>
      </w:r>
      <w:r w:rsidRPr="00F855D9">
        <w:rPr>
          <w:rFonts w:ascii="Times New Roman" w:eastAsia="PMingLiU" w:hAnsi="Times New Roman" w:cs="Times New Roman"/>
          <w:bCs/>
          <w:color w:val="000000"/>
          <w:kern w:val="2"/>
          <w:sz w:val="24"/>
          <w:szCs w:val="24"/>
          <w:lang w:eastAsia="zh-TW"/>
        </w:rPr>
        <w:t xml:space="preserve"> pengertian analisis adalah :</w:t>
      </w:r>
    </w:p>
    <w:p w:rsidR="00F855D9" w:rsidRPr="00F855D9" w:rsidRDefault="00F855D9" w:rsidP="003D7355">
      <w:pPr>
        <w:widowControl w:val="0"/>
        <w:numPr>
          <w:ilvl w:val="3"/>
          <w:numId w:val="20"/>
        </w:numPr>
        <w:spacing w:after="0" w:line="240" w:lineRule="auto"/>
        <w:ind w:left="1843"/>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Analisis   adalah      penyelidikan   terhadap   suatu   peristiwa (perbuatan, karangan dan sebagainya) untuk mendapatkan fakta yang tepat (asal usul, sebab, penyebab sebenarnya, dan sebagainya).</w:t>
      </w:r>
    </w:p>
    <w:p w:rsidR="00F855D9" w:rsidRPr="00F855D9" w:rsidRDefault="00F855D9" w:rsidP="003D7355">
      <w:pPr>
        <w:widowControl w:val="0"/>
        <w:numPr>
          <w:ilvl w:val="3"/>
          <w:numId w:val="20"/>
        </w:numPr>
        <w:spacing w:after="0" w:line="240" w:lineRule="auto"/>
        <w:ind w:left="1843"/>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Analisis    adalah    penguraian    pokok    persoalan atas    bagian - bagian, penelaahan bagian- bagian  tersebut  dan  hubungan  antar  bagian  untuk mendapatkan    pengertian    yang    tepat    dengan    pemahaman    secara keseluruhan.</w:t>
      </w:r>
    </w:p>
    <w:p w:rsidR="00F855D9" w:rsidRPr="00F855D9" w:rsidRDefault="00F855D9" w:rsidP="003D7355">
      <w:pPr>
        <w:widowControl w:val="0"/>
        <w:numPr>
          <w:ilvl w:val="3"/>
          <w:numId w:val="20"/>
        </w:numPr>
        <w:spacing w:after="0" w:line="240" w:lineRule="auto"/>
        <w:ind w:left="1843"/>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Analisis adalah penjabaran (pembentangan) sesuatu hal, dan sebagainya setelah ditelaah secara seksama.</w:t>
      </w:r>
    </w:p>
    <w:p w:rsidR="00F855D9" w:rsidRPr="00F855D9" w:rsidRDefault="00F855D9" w:rsidP="003D7355">
      <w:pPr>
        <w:widowControl w:val="0"/>
        <w:numPr>
          <w:ilvl w:val="3"/>
          <w:numId w:val="20"/>
        </w:numPr>
        <w:spacing w:after="0" w:line="240" w:lineRule="auto"/>
        <w:ind w:left="1843"/>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Analisis   adalah   proses   pemecahan   masalah   yang   dimulai   dengan hipotesis (dugaan, dan sebagainya) sampai terbukti kebenarannya melalui beberapa kepastian (pengamatan, percobaan, dan sebagainya).</w:t>
      </w:r>
    </w:p>
    <w:p w:rsidR="00F855D9" w:rsidRPr="00F855D9" w:rsidRDefault="00F855D9" w:rsidP="003D7355">
      <w:pPr>
        <w:widowControl w:val="0"/>
        <w:numPr>
          <w:ilvl w:val="3"/>
          <w:numId w:val="20"/>
        </w:numPr>
        <w:spacing w:after="0" w:line="240" w:lineRule="auto"/>
        <w:ind w:left="1843"/>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Analisis  adalah  proses  pemecahan  masalah  (melalui  akal)  ke  dalam bagian - bagiannya  berdasarkan  metode  yang  konsisten untuk  mencapai pengertian tentang prinsip - prinsip dasarnya.</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3D7355">
      <w:pPr>
        <w:widowControl w:val="0"/>
        <w:numPr>
          <w:ilvl w:val="2"/>
          <w:numId w:val="20"/>
        </w:numPr>
        <w:spacing w:after="0" w:line="480" w:lineRule="auto"/>
        <w:ind w:left="85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Dampak</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Kamu</w:t>
      </w:r>
      <w:r w:rsidR="00915C1B">
        <w:rPr>
          <w:rFonts w:ascii="Times New Roman" w:eastAsia="PMingLiU" w:hAnsi="Times New Roman" w:cs="Times New Roman"/>
          <w:bCs/>
          <w:color w:val="000000"/>
          <w:kern w:val="2"/>
          <w:sz w:val="24"/>
          <w:szCs w:val="24"/>
          <w:lang w:eastAsia="zh-TW"/>
        </w:rPr>
        <w:t>s Besar Bahasa Indonesia (KBBI) memberikan</w:t>
      </w:r>
      <w:r w:rsidRPr="00F855D9">
        <w:rPr>
          <w:rFonts w:ascii="Times New Roman" w:eastAsia="PMingLiU" w:hAnsi="Times New Roman" w:cs="Times New Roman"/>
          <w:bCs/>
          <w:color w:val="000000"/>
          <w:kern w:val="2"/>
          <w:sz w:val="24"/>
          <w:szCs w:val="24"/>
          <w:lang w:eastAsia="zh-TW"/>
        </w:rPr>
        <w:t xml:space="preserve"> pengertian </w:t>
      </w:r>
      <w:r w:rsidR="00915C1B">
        <w:rPr>
          <w:rFonts w:ascii="Times New Roman" w:eastAsia="PMingLiU" w:hAnsi="Times New Roman" w:cs="Times New Roman"/>
          <w:bCs/>
          <w:color w:val="000000"/>
          <w:kern w:val="2"/>
          <w:sz w:val="24"/>
          <w:szCs w:val="24"/>
          <w:lang w:eastAsia="zh-TW"/>
        </w:rPr>
        <w:t xml:space="preserve">bahwa </w:t>
      </w:r>
      <w:r w:rsidRPr="00F855D9">
        <w:rPr>
          <w:rFonts w:ascii="Times New Roman" w:eastAsia="PMingLiU" w:hAnsi="Times New Roman" w:cs="Times New Roman"/>
          <w:bCs/>
          <w:color w:val="000000"/>
          <w:kern w:val="2"/>
          <w:sz w:val="24"/>
          <w:szCs w:val="24"/>
          <w:lang w:eastAsia="zh-TW"/>
        </w:rPr>
        <w:t>dampak adalah pengaruh  kuat yang mendatangkan akibat. Pengertian yang lain adalah benturan, pengaruh yang  mendatangkan akibat baik positif maupun negatif. Pengaruh adalah daya yang timbul dari  sesuatu (orang, benda) yang ikut membentu watak, kepercayaan dan perbuatan orang.  Pengaruh adalah sesuatu keadaan dimana ada hubungan timbal balik atau hubungan sebab  akibat antara apa yang mempengaruhi.</w:t>
      </w:r>
      <w:r w:rsidRPr="00F855D9">
        <w:rPr>
          <w:rFonts w:ascii="Times New Roman" w:eastAsia="PMingLiU" w:hAnsi="Times New Roman" w:cs="Times New Roman"/>
          <w:bCs/>
          <w:color w:val="000000"/>
          <w:kern w:val="2"/>
          <w:sz w:val="24"/>
          <w:szCs w:val="24"/>
          <w:vertAlign w:val="superscript"/>
          <w:lang w:eastAsia="zh-TW"/>
        </w:rPr>
        <w:footnoteReference w:id="11"/>
      </w:r>
    </w:p>
    <w:p w:rsidR="00F855D9" w:rsidRPr="00F855D9" w:rsidRDefault="00F855D9" w:rsidP="003D7355">
      <w:pPr>
        <w:widowControl w:val="0"/>
        <w:numPr>
          <w:ilvl w:val="2"/>
          <w:numId w:val="20"/>
        </w:numPr>
        <w:spacing w:after="0" w:line="480" w:lineRule="auto"/>
        <w:ind w:left="851"/>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Kebijakan</w:t>
      </w:r>
    </w:p>
    <w:p w:rsidR="00F855D9" w:rsidRPr="00F855D9" w:rsidRDefault="00F855D9" w:rsidP="00915C1B">
      <w:pPr>
        <w:widowControl w:val="0"/>
        <w:spacing w:after="0" w:line="480" w:lineRule="auto"/>
        <w:ind w:left="491"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Kamus Besar Bahasa Indonesia </w:t>
      </w:r>
      <w:r w:rsidR="00915C1B">
        <w:rPr>
          <w:rFonts w:ascii="Times New Roman" w:eastAsia="PMingLiU" w:hAnsi="Times New Roman" w:cs="Times New Roman"/>
          <w:bCs/>
          <w:color w:val="000000"/>
          <w:kern w:val="2"/>
          <w:sz w:val="24"/>
          <w:szCs w:val="24"/>
          <w:lang w:eastAsia="zh-TW"/>
        </w:rPr>
        <w:t xml:space="preserve">menjelaskan </w:t>
      </w:r>
      <w:r w:rsidRPr="00F855D9">
        <w:rPr>
          <w:rFonts w:ascii="Times New Roman" w:eastAsia="PMingLiU" w:hAnsi="Times New Roman" w:cs="Times New Roman"/>
          <w:bCs/>
          <w:color w:val="000000"/>
          <w:kern w:val="2"/>
          <w:sz w:val="24"/>
          <w:szCs w:val="24"/>
          <w:lang w:eastAsia="zh-TW"/>
        </w:rPr>
        <w:t xml:space="preserve">bahwa kebijakan berasal dari kata bijak yang artinya selalu menggunakan akal budinya, pandai, mahir, pandai bercakap-cakap, petah lidah. Selanjutnya dijelaskan bahwa kebijakan diartikan sebagai kepandaian, kemahiran, kebijaksanaan,  Rangkaian konsep dan asas yang menjadi garis besar dan dasar rencana dalam pelaksanaan suatu pekerjaan, kepemimpinan, dan cara bertindak (tentang pemerintahan, organisasi dan sebagainya) pernyataan cita-cita, tujuan, prinsip atau maksud sebagai garis pedoman untuk manajemen dalam usaha mencapai sasaran </w:t>
      </w:r>
      <w:r w:rsidRPr="00F855D9">
        <w:rPr>
          <w:rFonts w:ascii="Times New Roman" w:eastAsia="PMingLiU" w:hAnsi="Times New Roman" w:cs="Times New Roman"/>
          <w:bCs/>
          <w:color w:val="000000"/>
          <w:kern w:val="2"/>
          <w:sz w:val="24"/>
          <w:szCs w:val="24"/>
          <w:lang w:eastAsia="zh-TW"/>
        </w:rPr>
        <w:lastRenderedPageBreak/>
        <w:t>garis haluan.</w:t>
      </w:r>
      <w:r w:rsidRPr="00F855D9">
        <w:rPr>
          <w:rFonts w:ascii="Times New Roman" w:eastAsia="PMingLiU" w:hAnsi="Times New Roman" w:cs="Times New Roman"/>
          <w:bCs/>
          <w:color w:val="000000"/>
          <w:kern w:val="2"/>
          <w:sz w:val="24"/>
          <w:szCs w:val="24"/>
          <w:vertAlign w:val="superscript"/>
          <w:lang w:eastAsia="zh-TW"/>
        </w:rPr>
        <w:footnoteReference w:id="12"/>
      </w:r>
      <w:r w:rsidRPr="00F855D9">
        <w:rPr>
          <w:rFonts w:ascii="Times New Roman" w:eastAsia="PMingLiU" w:hAnsi="Times New Roman" w:cs="Times New Roman"/>
          <w:bCs/>
          <w:color w:val="000000"/>
          <w:kern w:val="2"/>
          <w:sz w:val="24"/>
          <w:szCs w:val="24"/>
          <w:lang w:eastAsia="zh-TW"/>
        </w:rPr>
        <w:t>Mustopadidjaja dalam Tahir menjelaskan, bahwa istilah kebijakan lazim digunakan dalam kaitannya atau kegiatan pemerintah, serta perilaku negara pada umumnya dan kebijakan tersebut dituangkan dalam berbagai bentuk peraturan.</w:t>
      </w:r>
      <w:r w:rsidRPr="00F855D9">
        <w:rPr>
          <w:rFonts w:ascii="Times New Roman" w:eastAsia="PMingLiU" w:hAnsi="Times New Roman" w:cs="Times New Roman"/>
          <w:bCs/>
          <w:color w:val="000000"/>
          <w:kern w:val="2"/>
          <w:sz w:val="24"/>
          <w:szCs w:val="24"/>
          <w:vertAlign w:val="superscript"/>
          <w:lang w:eastAsia="zh-TW"/>
        </w:rPr>
        <w:footnoteReference w:id="13"/>
      </w:r>
    </w:p>
    <w:p w:rsidR="00F855D9" w:rsidRPr="00F855D9" w:rsidRDefault="00F855D9" w:rsidP="00915C1B">
      <w:pPr>
        <w:widowControl w:val="0"/>
        <w:spacing w:after="0" w:line="480" w:lineRule="auto"/>
        <w:ind w:left="491"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  Anderson dalam Tahir menjelaskan bahwa kebijakan adalah suatu tindakan yang mempunyai tujuan yang dilakukan seorang pelaku atau sejumlah pelaku untuk memecahkan suatu masalah.</w:t>
      </w:r>
      <w:r w:rsidRPr="00F855D9">
        <w:rPr>
          <w:rFonts w:ascii="Times New Roman" w:eastAsia="PMingLiU" w:hAnsi="Times New Roman" w:cs="Times New Roman"/>
          <w:bCs/>
          <w:color w:val="000000"/>
          <w:kern w:val="2"/>
          <w:sz w:val="24"/>
          <w:szCs w:val="24"/>
          <w:vertAlign w:val="superscript"/>
          <w:lang w:eastAsia="zh-TW"/>
        </w:rPr>
        <w:footnoteReference w:id="14"/>
      </w:r>
      <w:r w:rsidRPr="00F855D9">
        <w:rPr>
          <w:rFonts w:ascii="Times New Roman" w:eastAsia="PMingLiU" w:hAnsi="Times New Roman" w:cs="Times New Roman"/>
          <w:bCs/>
          <w:color w:val="000000"/>
          <w:kern w:val="2"/>
          <w:sz w:val="24"/>
          <w:szCs w:val="24"/>
          <w:lang w:eastAsia="zh-TW"/>
        </w:rPr>
        <w:t xml:space="preserve"> Selanjutnya Anderson mengklasifikasi kebijakan, </w:t>
      </w:r>
      <w:r w:rsidRPr="00F855D9">
        <w:rPr>
          <w:rFonts w:ascii="Times New Roman" w:eastAsia="PMingLiU" w:hAnsi="Times New Roman" w:cs="Times New Roman"/>
          <w:bCs/>
          <w:i/>
          <w:color w:val="000000"/>
          <w:kern w:val="2"/>
          <w:sz w:val="24"/>
          <w:szCs w:val="24"/>
          <w:lang w:eastAsia="zh-TW"/>
        </w:rPr>
        <w:t>policy</w:t>
      </w:r>
      <w:r w:rsidRPr="00F855D9">
        <w:rPr>
          <w:rFonts w:ascii="Times New Roman" w:eastAsia="PMingLiU" w:hAnsi="Times New Roman" w:cs="Times New Roman"/>
          <w:bCs/>
          <w:color w:val="000000"/>
          <w:kern w:val="2"/>
          <w:sz w:val="24"/>
          <w:szCs w:val="24"/>
          <w:lang w:eastAsia="zh-TW"/>
        </w:rPr>
        <w:t>, menjadi dua yaitu substantif dan prosedural. Kebijakan substantif yaitu apa yang harus dikerjakan oleh pemerintah sedangkan kebijakan prosedural yaitu siapa dan bagaimana kebijakan tersebut diselenggarakan. Kebijakan publik adalah kebijakan-kebijakan yang dikembangkan oleh badan-badan dan pejabat-pejabat pemerintah.</w:t>
      </w:r>
      <w:r w:rsidRPr="00F855D9">
        <w:rPr>
          <w:rFonts w:ascii="Times New Roman" w:eastAsia="PMingLiU" w:hAnsi="Times New Roman" w:cs="Times New Roman"/>
          <w:bCs/>
          <w:color w:val="000000"/>
          <w:kern w:val="2"/>
          <w:sz w:val="24"/>
          <w:szCs w:val="24"/>
          <w:vertAlign w:val="superscript"/>
          <w:lang w:eastAsia="zh-TW"/>
        </w:rPr>
        <w:footnoteReference w:id="15"/>
      </w:r>
      <w:r w:rsidRPr="00F855D9">
        <w:rPr>
          <w:rFonts w:ascii="Times New Roman" w:eastAsia="PMingLiU" w:hAnsi="Times New Roman" w:cs="Times New Roman"/>
          <w:bCs/>
          <w:color w:val="000000"/>
          <w:kern w:val="2"/>
          <w:sz w:val="24"/>
          <w:szCs w:val="24"/>
          <w:lang w:eastAsia="zh-TW"/>
        </w:rPr>
        <w:t xml:space="preserve"> </w:t>
      </w:r>
    </w:p>
    <w:p w:rsidR="00F855D9" w:rsidRPr="00F855D9" w:rsidRDefault="00F855D9" w:rsidP="00915C1B">
      <w:pPr>
        <w:widowControl w:val="0"/>
        <w:spacing w:after="0" w:line="480" w:lineRule="auto"/>
        <w:ind w:left="491"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Nurcholis memberikan definisi kebijakan sebagai keputusan suatu oragnisasi yang dimaksudkan untuk mencapai tujuan tertentu, berisikan ketentuan-ketentuan yang dapat dijadikan pedoman perilaku dalam hal</w:t>
      </w:r>
      <w:r w:rsidRPr="00F855D9">
        <w:rPr>
          <w:rFonts w:ascii="Times New Roman" w:eastAsia="PMingLiU" w:hAnsi="Times New Roman" w:cs="Times New Roman"/>
          <w:bCs/>
          <w:color w:val="000000"/>
          <w:kern w:val="2"/>
          <w:sz w:val="24"/>
          <w:szCs w:val="24"/>
          <w:vertAlign w:val="superscript"/>
          <w:lang w:eastAsia="zh-TW"/>
        </w:rPr>
        <w:footnoteReference w:id="16"/>
      </w:r>
      <w:r w:rsidRPr="00F855D9">
        <w:rPr>
          <w:rFonts w:ascii="Times New Roman" w:eastAsia="PMingLiU" w:hAnsi="Times New Roman" w:cs="Times New Roman"/>
          <w:bCs/>
          <w:color w:val="000000"/>
          <w:kern w:val="2"/>
          <w:sz w:val="24"/>
          <w:szCs w:val="24"/>
          <w:lang w:eastAsia="zh-TW"/>
        </w:rPr>
        <w:t xml:space="preserve"> :</w:t>
      </w:r>
    </w:p>
    <w:p w:rsidR="00F855D9" w:rsidRPr="00F855D9" w:rsidRDefault="00F855D9" w:rsidP="003D7355">
      <w:pPr>
        <w:widowControl w:val="0"/>
        <w:numPr>
          <w:ilvl w:val="1"/>
          <w:numId w:val="43"/>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Pengambilan keputusan lebih lanjut, yang harus dilakukan baik kelompok sasaran ataupun (unit) organisasi pelaksanaan kebijakan.</w:t>
      </w:r>
    </w:p>
    <w:p w:rsidR="00F855D9" w:rsidRPr="00F855D9" w:rsidRDefault="00F855D9" w:rsidP="003D7355">
      <w:pPr>
        <w:widowControl w:val="0"/>
        <w:numPr>
          <w:ilvl w:val="1"/>
          <w:numId w:val="43"/>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Penerapan atau pelaksanaan dari suatu kebijakan yang telah ditetapkan baik dalam hubungan dengan (unit) organisasi pelaksana maupun dengan kelompok sasaran yang dimaksudkan.</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491"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Sementara itu Nugroho mengemukakan bahwa kebijakan adalah suatu aturan yang mengatur kehidupan bersama yang harus ditaati dan </w:t>
      </w:r>
      <w:r w:rsidRPr="00F855D9">
        <w:rPr>
          <w:rFonts w:ascii="Times New Roman" w:eastAsia="PMingLiU" w:hAnsi="Times New Roman" w:cs="Times New Roman"/>
          <w:bCs/>
          <w:color w:val="000000"/>
          <w:kern w:val="2"/>
          <w:sz w:val="24"/>
          <w:szCs w:val="24"/>
          <w:lang w:eastAsia="zh-TW"/>
        </w:rPr>
        <w:lastRenderedPageBreak/>
        <w:t>berlaku mengikat seluruh warganya. Setiap pelanggaran akan diberi sangsi sesuai dengan bobot pelanggaran yang dilakukan dan dijatuhkan di depan masyarakat oleh lembaga yang mempunyai tugas menjatuhkan sanksi.</w:t>
      </w:r>
      <w:r w:rsidRPr="00F855D9">
        <w:rPr>
          <w:rFonts w:ascii="Times New Roman" w:eastAsia="PMingLiU" w:hAnsi="Times New Roman" w:cs="Times New Roman"/>
          <w:bCs/>
          <w:color w:val="000000"/>
          <w:kern w:val="2"/>
          <w:sz w:val="24"/>
          <w:szCs w:val="24"/>
          <w:vertAlign w:val="superscript"/>
          <w:lang w:eastAsia="zh-TW"/>
        </w:rPr>
        <w:footnoteReference w:id="17"/>
      </w:r>
      <w:r w:rsidRPr="00F855D9">
        <w:rPr>
          <w:rFonts w:ascii="Times New Roman" w:eastAsia="PMingLiU" w:hAnsi="Times New Roman" w:cs="Times New Roman"/>
          <w:bCs/>
          <w:color w:val="000000"/>
          <w:kern w:val="2"/>
          <w:sz w:val="24"/>
          <w:szCs w:val="24"/>
          <w:lang w:eastAsia="zh-TW"/>
        </w:rPr>
        <w:t xml:space="preserve"> Syafiie mengemukakan bahwa kebijakan (</w:t>
      </w:r>
      <w:r w:rsidRPr="00F855D9">
        <w:rPr>
          <w:rFonts w:ascii="Times New Roman" w:eastAsia="PMingLiU" w:hAnsi="Times New Roman" w:cs="Times New Roman"/>
          <w:bCs/>
          <w:i/>
          <w:color w:val="000000"/>
          <w:kern w:val="2"/>
          <w:sz w:val="24"/>
          <w:szCs w:val="24"/>
          <w:lang w:eastAsia="zh-TW"/>
        </w:rPr>
        <w:t>policy</w:t>
      </w:r>
      <w:r w:rsidRPr="00F855D9">
        <w:rPr>
          <w:rFonts w:ascii="Times New Roman" w:eastAsia="PMingLiU" w:hAnsi="Times New Roman" w:cs="Times New Roman"/>
          <w:bCs/>
          <w:color w:val="000000"/>
          <w:kern w:val="2"/>
          <w:sz w:val="24"/>
          <w:szCs w:val="24"/>
          <w:lang w:eastAsia="zh-TW"/>
        </w:rPr>
        <w:t>) hendaknya dibedakan dengan kebijaksanaan (</w:t>
      </w:r>
      <w:r w:rsidRPr="00F855D9">
        <w:rPr>
          <w:rFonts w:ascii="Times New Roman" w:eastAsia="PMingLiU" w:hAnsi="Times New Roman" w:cs="Times New Roman"/>
          <w:bCs/>
          <w:i/>
          <w:color w:val="000000"/>
          <w:kern w:val="2"/>
          <w:sz w:val="24"/>
          <w:szCs w:val="24"/>
          <w:lang w:eastAsia="zh-TW"/>
        </w:rPr>
        <w:t>wisdom</w:t>
      </w:r>
      <w:r w:rsidRPr="00F855D9">
        <w:rPr>
          <w:rFonts w:ascii="Times New Roman" w:eastAsia="PMingLiU" w:hAnsi="Times New Roman" w:cs="Times New Roman"/>
          <w:bCs/>
          <w:color w:val="000000"/>
          <w:kern w:val="2"/>
          <w:sz w:val="24"/>
          <w:szCs w:val="24"/>
          <w:lang w:eastAsia="zh-TW"/>
        </w:rPr>
        <w:t>) karena kebijaksanaan merupakan pengejawantahan aturan yang sudah ditetapkan sesuai situasi dan kondisi setempat oleh person pejabat yang berwenang. Untuk itu Syafiie mendefinisikan kebijakan publik adalah semacam jawaban terhadap suatu masalah karena akan merupakan upaya memecahkan, mengurangi, dan mencegah suatu keburukan serta jadi penganjur, inovasi dan pemuka terjadinya kebaikan dengan cara terbaik dan tindakan terarah.</w:t>
      </w:r>
      <w:r w:rsidRPr="00F855D9">
        <w:rPr>
          <w:rFonts w:ascii="Times New Roman" w:eastAsia="PMingLiU" w:hAnsi="Times New Roman" w:cs="Times New Roman"/>
          <w:bCs/>
          <w:color w:val="000000"/>
          <w:kern w:val="2"/>
          <w:sz w:val="24"/>
          <w:szCs w:val="24"/>
          <w:vertAlign w:val="superscript"/>
          <w:lang w:eastAsia="zh-TW"/>
        </w:rPr>
        <w:footnoteReference w:id="18"/>
      </w:r>
      <w:r w:rsidRPr="00F855D9">
        <w:rPr>
          <w:rFonts w:ascii="Times New Roman" w:eastAsia="PMingLiU" w:hAnsi="Times New Roman" w:cs="Times New Roman"/>
          <w:bCs/>
          <w:color w:val="000000"/>
          <w:kern w:val="2"/>
          <w:sz w:val="24"/>
          <w:szCs w:val="24"/>
          <w:lang w:eastAsia="zh-TW"/>
        </w:rPr>
        <w:t xml:space="preserve">         </w:t>
      </w:r>
    </w:p>
    <w:p w:rsidR="00F855D9" w:rsidRPr="00F855D9" w:rsidRDefault="00F855D9" w:rsidP="003D7355">
      <w:pPr>
        <w:widowControl w:val="0"/>
        <w:numPr>
          <w:ilvl w:val="2"/>
          <w:numId w:val="20"/>
        </w:numPr>
        <w:spacing w:after="0" w:line="480" w:lineRule="auto"/>
        <w:ind w:left="851"/>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Persaingan</w:t>
      </w:r>
    </w:p>
    <w:p w:rsidR="00F855D9" w:rsidRPr="00F855D9" w:rsidRDefault="00F855D9" w:rsidP="00915C1B">
      <w:pPr>
        <w:widowControl w:val="0"/>
        <w:spacing w:after="0" w:line="480" w:lineRule="auto"/>
        <w:ind w:left="491"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Menurut  Kasmir  pesaingan adalah perusahaan yang menghasilkan atau menjual barang atau jasa yang sama atau mirip dengan produk yang kita tawarkan.</w:t>
      </w:r>
      <w:r w:rsidRPr="00F855D9">
        <w:rPr>
          <w:rFonts w:ascii="Times New Roman" w:eastAsia="PMingLiU" w:hAnsi="Times New Roman" w:cs="Times New Roman"/>
          <w:bCs/>
          <w:color w:val="000000"/>
          <w:kern w:val="2"/>
          <w:sz w:val="24"/>
          <w:szCs w:val="24"/>
          <w:vertAlign w:val="superscript"/>
          <w:lang w:eastAsia="zh-TW"/>
        </w:rPr>
        <w:footnoteReference w:id="19"/>
      </w:r>
      <w:r w:rsidRPr="00F855D9">
        <w:rPr>
          <w:rFonts w:ascii="Times New Roman" w:eastAsia="PMingLiU" w:hAnsi="Times New Roman" w:cs="Times New Roman"/>
          <w:bCs/>
          <w:color w:val="000000"/>
          <w:kern w:val="2"/>
          <w:sz w:val="24"/>
          <w:szCs w:val="24"/>
          <w:lang w:eastAsia="zh-TW"/>
        </w:rPr>
        <w:t xml:space="preserve"> Persaingan  sering  dikonotasikan  negatif  karena  dianggap mementingkan kepentingan  sendiri.  Walaupun  pada  kenyataannya seorang   manusia,  pada kapasitasnya   sebagai   individual  maupun   anggota   suatu   organisasi,   secara   ekonomi   tetap   akan  berusaha  mendapatkan  keuntungan  yang  sebesar -besarnya.  Alfred Marshal,  seorang  ekonomi terkemuka  sampai  mengusulkan  agar istilah  persaingan digantikan  dengan  istilah  “</w:t>
      </w:r>
      <w:r w:rsidRPr="00F855D9">
        <w:rPr>
          <w:rFonts w:ascii="Times New Roman" w:eastAsia="PMingLiU" w:hAnsi="Times New Roman" w:cs="Times New Roman"/>
          <w:bCs/>
          <w:i/>
          <w:color w:val="000000"/>
          <w:kern w:val="2"/>
          <w:sz w:val="24"/>
          <w:szCs w:val="24"/>
          <w:lang w:eastAsia="zh-TW"/>
        </w:rPr>
        <w:t>economic  freedom</w:t>
      </w:r>
      <w:r w:rsidRPr="00F855D9">
        <w:rPr>
          <w:rFonts w:ascii="Times New Roman" w:eastAsia="PMingLiU" w:hAnsi="Times New Roman" w:cs="Times New Roman"/>
          <w:bCs/>
          <w:color w:val="000000"/>
          <w:kern w:val="2"/>
          <w:sz w:val="24"/>
          <w:szCs w:val="24"/>
          <w:lang w:eastAsia="zh-TW"/>
        </w:rPr>
        <w:t xml:space="preserve">”  (kebebasan   ekonomi)   dalam menggambarkan   atau   mendukung tujuan  positif  dari  proses  persaingan.  </w:t>
      </w:r>
      <w:r w:rsidRPr="00F855D9">
        <w:rPr>
          <w:rFonts w:ascii="Times New Roman" w:eastAsia="PMingLiU" w:hAnsi="Times New Roman" w:cs="Times New Roman"/>
          <w:bCs/>
          <w:color w:val="000000"/>
          <w:kern w:val="2"/>
          <w:sz w:val="24"/>
          <w:szCs w:val="24"/>
          <w:lang w:eastAsia="zh-TW"/>
        </w:rPr>
        <w:lastRenderedPageBreak/>
        <w:t>Oleh sebab  itu  pengertian kompetisi  atau  persaingan  usaha  dalam  pengertian yang  positif  dan independent sebagai jawaban terhadap upaya dalam segi keuntungan untuk menarik pembeli agar mencapai untung.</w:t>
      </w:r>
      <w:r w:rsidRPr="00F855D9">
        <w:rPr>
          <w:rFonts w:ascii="Times New Roman" w:eastAsia="PMingLiU" w:hAnsi="Times New Roman" w:cs="Times New Roman"/>
          <w:bCs/>
          <w:color w:val="000000"/>
          <w:kern w:val="2"/>
          <w:sz w:val="24"/>
          <w:szCs w:val="24"/>
          <w:vertAlign w:val="superscript"/>
          <w:lang w:eastAsia="zh-TW"/>
        </w:rPr>
        <w:footnoteReference w:id="20"/>
      </w:r>
    </w:p>
    <w:p w:rsidR="00F855D9" w:rsidRPr="00F855D9" w:rsidRDefault="00F855D9" w:rsidP="00915C1B">
      <w:pPr>
        <w:widowControl w:val="0"/>
        <w:spacing w:after="0" w:line="480" w:lineRule="auto"/>
        <w:ind w:left="491"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Persaingan   usaha,   dengan   asumsi   bahwa faktor     yang    mempengaruhi    harga    adalah    permintaan    dan  penawaran, persaingan  usaha  akan  dengan  sendirinya  menghasilkan barang  atau  jasa  yang  memiliki  daya  saing  yang  baik,  melalui mekanisme     produksi     yang     efesien     dan     efektif,     dengan  mempergunakan  seminimum  mungkin  faktor-faktor  produksi  yang ada.   Dalam   sistem   ekonomi   pasar   yang   demikian,   persaingan memiliki beberapa pengertian :</w:t>
      </w:r>
      <w:r w:rsidRPr="00F855D9">
        <w:rPr>
          <w:rFonts w:ascii="Times New Roman" w:eastAsia="PMingLiU" w:hAnsi="Times New Roman" w:cs="Times New Roman"/>
          <w:bCs/>
          <w:color w:val="000000"/>
          <w:kern w:val="2"/>
          <w:sz w:val="24"/>
          <w:szCs w:val="24"/>
          <w:vertAlign w:val="superscript"/>
          <w:lang w:eastAsia="zh-TW"/>
        </w:rPr>
        <w:footnoteReference w:id="21"/>
      </w:r>
    </w:p>
    <w:p w:rsidR="00F855D9" w:rsidRPr="00F855D9" w:rsidRDefault="00F855D9" w:rsidP="003D7355">
      <w:pPr>
        <w:widowControl w:val="0"/>
        <w:numPr>
          <w:ilvl w:val="0"/>
          <w:numId w:val="23"/>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Persaingan    menunjukkan    banyaknya    pelaku    usaha    yang menawarkan  atau  memasok  barang  atau  jasa  tertentu  ke  pasar yang   bersangkutan.   Banyak   sedikitnya   pelaku   usaha   yang menawarkan  barang  atau  jasa  ini  menunjukkan  struktur  pasar (</w:t>
      </w:r>
      <w:r w:rsidRPr="00F855D9">
        <w:rPr>
          <w:rFonts w:ascii="Times New Roman" w:eastAsia="PMingLiU" w:hAnsi="Times New Roman" w:cs="Times New Roman"/>
          <w:bCs/>
          <w:i/>
          <w:color w:val="000000"/>
          <w:kern w:val="2"/>
          <w:sz w:val="24"/>
          <w:szCs w:val="24"/>
          <w:lang w:eastAsia="zh-TW"/>
        </w:rPr>
        <w:t>market structure</w:t>
      </w:r>
      <w:r w:rsidRPr="00F855D9">
        <w:rPr>
          <w:rFonts w:ascii="Times New Roman" w:eastAsia="PMingLiU" w:hAnsi="Times New Roman" w:cs="Times New Roman"/>
          <w:bCs/>
          <w:color w:val="000000"/>
          <w:kern w:val="2"/>
          <w:sz w:val="24"/>
          <w:szCs w:val="24"/>
          <w:lang w:eastAsia="zh-TW"/>
        </w:rPr>
        <w:t>) dari barang atau jasa tersebut.</w:t>
      </w:r>
    </w:p>
    <w:p w:rsidR="00F855D9" w:rsidRPr="00F855D9" w:rsidRDefault="00F855D9" w:rsidP="003D7355">
      <w:pPr>
        <w:widowControl w:val="0"/>
        <w:numPr>
          <w:ilvl w:val="0"/>
          <w:numId w:val="23"/>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Persaingan   merupakan   suatu   proses   dimana   masing-masing perusahaan berupaya memperoleh  pembeli  atau pelanggan bagi produk yang dijualnya, antara lain dapat dilakukan dengan</w:t>
      </w:r>
      <w:r w:rsidRPr="00F855D9">
        <w:rPr>
          <w:rFonts w:ascii="Times New Roman" w:eastAsia="PMingLiU" w:hAnsi="Times New Roman" w:cs="Times New Roman"/>
          <w:bCs/>
          <w:color w:val="000000"/>
          <w:kern w:val="2"/>
          <w:sz w:val="24"/>
          <w:szCs w:val="24"/>
          <w:vertAlign w:val="superscript"/>
          <w:lang w:eastAsia="zh-TW"/>
        </w:rPr>
        <w:footnoteReference w:id="22"/>
      </w:r>
      <w:r w:rsidRPr="00F855D9">
        <w:rPr>
          <w:rFonts w:ascii="Times New Roman" w:eastAsia="PMingLiU" w:hAnsi="Times New Roman" w:cs="Times New Roman"/>
          <w:bCs/>
          <w:color w:val="000000"/>
          <w:kern w:val="2"/>
          <w:sz w:val="24"/>
          <w:szCs w:val="24"/>
          <w:lang w:eastAsia="zh-TW"/>
        </w:rPr>
        <w:t xml:space="preserve"> :</w:t>
      </w:r>
    </w:p>
    <w:p w:rsidR="00F855D9" w:rsidRPr="00F855D9" w:rsidRDefault="00F855D9" w:rsidP="003D7355">
      <w:pPr>
        <w:widowControl w:val="0"/>
        <w:numPr>
          <w:ilvl w:val="0"/>
          <w:numId w:val="24"/>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Persaingan harga (</w:t>
      </w:r>
      <w:r w:rsidRPr="00F855D9">
        <w:rPr>
          <w:rFonts w:ascii="Times New Roman" w:eastAsia="PMingLiU" w:hAnsi="Times New Roman" w:cs="Times New Roman"/>
          <w:bCs/>
          <w:i/>
          <w:color w:val="000000"/>
          <w:kern w:val="2"/>
          <w:sz w:val="24"/>
          <w:szCs w:val="24"/>
          <w:lang w:eastAsia="zh-TW"/>
        </w:rPr>
        <w:t>price competition</w:t>
      </w:r>
      <w:r w:rsidRPr="00F855D9">
        <w:rPr>
          <w:rFonts w:ascii="Times New Roman" w:eastAsia="PMingLiU" w:hAnsi="Times New Roman" w:cs="Times New Roman"/>
          <w:bCs/>
          <w:color w:val="000000"/>
          <w:kern w:val="2"/>
          <w:sz w:val="24"/>
          <w:szCs w:val="24"/>
          <w:lang w:eastAsia="zh-TW"/>
        </w:rPr>
        <w:t>);</w:t>
      </w:r>
    </w:p>
    <w:p w:rsidR="00F855D9" w:rsidRPr="00F855D9" w:rsidRDefault="00F855D9" w:rsidP="003D7355">
      <w:pPr>
        <w:widowControl w:val="0"/>
        <w:numPr>
          <w:ilvl w:val="0"/>
          <w:numId w:val="24"/>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Persaingan  bukan  harga (</w:t>
      </w:r>
      <w:r w:rsidRPr="00F855D9">
        <w:rPr>
          <w:rFonts w:ascii="Times New Roman" w:eastAsia="PMingLiU" w:hAnsi="Times New Roman" w:cs="Times New Roman"/>
          <w:bCs/>
          <w:i/>
          <w:color w:val="000000"/>
          <w:kern w:val="2"/>
          <w:sz w:val="24"/>
          <w:szCs w:val="24"/>
          <w:lang w:eastAsia="zh-TW"/>
        </w:rPr>
        <w:t>non-price  competition</w:t>
      </w:r>
      <w:r w:rsidRPr="00F855D9">
        <w:rPr>
          <w:rFonts w:ascii="Times New Roman" w:eastAsia="PMingLiU" w:hAnsi="Times New Roman" w:cs="Times New Roman"/>
          <w:bCs/>
          <w:color w:val="000000"/>
          <w:kern w:val="2"/>
          <w:sz w:val="24"/>
          <w:szCs w:val="24"/>
          <w:lang w:eastAsia="zh-TW"/>
        </w:rPr>
        <w:t>),  misalnya yang dilakukan melalui diferensiasi produk, pengembangan hak  atas kekayaan  intelektual,  promosi,  pelayanan  purna jual, dan lain-lain;</w:t>
      </w:r>
    </w:p>
    <w:p w:rsidR="00F855D9" w:rsidRPr="00F855D9" w:rsidRDefault="00F855D9" w:rsidP="003D7355">
      <w:pPr>
        <w:widowControl w:val="0"/>
        <w:numPr>
          <w:ilvl w:val="0"/>
          <w:numId w:val="24"/>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Berusaha  secara  lebih  efisien atau  tepat  guna  dan  waktu (</w:t>
      </w:r>
      <w:r w:rsidRPr="00F855D9">
        <w:rPr>
          <w:rFonts w:ascii="Times New Roman" w:eastAsia="PMingLiU" w:hAnsi="Times New Roman" w:cs="Times New Roman"/>
          <w:bCs/>
          <w:i/>
          <w:color w:val="000000"/>
          <w:kern w:val="2"/>
          <w:sz w:val="24"/>
          <w:szCs w:val="24"/>
          <w:lang w:eastAsia="zh-TW"/>
        </w:rPr>
        <w:t>low cost-production</w:t>
      </w:r>
      <w:r w:rsidRPr="00F855D9">
        <w:rPr>
          <w:rFonts w:ascii="Times New Roman" w:eastAsia="PMingLiU" w:hAnsi="Times New Roman" w:cs="Times New Roman"/>
          <w:bCs/>
          <w:color w:val="000000"/>
          <w:kern w:val="2"/>
          <w:sz w:val="24"/>
          <w:szCs w:val="24"/>
          <w:lang w:eastAsia="zh-TW"/>
        </w:rPr>
        <w:t>).</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3D7355">
      <w:pPr>
        <w:widowControl w:val="0"/>
        <w:numPr>
          <w:ilvl w:val="2"/>
          <w:numId w:val="20"/>
        </w:numPr>
        <w:spacing w:after="0" w:line="480" w:lineRule="auto"/>
        <w:ind w:left="851"/>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Perdagangan</w:t>
      </w:r>
    </w:p>
    <w:p w:rsidR="00F855D9" w:rsidRPr="00F855D9" w:rsidRDefault="00F855D9" w:rsidP="00915C1B">
      <w:pPr>
        <w:widowControl w:val="0"/>
        <w:spacing w:after="0" w:line="480" w:lineRule="auto"/>
        <w:ind w:left="491"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Perdagangan   adalah   tatanan   kegiatan   yang   terkait dengan transaksi Barang dan/atau Jasa di dalam negeri dan  melampaui  batas  </w:t>
      </w:r>
      <w:r w:rsidRPr="00F855D9">
        <w:rPr>
          <w:rFonts w:ascii="Times New Roman" w:eastAsia="PMingLiU" w:hAnsi="Times New Roman" w:cs="Times New Roman"/>
          <w:bCs/>
          <w:color w:val="000000"/>
          <w:kern w:val="2"/>
          <w:sz w:val="24"/>
          <w:szCs w:val="24"/>
          <w:lang w:eastAsia="zh-TW"/>
        </w:rPr>
        <w:lastRenderedPageBreak/>
        <w:t>wilayah  negara  dengan  tujuan pengalihan   hak   atas Barang   dan/atau   Jasa   untuk memperoleh imbalan atau kompensasi.</w:t>
      </w:r>
      <w:r w:rsidRPr="00F855D9">
        <w:rPr>
          <w:rFonts w:ascii="Times New Roman" w:eastAsia="PMingLiU" w:hAnsi="Times New Roman" w:cs="Times New Roman"/>
          <w:bCs/>
          <w:color w:val="000000"/>
          <w:kern w:val="2"/>
          <w:sz w:val="24"/>
          <w:szCs w:val="24"/>
          <w:vertAlign w:val="superscript"/>
          <w:lang w:eastAsia="zh-TW"/>
        </w:rPr>
        <w:footnoteReference w:id="23"/>
      </w:r>
    </w:p>
    <w:p w:rsidR="00F855D9" w:rsidRPr="00F855D9" w:rsidRDefault="00F855D9" w:rsidP="00915C1B">
      <w:pPr>
        <w:widowControl w:val="0"/>
        <w:spacing w:after="0" w:line="480" w:lineRule="auto"/>
        <w:ind w:left="491"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Perdagangan ada beberapa macam, yaitu :</w:t>
      </w:r>
      <w:r w:rsidRPr="00F855D9">
        <w:rPr>
          <w:rFonts w:ascii="Times New Roman" w:eastAsia="PMingLiU" w:hAnsi="Times New Roman" w:cs="Times New Roman"/>
          <w:bCs/>
          <w:color w:val="000000"/>
          <w:kern w:val="2"/>
          <w:sz w:val="24"/>
          <w:szCs w:val="24"/>
          <w:vertAlign w:val="superscript"/>
          <w:lang w:eastAsia="zh-TW"/>
        </w:rPr>
        <w:footnoteReference w:id="24"/>
      </w:r>
      <w:r w:rsidRPr="00F855D9">
        <w:rPr>
          <w:rFonts w:ascii="Times New Roman" w:eastAsia="PMingLiU" w:hAnsi="Times New Roman" w:cs="Times New Roman"/>
          <w:bCs/>
          <w:color w:val="000000"/>
          <w:kern w:val="2"/>
          <w:sz w:val="24"/>
          <w:szCs w:val="24"/>
          <w:lang w:eastAsia="zh-TW"/>
        </w:rPr>
        <w:t xml:space="preserve"> </w:t>
      </w:r>
    </w:p>
    <w:p w:rsidR="00F855D9" w:rsidRPr="00F855D9" w:rsidRDefault="00F855D9" w:rsidP="003D7355">
      <w:pPr>
        <w:widowControl w:val="0"/>
        <w:numPr>
          <w:ilvl w:val="0"/>
          <w:numId w:val="25"/>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Perdagangan  dalam  negeri  adalah  perdagangan  barang dan/atau jasa dalam wilayah Negara Kesatuan Republik Indonesia yang tidak termasuk perdagangan luar negeri.</w:t>
      </w:r>
    </w:p>
    <w:p w:rsidR="00F855D9" w:rsidRPr="00F855D9" w:rsidRDefault="00F855D9" w:rsidP="003D7355">
      <w:pPr>
        <w:widowControl w:val="0"/>
        <w:numPr>
          <w:ilvl w:val="0"/>
          <w:numId w:val="25"/>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Perdagangan   luar   negeri   adalah   perdagangan   yang mencakup kegiatan ekspor dan/atau impor atas barang dan/atau   perdagangan   jasa   yang   melampaui   batas wilayah negara.</w:t>
      </w:r>
    </w:p>
    <w:p w:rsidR="00F855D9" w:rsidRPr="00F855D9" w:rsidRDefault="00F855D9" w:rsidP="003D7355">
      <w:pPr>
        <w:widowControl w:val="0"/>
        <w:numPr>
          <w:ilvl w:val="0"/>
          <w:numId w:val="25"/>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Perdagangan    perbatasan    adalah perdagangan    yang dilakukan  oleh  warga  negara  Indonesia  yang  bertempat tinggal di daerah perbatasan Indonesia dengan penduduk negara tetangga untuk memenuhi kebutuhan sehari-hari.</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967E1A" w:rsidRDefault="00F855D9" w:rsidP="00967E1A">
      <w:pPr>
        <w:pStyle w:val="ListParagraph"/>
        <w:widowControl w:val="0"/>
        <w:numPr>
          <w:ilvl w:val="2"/>
          <w:numId w:val="20"/>
        </w:numPr>
        <w:spacing w:after="0" w:line="480" w:lineRule="auto"/>
        <w:ind w:left="851"/>
        <w:jc w:val="both"/>
        <w:rPr>
          <w:rFonts w:ascii="Times New Roman" w:eastAsia="PMingLiU" w:hAnsi="Times New Roman" w:cs="Times New Roman"/>
          <w:b/>
          <w:bCs/>
          <w:color w:val="000000"/>
          <w:kern w:val="2"/>
          <w:sz w:val="24"/>
          <w:szCs w:val="24"/>
          <w:lang w:eastAsia="zh-TW"/>
        </w:rPr>
      </w:pPr>
      <w:r w:rsidRPr="00967E1A">
        <w:rPr>
          <w:rFonts w:ascii="Times New Roman" w:eastAsia="PMingLiU" w:hAnsi="Times New Roman" w:cs="Times New Roman"/>
          <w:b/>
          <w:bCs/>
          <w:color w:val="000000"/>
          <w:kern w:val="2"/>
          <w:sz w:val="24"/>
          <w:szCs w:val="24"/>
          <w:lang w:eastAsia="zh-TW"/>
        </w:rPr>
        <w:t>Jasa</w:t>
      </w:r>
    </w:p>
    <w:p w:rsidR="00F855D9" w:rsidRPr="00F855D9" w:rsidRDefault="00F855D9" w:rsidP="00915C1B">
      <w:pPr>
        <w:widowControl w:val="0"/>
        <w:spacing w:after="0" w:line="480" w:lineRule="auto"/>
        <w:ind w:left="567"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Jasa  adalah  setiap  layanan  dan  unjuk  kerja  berbentuk pekerjaan    atau    hasil kerja    yang    dicapai,    yang diperdagangkan  oleh  satu  pihak  ke  pihak  lain  dalam masyarakat    untuk    dimanfaatkan    oleh    konsumen atau pelaku usaha.</w:t>
      </w:r>
      <w:r w:rsidRPr="00F855D9">
        <w:rPr>
          <w:rFonts w:ascii="Times New Roman" w:eastAsia="PMingLiU" w:hAnsi="Times New Roman" w:cs="Times New Roman"/>
          <w:bCs/>
          <w:color w:val="000000"/>
          <w:kern w:val="2"/>
          <w:sz w:val="24"/>
          <w:szCs w:val="24"/>
          <w:vertAlign w:val="superscript"/>
          <w:lang w:eastAsia="zh-TW"/>
        </w:rPr>
        <w:footnoteReference w:id="25"/>
      </w:r>
      <w:r w:rsidRPr="00F855D9">
        <w:rPr>
          <w:rFonts w:ascii="Times New Roman" w:eastAsia="PMingLiU" w:hAnsi="Times New Roman" w:cs="Times New Roman"/>
          <w:bCs/>
          <w:color w:val="000000"/>
          <w:kern w:val="2"/>
          <w:sz w:val="24"/>
          <w:szCs w:val="24"/>
          <w:lang w:eastAsia="zh-TW"/>
        </w:rPr>
        <w:t>Ada beberapa definisi jasa yang dikemukakan oleh beberapa ahli. Diantaranya ialah menurut Philip Kotler seperti yang dikutip J. Supranto yang mendefinisikan jasa ialah setiap tindakan atau kegiatan yang dapat ditawarkan oleh satu pihak kepada pihak lain yang pada dasarnya tidak berwujud dan tidak mengakibatkan kepemilikan apapun. Produksinya dapat dikaitkan atau tidak dikaitkan pada satu produk fisik.</w:t>
      </w:r>
      <w:r w:rsidRPr="00F855D9">
        <w:rPr>
          <w:rFonts w:ascii="Times New Roman" w:eastAsia="PMingLiU" w:hAnsi="Times New Roman" w:cs="Times New Roman"/>
          <w:bCs/>
          <w:color w:val="000000"/>
          <w:kern w:val="2"/>
          <w:sz w:val="24"/>
          <w:szCs w:val="24"/>
          <w:vertAlign w:val="superscript"/>
          <w:lang w:eastAsia="zh-TW"/>
        </w:rPr>
        <w:footnoteReference w:id="26"/>
      </w:r>
      <w:r w:rsidRPr="00F855D9">
        <w:rPr>
          <w:rFonts w:ascii="Times New Roman" w:eastAsia="PMingLiU" w:hAnsi="Times New Roman" w:cs="Times New Roman"/>
          <w:bCs/>
          <w:color w:val="000000"/>
          <w:kern w:val="2"/>
          <w:sz w:val="24"/>
          <w:szCs w:val="24"/>
          <w:lang w:eastAsia="zh-TW"/>
        </w:rPr>
        <w:t xml:space="preserve"> Menurut Lovelock jasa pada dasarnya dapat dibedakan menjadi 3 macam sebagaimana dikemukakan dalam Sudarminto yang </w:t>
      </w:r>
      <w:r w:rsidRPr="00F855D9">
        <w:rPr>
          <w:rFonts w:ascii="Times New Roman" w:eastAsia="PMingLiU" w:hAnsi="Times New Roman" w:cs="Times New Roman"/>
          <w:bCs/>
          <w:color w:val="000000"/>
          <w:kern w:val="2"/>
          <w:sz w:val="24"/>
          <w:szCs w:val="24"/>
          <w:lang w:eastAsia="zh-TW"/>
        </w:rPr>
        <w:lastRenderedPageBreak/>
        <w:t>membedakannya adalah sebagai berikut :</w:t>
      </w:r>
      <w:r w:rsidRPr="00F855D9">
        <w:rPr>
          <w:rFonts w:ascii="Times New Roman" w:eastAsia="PMingLiU" w:hAnsi="Times New Roman" w:cs="Times New Roman"/>
          <w:bCs/>
          <w:color w:val="000000"/>
          <w:kern w:val="2"/>
          <w:sz w:val="24"/>
          <w:szCs w:val="24"/>
          <w:vertAlign w:val="superscript"/>
          <w:lang w:eastAsia="zh-TW"/>
        </w:rPr>
        <w:footnoteReference w:id="27"/>
      </w:r>
      <w:r w:rsidRPr="00F855D9">
        <w:rPr>
          <w:rFonts w:ascii="Times New Roman" w:eastAsia="PMingLiU" w:hAnsi="Times New Roman" w:cs="Times New Roman"/>
          <w:bCs/>
          <w:color w:val="000000"/>
          <w:kern w:val="2"/>
          <w:sz w:val="24"/>
          <w:szCs w:val="24"/>
          <w:lang w:eastAsia="zh-TW"/>
        </w:rPr>
        <w:t xml:space="preserve">  </w:t>
      </w:r>
    </w:p>
    <w:p w:rsidR="00F855D9" w:rsidRPr="00F855D9" w:rsidRDefault="00F855D9" w:rsidP="003D7355">
      <w:pPr>
        <w:widowControl w:val="0"/>
        <w:numPr>
          <w:ilvl w:val="0"/>
          <w:numId w:val="44"/>
        </w:numPr>
        <w:spacing w:after="0" w:line="240" w:lineRule="auto"/>
        <w:ind w:left="1701"/>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Rented Goods Service</w:t>
      </w:r>
    </w:p>
    <w:p w:rsidR="00F855D9" w:rsidRPr="00F855D9" w:rsidRDefault="00F855D9" w:rsidP="00915C1B">
      <w:pPr>
        <w:widowControl w:val="0"/>
        <w:spacing w:after="0" w:line="24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Dalam jenis ini, konsumen menyewa dan menggunakan suatu produk berdasarkan tarif yang telah ditetapkan selama jangka waktu tertentu konsumen hanya dapat menggunakan produk tersebut, sedangkan kepemilikannya tetap berada pada pihak perusahaan atau perorangan yang menyewakannya contoh: perusahaan penyeaan mobil, penyewaan hotel, komputer, apartemen dan sebagainya. </w:t>
      </w:r>
    </w:p>
    <w:p w:rsidR="00F855D9" w:rsidRPr="00F855D9" w:rsidRDefault="00F855D9" w:rsidP="003D7355">
      <w:pPr>
        <w:widowControl w:val="0"/>
        <w:numPr>
          <w:ilvl w:val="0"/>
          <w:numId w:val="44"/>
        </w:numPr>
        <w:spacing w:after="0" w:line="240" w:lineRule="auto"/>
        <w:ind w:left="1701"/>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 xml:space="preserve">Owned Goods Service </w:t>
      </w:r>
    </w:p>
    <w:p w:rsidR="00F855D9" w:rsidRPr="00F855D9" w:rsidRDefault="00F855D9" w:rsidP="00915C1B">
      <w:pPr>
        <w:widowControl w:val="0"/>
        <w:spacing w:after="0" w:line="240" w:lineRule="auto"/>
        <w:ind w:left="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Dalam jenis ini, produk-produk yang dimiliki konsumen dikembangkan atau dirawat oleh perusahaan jasa. Jenis jasa ini juga mencakup perubahan bentuk  produk (barang) yang dimiliki konsumen. Contoh: jasa perbaikan mobil, AC, salon kecantikan dan sebagainya. </w:t>
      </w:r>
    </w:p>
    <w:p w:rsidR="00F855D9" w:rsidRPr="00F855D9" w:rsidRDefault="00F855D9" w:rsidP="003D7355">
      <w:pPr>
        <w:widowControl w:val="0"/>
        <w:numPr>
          <w:ilvl w:val="0"/>
          <w:numId w:val="44"/>
        </w:numPr>
        <w:spacing w:after="0" w:line="240" w:lineRule="auto"/>
        <w:ind w:left="1701"/>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Non Goods Service</w:t>
      </w:r>
    </w:p>
    <w:p w:rsidR="00F855D9" w:rsidRPr="00F855D9" w:rsidRDefault="00F855D9" w:rsidP="00915C1B">
      <w:pPr>
        <w:widowControl w:val="0"/>
        <w:spacing w:after="0" w:line="240" w:lineRule="auto"/>
        <w:ind w:left="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Dalam jenis ini adalah jasa personal bersifat </w:t>
      </w:r>
      <w:r w:rsidRPr="00F855D9">
        <w:rPr>
          <w:rFonts w:ascii="Times New Roman" w:eastAsia="PMingLiU" w:hAnsi="Times New Roman" w:cs="Times New Roman"/>
          <w:bCs/>
          <w:i/>
          <w:color w:val="000000"/>
          <w:kern w:val="2"/>
          <w:sz w:val="24"/>
          <w:szCs w:val="24"/>
          <w:lang w:eastAsia="zh-TW"/>
        </w:rPr>
        <w:t>intangible</w:t>
      </w:r>
      <w:r w:rsidRPr="00F855D9">
        <w:rPr>
          <w:rFonts w:ascii="Times New Roman" w:eastAsia="PMingLiU" w:hAnsi="Times New Roman" w:cs="Times New Roman"/>
          <w:bCs/>
          <w:color w:val="000000"/>
          <w:kern w:val="2"/>
          <w:sz w:val="24"/>
          <w:szCs w:val="24"/>
          <w:lang w:eastAsia="zh-TW"/>
        </w:rPr>
        <w:t xml:space="preserve"> (tidak berbentuk produk fisik) ditawarkan pada para pelanggan. Contoh : jasa bank, jasa asuransi, jasa pendidikan, jasa ekspedisi dsb.</w:t>
      </w:r>
    </w:p>
    <w:p w:rsidR="00F855D9" w:rsidRPr="00F855D9" w:rsidRDefault="00F855D9" w:rsidP="00F855D9">
      <w:pPr>
        <w:widowControl w:val="0"/>
        <w:spacing w:after="0" w:line="24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240" w:lineRule="auto"/>
        <w:jc w:val="both"/>
        <w:rPr>
          <w:rFonts w:ascii="Times New Roman" w:eastAsia="PMingLiU" w:hAnsi="Times New Roman" w:cs="Times New Roman"/>
          <w:bCs/>
          <w:color w:val="000000"/>
          <w:kern w:val="2"/>
          <w:sz w:val="24"/>
          <w:szCs w:val="24"/>
          <w:lang w:eastAsia="zh-TW"/>
        </w:rPr>
      </w:pPr>
    </w:p>
    <w:p w:rsidR="00F855D9" w:rsidRPr="00967E1A" w:rsidRDefault="00F855D9" w:rsidP="00967E1A">
      <w:pPr>
        <w:pStyle w:val="ListParagraph"/>
        <w:widowControl w:val="0"/>
        <w:numPr>
          <w:ilvl w:val="2"/>
          <w:numId w:val="20"/>
        </w:numPr>
        <w:spacing w:after="0" w:line="480" w:lineRule="auto"/>
        <w:ind w:left="993"/>
        <w:jc w:val="both"/>
        <w:rPr>
          <w:rFonts w:ascii="Times New Roman" w:eastAsia="PMingLiU" w:hAnsi="Times New Roman" w:cs="Times New Roman"/>
          <w:b/>
          <w:bCs/>
          <w:color w:val="000000"/>
          <w:kern w:val="2"/>
          <w:sz w:val="24"/>
          <w:szCs w:val="24"/>
          <w:lang w:eastAsia="zh-TW"/>
        </w:rPr>
      </w:pPr>
      <w:r w:rsidRPr="00967E1A">
        <w:rPr>
          <w:rFonts w:ascii="Times New Roman" w:eastAsia="PMingLiU" w:hAnsi="Times New Roman" w:cs="Times New Roman"/>
          <w:b/>
          <w:bCs/>
          <w:color w:val="000000"/>
          <w:kern w:val="2"/>
          <w:sz w:val="24"/>
          <w:szCs w:val="24"/>
          <w:lang w:eastAsia="zh-TW"/>
        </w:rPr>
        <w:t>Konstruksi</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Pengertian "konstruksi" adalah suatu kegiatan membangun sarana maupun prasarana yang meliputi pembangunan gedung (</w:t>
      </w:r>
      <w:r w:rsidRPr="00F855D9">
        <w:rPr>
          <w:rFonts w:ascii="Times New Roman" w:eastAsia="PMingLiU" w:hAnsi="Times New Roman" w:cs="Times New Roman"/>
          <w:bCs/>
          <w:i/>
          <w:color w:val="000000"/>
          <w:kern w:val="2"/>
          <w:sz w:val="24"/>
          <w:szCs w:val="24"/>
          <w:lang w:eastAsia="zh-TW"/>
        </w:rPr>
        <w:t>building construction)</w:t>
      </w:r>
      <w:r w:rsidRPr="00F855D9">
        <w:rPr>
          <w:rFonts w:ascii="Times New Roman" w:eastAsia="PMingLiU" w:hAnsi="Times New Roman" w:cs="Times New Roman"/>
          <w:bCs/>
          <w:color w:val="000000"/>
          <w:kern w:val="2"/>
          <w:sz w:val="24"/>
          <w:szCs w:val="24"/>
          <w:lang w:eastAsia="zh-TW"/>
        </w:rPr>
        <w:t>, pembangunan prasarana sipil (</w:t>
      </w:r>
      <w:r w:rsidRPr="00F855D9">
        <w:rPr>
          <w:rFonts w:ascii="Times New Roman" w:eastAsia="PMingLiU" w:hAnsi="Times New Roman" w:cs="Times New Roman"/>
          <w:bCs/>
          <w:i/>
          <w:color w:val="000000"/>
          <w:kern w:val="2"/>
          <w:sz w:val="24"/>
          <w:szCs w:val="24"/>
          <w:lang w:eastAsia="zh-TW"/>
        </w:rPr>
        <w:t>Civil Engineer</w:t>
      </w:r>
      <w:r w:rsidRPr="00F855D9">
        <w:rPr>
          <w:rFonts w:ascii="Times New Roman" w:eastAsia="PMingLiU" w:hAnsi="Times New Roman" w:cs="Times New Roman"/>
          <w:bCs/>
          <w:color w:val="000000"/>
          <w:kern w:val="2"/>
          <w:sz w:val="24"/>
          <w:szCs w:val="24"/>
          <w:lang w:eastAsia="zh-TW"/>
        </w:rPr>
        <w:t>), dan instalasi mekanikal dan elektrikal.</w:t>
      </w:r>
      <w:r w:rsidRPr="00F855D9">
        <w:rPr>
          <w:rFonts w:ascii="Times New Roman" w:eastAsia="PMingLiU" w:hAnsi="Times New Roman" w:cs="Times New Roman"/>
          <w:bCs/>
          <w:color w:val="000000"/>
          <w:kern w:val="2"/>
          <w:sz w:val="24"/>
          <w:szCs w:val="24"/>
          <w:vertAlign w:val="superscript"/>
          <w:lang w:eastAsia="zh-TW"/>
        </w:rPr>
        <w:footnoteReference w:id="28"/>
      </w:r>
      <w:r w:rsidRPr="00F855D9">
        <w:rPr>
          <w:rFonts w:ascii="Times New Roman" w:eastAsia="PMingLiU" w:hAnsi="Times New Roman" w:cs="Times New Roman"/>
          <w:bCs/>
          <w:color w:val="000000"/>
          <w:kern w:val="2"/>
          <w:sz w:val="24"/>
          <w:szCs w:val="24"/>
          <w:lang w:eastAsia="zh-TW"/>
        </w:rPr>
        <w:t xml:space="preserve"> Pada umumnya kegiatan konstruksi dimulai dari perencanaan yang dilakukan oleh konsultan perencana (</w:t>
      </w:r>
      <w:r w:rsidRPr="00F855D9">
        <w:rPr>
          <w:rFonts w:ascii="Times New Roman" w:eastAsia="PMingLiU" w:hAnsi="Times New Roman" w:cs="Times New Roman"/>
          <w:bCs/>
          <w:i/>
          <w:color w:val="000000"/>
          <w:kern w:val="2"/>
          <w:sz w:val="24"/>
          <w:szCs w:val="24"/>
          <w:lang w:eastAsia="zh-TW"/>
        </w:rPr>
        <w:t>team Leader</w:t>
      </w:r>
      <w:r w:rsidRPr="00F855D9">
        <w:rPr>
          <w:rFonts w:ascii="Times New Roman" w:eastAsia="PMingLiU" w:hAnsi="Times New Roman" w:cs="Times New Roman"/>
          <w:bCs/>
          <w:color w:val="000000"/>
          <w:kern w:val="2"/>
          <w:sz w:val="24"/>
          <w:szCs w:val="24"/>
          <w:lang w:eastAsia="zh-TW"/>
        </w:rPr>
        <w:t xml:space="preserve">) dan kemudian dilaksanakan oleh kontraktor konstruksi yang manager proyek/kepala proyek. Orang-orang ini bekerja didalam kantor, sedangkan pelaksanaan dilapangan dilakukan oleh mandor proyek yang mengawasi buruh bangunan, tukang dan ahli bangunan lainnya untuk menyelesaikan fisik sebuah konstruksi. Transfer perintah tersebut dilakukan oleh pelaksana lapangan. Dalam pelaksanaan bangunan ini, juga diawasi oleh </w:t>
      </w:r>
      <w:r w:rsidRPr="00F855D9">
        <w:rPr>
          <w:rFonts w:ascii="Times New Roman" w:eastAsia="PMingLiU" w:hAnsi="Times New Roman" w:cs="Times New Roman"/>
          <w:bCs/>
          <w:color w:val="000000"/>
          <w:kern w:val="2"/>
          <w:sz w:val="24"/>
          <w:szCs w:val="24"/>
          <w:lang w:eastAsia="zh-TW"/>
        </w:rPr>
        <w:lastRenderedPageBreak/>
        <w:t>konsultan pengawas (</w:t>
      </w:r>
      <w:r w:rsidRPr="00F855D9">
        <w:rPr>
          <w:rFonts w:ascii="Times New Roman" w:eastAsia="PMingLiU" w:hAnsi="Times New Roman" w:cs="Times New Roman"/>
          <w:bCs/>
          <w:i/>
          <w:color w:val="000000"/>
          <w:kern w:val="2"/>
          <w:sz w:val="24"/>
          <w:szCs w:val="24"/>
          <w:lang w:eastAsia="zh-TW"/>
        </w:rPr>
        <w:t>Supervision Engineer</w:t>
      </w:r>
      <w:r w:rsidRPr="00F855D9">
        <w:rPr>
          <w:rFonts w:ascii="Times New Roman" w:eastAsia="PMingLiU" w:hAnsi="Times New Roman" w:cs="Times New Roman"/>
          <w:bCs/>
          <w:color w:val="000000"/>
          <w:kern w:val="2"/>
          <w:sz w:val="24"/>
          <w:szCs w:val="24"/>
          <w:lang w:eastAsia="zh-TW"/>
        </w:rPr>
        <w:t>).</w:t>
      </w:r>
      <w:r w:rsidRPr="00F855D9">
        <w:rPr>
          <w:rFonts w:ascii="Times New Roman" w:eastAsia="PMingLiU" w:hAnsi="Times New Roman" w:cs="Times New Roman"/>
          <w:bCs/>
          <w:color w:val="000000"/>
          <w:kern w:val="2"/>
          <w:sz w:val="24"/>
          <w:szCs w:val="24"/>
          <w:vertAlign w:val="superscript"/>
          <w:lang w:eastAsia="zh-TW"/>
        </w:rPr>
        <w:footnoteReference w:id="29"/>
      </w:r>
      <w:r w:rsidRPr="00F855D9">
        <w:rPr>
          <w:rFonts w:ascii="Times New Roman" w:eastAsia="PMingLiU" w:hAnsi="Times New Roman" w:cs="Times New Roman"/>
          <w:bCs/>
          <w:color w:val="000000"/>
          <w:kern w:val="2"/>
          <w:sz w:val="24"/>
          <w:szCs w:val="24"/>
          <w:lang w:eastAsia="zh-TW"/>
        </w:rPr>
        <w:t xml:space="preserve"> Jasa konstruksi adalah layanan jasa konsultansi perencanaan pekerjaan konstruksi, layanan jasa pelaksanaan pekerjaan konstruksi, dan layanan jasa konsultansi pengawasan pekerjaan konstruksi.</w:t>
      </w:r>
      <w:r w:rsidRPr="00F855D9">
        <w:rPr>
          <w:rFonts w:ascii="Times New Roman" w:eastAsia="PMingLiU" w:hAnsi="Times New Roman" w:cs="Times New Roman"/>
          <w:bCs/>
          <w:color w:val="000000"/>
          <w:kern w:val="2"/>
          <w:sz w:val="24"/>
          <w:szCs w:val="24"/>
          <w:vertAlign w:val="superscript"/>
          <w:lang w:eastAsia="zh-TW"/>
        </w:rPr>
        <w:footnoteReference w:id="30"/>
      </w:r>
    </w:p>
    <w:p w:rsidR="00F855D9" w:rsidRPr="00967E1A" w:rsidRDefault="00F855D9" w:rsidP="00967E1A">
      <w:pPr>
        <w:pStyle w:val="ListParagraph"/>
        <w:widowControl w:val="0"/>
        <w:numPr>
          <w:ilvl w:val="2"/>
          <w:numId w:val="20"/>
        </w:numPr>
        <w:spacing w:after="0" w:line="480" w:lineRule="auto"/>
        <w:ind w:left="993"/>
        <w:jc w:val="both"/>
        <w:rPr>
          <w:rFonts w:ascii="Times New Roman" w:eastAsia="PMingLiU" w:hAnsi="Times New Roman" w:cs="Times New Roman"/>
          <w:b/>
          <w:bCs/>
          <w:color w:val="000000"/>
          <w:kern w:val="2"/>
          <w:sz w:val="24"/>
          <w:szCs w:val="24"/>
          <w:lang w:eastAsia="zh-TW"/>
        </w:rPr>
      </w:pPr>
      <w:r w:rsidRPr="00967E1A">
        <w:rPr>
          <w:rFonts w:ascii="Times New Roman" w:eastAsia="PMingLiU" w:hAnsi="Times New Roman" w:cs="Times New Roman"/>
          <w:b/>
          <w:bCs/>
          <w:color w:val="000000"/>
          <w:kern w:val="2"/>
          <w:sz w:val="24"/>
          <w:szCs w:val="24"/>
          <w:lang w:eastAsia="zh-TW"/>
        </w:rPr>
        <w:t>Masyarakat Ekonomi ASEAN</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Masyarakat Ekonomi ASEAN merupakan suatu tujuan akhir dari integrasi ekonomi  yang  ingin  dicapai  masyarakat  ASEAN  sebagaimana  tercantum  dalam Visi  ASEAN  2020,  di  mana  di  dalamnya  terdapat  konvergensi  kepentingan  dari negara-negara  anggota  ASEAN  untuk  memperdalam  dan  memperluas  integrasi ekonomi.  Sebuah  perekonomian  yang  terbuka,  berorientasi  keluar,  inklusif  dan bertumpu    pada    kekuatan    pasar    merupakan    prinsip    dasar    dalam    upaya pembentukan  komunitas  ini.  Berdasarkan  cetak  biru  yang  telah  diadopsi  oleh seluruh  negara  anggota  ASEAN,  kawasan  Asia  Tenggara  melalui  pembentukan MEA  akan  ditransformasikan  menjadi  sebuah  pasar  tunggal  dan  basis  produksi. Sebuah  kawasan  yang  sangat  kompetitif;  sebuah  kawasan  dengan  pembangunan ekonomi  yang  merata;  dan  sebuah  kawasan  yang  terintegrasi  penuh  dengan perekonomian global.</w:t>
      </w:r>
      <w:r w:rsidRPr="00F855D9">
        <w:rPr>
          <w:rFonts w:ascii="Times New Roman" w:eastAsia="PMingLiU" w:hAnsi="Times New Roman" w:cs="Times New Roman"/>
          <w:bCs/>
          <w:color w:val="000000"/>
          <w:kern w:val="2"/>
          <w:sz w:val="24"/>
          <w:szCs w:val="24"/>
          <w:vertAlign w:val="superscript"/>
          <w:lang w:eastAsia="zh-TW"/>
        </w:rPr>
        <w:footnoteReference w:id="31"/>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Sebagai sebuah pasar tunggal dan basis produksi, terdapat lima elemen inti yang  mendasari  MEA,  yaitu   pergerakan  bebas  barang, pergerakan  bebas jasa, pergerakan   bebas   investasi,    pergerakan   bebas   </w:t>
      </w:r>
      <w:r w:rsidRPr="00F855D9">
        <w:rPr>
          <w:rFonts w:ascii="Times New Roman" w:eastAsia="PMingLiU" w:hAnsi="Times New Roman" w:cs="Times New Roman"/>
          <w:bCs/>
          <w:color w:val="000000"/>
          <w:kern w:val="2"/>
          <w:sz w:val="24"/>
          <w:szCs w:val="24"/>
          <w:lang w:eastAsia="zh-TW"/>
        </w:rPr>
        <w:lastRenderedPageBreak/>
        <w:t>modal,   dan  pergerakan bebas pekerja terampil. Kelima elemen inti dalam MEA sebagai pasar tunggal  dan  basis  produksi  ini  dilengkapi  lagi  dengan  dua  komponen  penting lainnya,  yaitu  sektor  integrasi  prioritas  yang terdiri  dari  dua belas  sektor (produk berbasis  pertanian.  transportasi udara,  otomotif,  elektronik, perikanan,  pelayanan kesehatan,   logistik,   produk   berbasis   logam,   tekstil,   pariwisata,   dan   produk berbasis kayu) dan sektor pangan, pertanian dan kehutanan.</w:t>
      </w:r>
      <w:r w:rsidRPr="00F855D9">
        <w:rPr>
          <w:rFonts w:ascii="Times New Roman" w:eastAsia="PMingLiU" w:hAnsi="Times New Roman" w:cs="Times New Roman"/>
          <w:bCs/>
          <w:color w:val="000000"/>
          <w:kern w:val="2"/>
          <w:sz w:val="24"/>
          <w:szCs w:val="24"/>
          <w:vertAlign w:val="superscript"/>
          <w:lang w:eastAsia="zh-TW"/>
        </w:rPr>
        <w:footnoteReference w:id="32"/>
      </w:r>
    </w:p>
    <w:p w:rsidR="00F855D9" w:rsidRPr="00F855D9" w:rsidRDefault="00F855D9" w:rsidP="003D7355">
      <w:pPr>
        <w:widowControl w:val="0"/>
        <w:numPr>
          <w:ilvl w:val="0"/>
          <w:numId w:val="19"/>
        </w:numPr>
        <w:spacing w:after="0" w:line="480" w:lineRule="auto"/>
        <w:ind w:left="426"/>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Kerangka Teori</w:t>
      </w:r>
    </w:p>
    <w:p w:rsidR="00F855D9" w:rsidRPr="00F855D9" w:rsidRDefault="00F855D9" w:rsidP="003D7355">
      <w:pPr>
        <w:widowControl w:val="0"/>
        <w:numPr>
          <w:ilvl w:val="2"/>
          <w:numId w:val="43"/>
        </w:numPr>
        <w:spacing w:after="0" w:line="480" w:lineRule="auto"/>
        <w:ind w:left="851"/>
        <w:contextualSpacing/>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Teori Utilitarianisme oleh Jeremy Bentham</w:t>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Bentham merupakan salah seorang filsuf besar aliran empirisme yang berpengaruh di bidang moral dan politik. Pemikiran filsafat hukum Bentham dipengaruhi oleh banyak filsuf sebelumnya. Gagasan penting Bentham tentang </w:t>
      </w:r>
      <w:r w:rsidRPr="00F855D9">
        <w:rPr>
          <w:rFonts w:ascii="Times New Roman" w:eastAsia="PMingLiU" w:hAnsi="Times New Roman" w:cs="Times New Roman"/>
          <w:bCs/>
          <w:i/>
          <w:color w:val="000000"/>
          <w:kern w:val="2"/>
          <w:sz w:val="24"/>
          <w:szCs w:val="24"/>
          <w:lang w:eastAsia="zh-TW"/>
        </w:rPr>
        <w:t>The Greates Happines Principle</w:t>
      </w:r>
      <w:r w:rsidRPr="00F855D9">
        <w:rPr>
          <w:rFonts w:ascii="Times New Roman" w:eastAsia="PMingLiU" w:hAnsi="Times New Roman" w:cs="Times New Roman"/>
          <w:bCs/>
          <w:color w:val="000000"/>
          <w:kern w:val="2"/>
          <w:sz w:val="24"/>
          <w:szCs w:val="24"/>
          <w:lang w:eastAsia="zh-TW"/>
        </w:rPr>
        <w:t xml:space="preserve"> sangat kuat dipengaruhi oleh nama-nama filsuf seperti Protagoras, Epicurus, John Locke, David Hume, Montesquieu dan Thomas Hobbes. Sebagai filsuf pendiri utilitarisme Inggris, Bentham tumbuh menjadi seorang pemikir brilian yang menanamkan pengaruh kukuh bagi para filsuf pelanjut tradisi sesudahnya.</w:t>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Sebagai pendukung teori kegunaan (</w:t>
      </w:r>
      <w:r w:rsidRPr="00F855D9">
        <w:rPr>
          <w:rFonts w:ascii="Times New Roman" w:eastAsia="PMingLiU" w:hAnsi="Times New Roman" w:cs="Times New Roman"/>
          <w:bCs/>
          <w:i/>
          <w:color w:val="000000"/>
          <w:kern w:val="2"/>
          <w:sz w:val="24"/>
          <w:szCs w:val="24"/>
          <w:lang w:eastAsia="zh-TW"/>
        </w:rPr>
        <w:t>utility theory</w:t>
      </w:r>
      <w:r w:rsidRPr="00F855D9">
        <w:rPr>
          <w:rFonts w:ascii="Times New Roman" w:eastAsia="PMingLiU" w:hAnsi="Times New Roman" w:cs="Times New Roman"/>
          <w:bCs/>
          <w:color w:val="000000"/>
          <w:kern w:val="2"/>
          <w:sz w:val="24"/>
          <w:szCs w:val="24"/>
          <w:lang w:eastAsia="zh-TW"/>
        </w:rPr>
        <w:t>), Bentham mengatakan bahwa tujuan hukum harus berguna bagi individu masyakat demi mencapai kebahagiaan sebesar-besarnya.</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 xml:space="preserve">Konsepnya adalah meletakkan kemanfaatan sebagai tujuan utama hukum. Ukurannya adalah kebahagian yang sebesar-besarnya bagi sebanyak-banyaknya orang. </w:t>
      </w:r>
      <w:r w:rsidRPr="00F855D9">
        <w:rPr>
          <w:rFonts w:ascii="Times New Roman" w:eastAsia="PMingLiU" w:hAnsi="Times New Roman" w:cs="Times New Roman"/>
          <w:bCs/>
          <w:color w:val="000000"/>
          <w:kern w:val="2"/>
          <w:sz w:val="24"/>
          <w:szCs w:val="24"/>
          <w:lang w:eastAsia="zh-TW"/>
        </w:rPr>
        <w:lastRenderedPageBreak/>
        <w:t>Penilaian baik-buruk, adil atau tidaknya hukum ini sangat tergantung apakah hukum mampu memberikan kebahagian kepada manusia atau tidak. Kemanfaatan diartikan sama sebagai kebahagiaan (</w:t>
      </w:r>
      <w:r w:rsidRPr="00F855D9">
        <w:rPr>
          <w:rFonts w:ascii="Times New Roman" w:eastAsia="PMingLiU" w:hAnsi="Times New Roman" w:cs="Times New Roman"/>
          <w:bCs/>
          <w:i/>
          <w:color w:val="000000"/>
          <w:kern w:val="2"/>
          <w:sz w:val="24"/>
          <w:szCs w:val="24"/>
          <w:lang w:eastAsia="zh-TW"/>
        </w:rPr>
        <w:t>happiness</w:t>
      </w:r>
      <w:r w:rsidRPr="00F855D9">
        <w:rPr>
          <w:rFonts w:ascii="Times New Roman" w:eastAsia="PMingLiU" w:hAnsi="Times New Roman" w:cs="Times New Roman"/>
          <w:bCs/>
          <w:color w:val="000000"/>
          <w:kern w:val="2"/>
          <w:sz w:val="24"/>
          <w:szCs w:val="24"/>
          <w:lang w:eastAsia="zh-TW"/>
        </w:rPr>
        <w:t>).</w:t>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Prinsip dasar ajaran Bentham menjelaskan bahwa tujuan hukum adalah hukum dapat memberikan jaminan kebahagiaan kepada individu-individu, barulah kepada orang banyak, ”</w:t>
      </w:r>
      <w:r w:rsidRPr="00F855D9">
        <w:rPr>
          <w:rFonts w:ascii="Times New Roman" w:eastAsia="PMingLiU" w:hAnsi="Times New Roman" w:cs="Times New Roman"/>
          <w:bCs/>
          <w:i/>
          <w:color w:val="000000"/>
          <w:kern w:val="2"/>
          <w:sz w:val="24"/>
          <w:szCs w:val="24"/>
          <w:lang w:eastAsia="zh-TW"/>
        </w:rPr>
        <w:t>the greatest happiness of the greatest number</w:t>
      </w:r>
      <w:r w:rsidRPr="00F855D9">
        <w:rPr>
          <w:rFonts w:ascii="Times New Roman" w:eastAsia="PMingLiU" w:hAnsi="Times New Roman" w:cs="Times New Roman"/>
          <w:bCs/>
          <w:color w:val="000000"/>
          <w:kern w:val="2"/>
          <w:sz w:val="24"/>
          <w:szCs w:val="24"/>
          <w:lang w:eastAsia="zh-TW"/>
        </w:rPr>
        <w:t xml:space="preserve">” (kebahagiaan yang sebesar-besarnya dari sebanyak-banyaknya orang). Prinsip ini harus diterapkan secara kuatitatif, karena kualitas kesenangan selalu sama. Untuk mewujudkan kebahagiaan individu dan masyarakat maka perundang-undangan harus mencapai empat tujuan yaitu </w:t>
      </w:r>
      <w:r w:rsidRPr="00F855D9">
        <w:rPr>
          <w:rFonts w:ascii="Times New Roman" w:eastAsia="PMingLiU" w:hAnsi="Times New Roman" w:cs="Times New Roman"/>
          <w:bCs/>
          <w:i/>
          <w:color w:val="000000"/>
          <w:kern w:val="2"/>
          <w:sz w:val="24"/>
          <w:szCs w:val="24"/>
          <w:lang w:eastAsia="zh-TW"/>
        </w:rPr>
        <w:t>to provide subsistence</w:t>
      </w:r>
      <w:r w:rsidRPr="00F855D9">
        <w:rPr>
          <w:rFonts w:ascii="Times New Roman" w:eastAsia="PMingLiU" w:hAnsi="Times New Roman" w:cs="Times New Roman"/>
          <w:bCs/>
          <w:color w:val="000000"/>
          <w:kern w:val="2"/>
          <w:sz w:val="24"/>
          <w:szCs w:val="24"/>
          <w:lang w:eastAsia="zh-TW"/>
        </w:rPr>
        <w:t xml:space="preserve"> (untuk memberi nafkah hidup),  </w:t>
      </w:r>
      <w:r w:rsidRPr="00F855D9">
        <w:rPr>
          <w:rFonts w:ascii="Times New Roman" w:eastAsia="PMingLiU" w:hAnsi="Times New Roman" w:cs="Times New Roman"/>
          <w:bCs/>
          <w:i/>
          <w:color w:val="000000"/>
          <w:kern w:val="2"/>
          <w:sz w:val="24"/>
          <w:szCs w:val="24"/>
          <w:lang w:eastAsia="zh-TW"/>
        </w:rPr>
        <w:t>to Provide abundance</w:t>
      </w:r>
      <w:r w:rsidRPr="00F855D9">
        <w:rPr>
          <w:rFonts w:ascii="Times New Roman" w:eastAsia="PMingLiU" w:hAnsi="Times New Roman" w:cs="Times New Roman"/>
          <w:bCs/>
          <w:color w:val="000000"/>
          <w:kern w:val="2"/>
          <w:sz w:val="24"/>
          <w:szCs w:val="24"/>
          <w:lang w:eastAsia="zh-TW"/>
        </w:rPr>
        <w:t xml:space="preserve"> (untuk memberikan nafkah makanan berlimpah, </w:t>
      </w:r>
      <w:r w:rsidRPr="00F855D9">
        <w:rPr>
          <w:rFonts w:ascii="Times New Roman" w:eastAsia="PMingLiU" w:hAnsi="Times New Roman" w:cs="Times New Roman"/>
          <w:bCs/>
          <w:i/>
          <w:color w:val="000000"/>
          <w:kern w:val="2"/>
          <w:sz w:val="24"/>
          <w:szCs w:val="24"/>
          <w:lang w:eastAsia="zh-TW"/>
        </w:rPr>
        <w:t>to provide security</w:t>
      </w:r>
      <w:r w:rsidRPr="00F855D9">
        <w:rPr>
          <w:rFonts w:ascii="Times New Roman" w:eastAsia="PMingLiU" w:hAnsi="Times New Roman" w:cs="Times New Roman"/>
          <w:bCs/>
          <w:color w:val="000000"/>
          <w:kern w:val="2"/>
          <w:sz w:val="24"/>
          <w:szCs w:val="24"/>
          <w:lang w:eastAsia="zh-TW"/>
        </w:rPr>
        <w:t xml:space="preserve"> (untuk memberikan perlindungan), dan  </w:t>
      </w:r>
      <w:r w:rsidRPr="00F855D9">
        <w:rPr>
          <w:rFonts w:ascii="Times New Roman" w:eastAsia="PMingLiU" w:hAnsi="Times New Roman" w:cs="Times New Roman"/>
          <w:bCs/>
          <w:i/>
          <w:color w:val="000000"/>
          <w:kern w:val="2"/>
          <w:sz w:val="24"/>
          <w:szCs w:val="24"/>
          <w:lang w:eastAsia="zh-TW"/>
        </w:rPr>
        <w:t>to attain equity</w:t>
      </w:r>
      <w:r w:rsidRPr="00F855D9">
        <w:rPr>
          <w:rFonts w:ascii="Times New Roman" w:eastAsia="PMingLiU" w:hAnsi="Times New Roman" w:cs="Times New Roman"/>
          <w:bCs/>
          <w:color w:val="000000"/>
          <w:kern w:val="2"/>
          <w:sz w:val="24"/>
          <w:szCs w:val="24"/>
          <w:lang w:eastAsia="zh-TW"/>
        </w:rPr>
        <w:t xml:space="preserve"> (untuk mencapai persamaan).</w:t>
      </w:r>
      <w:r w:rsidRPr="00F855D9">
        <w:rPr>
          <w:rFonts w:ascii="Times New Roman" w:eastAsia="PMingLiU" w:hAnsi="Times New Roman" w:cs="Times New Roman"/>
          <w:bCs/>
          <w:color w:val="000000"/>
          <w:kern w:val="2"/>
          <w:sz w:val="24"/>
          <w:szCs w:val="24"/>
          <w:vertAlign w:val="superscript"/>
          <w:lang w:eastAsia="zh-TW"/>
        </w:rPr>
        <w:footnoteReference w:id="33"/>
      </w:r>
    </w:p>
    <w:p w:rsidR="00F855D9" w:rsidRPr="00F855D9" w:rsidRDefault="00F855D9" w:rsidP="00915C1B">
      <w:pPr>
        <w:widowControl w:val="0"/>
        <w:spacing w:after="0" w:line="480" w:lineRule="auto"/>
        <w:ind w:left="491"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Undang-undang yang banyak memberikan kebahagiaan pada bagian terbesar masyarakat akan dinilai sebagai undang-undang yang baik. Lebih lanjut Bentham berpendapat bahwa keberadaan negara dan hukum semata-mata sebagai alat untuk mencapai manfaat yang hakiki yaitu kebahagiaan mayoritas rakyat. Ajaran Bentham yang sifat individualis ini tetap memperhatikan kepentingan masyarakat, agar kepentingan idividu yang satu dengan individu yang lain tidak bertabrakan maka harus dibatasi, sehingga tidak terjadi </w:t>
      </w:r>
      <w:r w:rsidRPr="00F855D9">
        <w:rPr>
          <w:rFonts w:ascii="Times New Roman" w:eastAsia="PMingLiU" w:hAnsi="Times New Roman" w:cs="Times New Roman"/>
          <w:bCs/>
          <w:i/>
          <w:color w:val="000000"/>
          <w:kern w:val="2"/>
          <w:sz w:val="24"/>
          <w:szCs w:val="24"/>
          <w:lang w:eastAsia="zh-TW"/>
        </w:rPr>
        <w:t>homo homini lupus</w:t>
      </w:r>
      <w:r w:rsidRPr="00F855D9">
        <w:rPr>
          <w:rFonts w:ascii="Times New Roman" w:eastAsia="PMingLiU" w:hAnsi="Times New Roman" w:cs="Times New Roman"/>
          <w:bCs/>
          <w:color w:val="000000"/>
          <w:kern w:val="2"/>
          <w:sz w:val="24"/>
          <w:szCs w:val="24"/>
          <w:lang w:eastAsia="zh-TW"/>
        </w:rPr>
        <w:t xml:space="preserve">. Teori ini dipakai dalam rangka menganalisis kebijakan pemerintah Indonesia terhadap persaingan perdagangan jasa di </w:t>
      </w:r>
      <w:r w:rsidRPr="00F855D9">
        <w:rPr>
          <w:rFonts w:ascii="Times New Roman" w:eastAsia="PMingLiU" w:hAnsi="Times New Roman" w:cs="Times New Roman"/>
          <w:bCs/>
          <w:color w:val="000000"/>
          <w:kern w:val="2"/>
          <w:sz w:val="24"/>
          <w:szCs w:val="24"/>
          <w:lang w:eastAsia="zh-TW"/>
        </w:rPr>
        <w:lastRenderedPageBreak/>
        <w:t>bidang konstruksi dalam rangka Masyarakat Ekonomi ASEAN, menurut Bentham dalam meraih kebahagian bersama dalam setiap kebijakan yang diambil oleh pemerintah Indonesia bagi pemerintah Indonesia, rakyat Indonesia dan pelaku usaha asing maupun pelaku usaha nasional.</w:t>
      </w:r>
    </w:p>
    <w:p w:rsidR="00F855D9" w:rsidRPr="00F855D9" w:rsidRDefault="00F855D9" w:rsidP="003D7355">
      <w:pPr>
        <w:widowControl w:val="0"/>
        <w:numPr>
          <w:ilvl w:val="2"/>
          <w:numId w:val="43"/>
        </w:numPr>
        <w:spacing w:after="0" w:line="480" w:lineRule="auto"/>
        <w:ind w:left="851"/>
        <w:contextualSpacing/>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 xml:space="preserve">Teori Richard A. Ponser Tentang </w:t>
      </w:r>
      <w:r w:rsidRPr="00F855D9">
        <w:rPr>
          <w:rFonts w:ascii="Times New Roman" w:eastAsia="PMingLiU" w:hAnsi="Times New Roman" w:cs="Times New Roman"/>
          <w:b/>
          <w:bCs/>
          <w:i/>
          <w:color w:val="000000"/>
          <w:kern w:val="2"/>
          <w:sz w:val="24"/>
          <w:szCs w:val="24"/>
          <w:lang w:eastAsia="zh-TW"/>
        </w:rPr>
        <w:t>Economic Analysis Of Law</w:t>
      </w:r>
    </w:p>
    <w:p w:rsidR="00F855D9" w:rsidRPr="00F855D9" w:rsidRDefault="00F855D9" w:rsidP="00915C1B">
      <w:pPr>
        <w:widowControl w:val="0"/>
        <w:spacing w:after="0" w:line="480" w:lineRule="auto"/>
        <w:ind w:left="491"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Pada  tahun  1970-an,  Prof.  Richard  A  Posner  tiba-tiba  menggemparkan  akademi hukum  Stanford  dengan  dua  pernyataan  kontroversial,  beberapa  bulan  setelah  ia  kelar menerbitkan  buku </w:t>
      </w:r>
      <w:r w:rsidRPr="00F855D9">
        <w:rPr>
          <w:rFonts w:ascii="Times New Roman" w:eastAsia="PMingLiU" w:hAnsi="Times New Roman" w:cs="Times New Roman"/>
          <w:bCs/>
          <w:i/>
          <w:color w:val="000000"/>
          <w:kern w:val="2"/>
          <w:sz w:val="24"/>
          <w:szCs w:val="24"/>
          <w:lang w:eastAsia="zh-TW"/>
        </w:rPr>
        <w:t>economic  analysis  of  law</w:t>
      </w:r>
      <w:r w:rsidRPr="00F855D9">
        <w:rPr>
          <w:rFonts w:ascii="Times New Roman" w:eastAsia="PMingLiU" w:hAnsi="Times New Roman" w:cs="Times New Roman"/>
          <w:bCs/>
          <w:color w:val="000000"/>
          <w:kern w:val="2"/>
          <w:sz w:val="24"/>
          <w:szCs w:val="24"/>
          <w:lang w:eastAsia="zh-TW"/>
        </w:rPr>
        <w:t>.</w:t>
      </w:r>
      <w:r w:rsidRPr="00F855D9">
        <w:rPr>
          <w:rFonts w:ascii="Times New Roman" w:eastAsia="PMingLiU" w:hAnsi="Times New Roman" w:cs="Times New Roman"/>
          <w:bCs/>
          <w:color w:val="000000"/>
          <w:kern w:val="2"/>
          <w:sz w:val="24"/>
          <w:szCs w:val="24"/>
          <w:vertAlign w:val="superscript"/>
          <w:lang w:eastAsia="zh-TW"/>
        </w:rPr>
        <w:footnoteReference w:id="34"/>
      </w:r>
      <w:r w:rsidRPr="00F855D9">
        <w:rPr>
          <w:rFonts w:ascii="Times New Roman" w:eastAsia="PMingLiU" w:hAnsi="Times New Roman" w:cs="Times New Roman"/>
          <w:bCs/>
          <w:color w:val="000000"/>
          <w:kern w:val="2"/>
          <w:sz w:val="24"/>
          <w:szCs w:val="24"/>
          <w:lang w:eastAsia="zh-TW"/>
        </w:rPr>
        <w:t xml:space="preserve"> Posner   adalah   penganut </w:t>
      </w:r>
      <w:r w:rsidRPr="00F855D9">
        <w:rPr>
          <w:rFonts w:ascii="Times New Roman" w:eastAsia="PMingLiU" w:hAnsi="Times New Roman" w:cs="Times New Roman"/>
          <w:bCs/>
          <w:i/>
          <w:color w:val="000000"/>
          <w:kern w:val="2"/>
          <w:sz w:val="24"/>
          <w:szCs w:val="24"/>
          <w:lang w:eastAsia="zh-TW"/>
        </w:rPr>
        <w:t>normative   directive</w:t>
      </w:r>
      <w:r w:rsidRPr="00F855D9">
        <w:rPr>
          <w:rFonts w:ascii="Times New Roman" w:eastAsia="PMingLiU" w:hAnsi="Times New Roman" w:cs="Times New Roman"/>
          <w:bCs/>
          <w:color w:val="000000"/>
          <w:kern w:val="2"/>
          <w:sz w:val="24"/>
          <w:szCs w:val="24"/>
          <w:lang w:eastAsia="zh-TW"/>
        </w:rPr>
        <w:t xml:space="preserve">  yang   menyodok agar   hukum seharusnya    mempromosikan    efisiensi    dan    menggunakan    analisis sosial    </w:t>
      </w:r>
      <w:r w:rsidRPr="00F855D9">
        <w:rPr>
          <w:rFonts w:ascii="Times New Roman" w:eastAsia="PMingLiU" w:hAnsi="Times New Roman" w:cs="Times New Roman"/>
          <w:bCs/>
          <w:i/>
          <w:color w:val="000000"/>
          <w:kern w:val="2"/>
          <w:sz w:val="24"/>
          <w:szCs w:val="24"/>
          <w:lang w:eastAsia="zh-TW"/>
        </w:rPr>
        <w:t>wealth maximization</w:t>
      </w:r>
      <w:r w:rsidRPr="00F855D9">
        <w:rPr>
          <w:rFonts w:ascii="Times New Roman" w:eastAsia="PMingLiU" w:hAnsi="Times New Roman" w:cs="Times New Roman"/>
          <w:bCs/>
          <w:color w:val="000000"/>
          <w:kern w:val="2"/>
          <w:sz w:val="24"/>
          <w:szCs w:val="24"/>
          <w:lang w:eastAsia="zh-TW"/>
        </w:rPr>
        <w:t xml:space="preserve"> untuk mencari sistesis theoremanya. Dalam bukunya berjudul “</w:t>
      </w:r>
      <w:r w:rsidRPr="00F855D9">
        <w:rPr>
          <w:rFonts w:ascii="Times New Roman" w:eastAsia="PMingLiU" w:hAnsi="Times New Roman" w:cs="Times New Roman"/>
          <w:bCs/>
          <w:i/>
          <w:color w:val="000000"/>
          <w:kern w:val="2"/>
          <w:sz w:val="24"/>
          <w:szCs w:val="24"/>
          <w:lang w:eastAsia="zh-TW"/>
        </w:rPr>
        <w:t>Frontiers of Legal Theory</w:t>
      </w:r>
      <w:r w:rsidRPr="00F855D9">
        <w:rPr>
          <w:rFonts w:ascii="Times New Roman" w:eastAsia="PMingLiU" w:hAnsi="Times New Roman" w:cs="Times New Roman"/>
          <w:bCs/>
          <w:color w:val="000000"/>
          <w:kern w:val="2"/>
          <w:sz w:val="24"/>
          <w:szCs w:val="24"/>
          <w:lang w:eastAsia="zh-TW"/>
        </w:rPr>
        <w:t xml:space="preserve">”, Posner juga meneliti aspek </w:t>
      </w:r>
      <w:r w:rsidRPr="00F855D9">
        <w:rPr>
          <w:rFonts w:ascii="Times New Roman" w:eastAsia="PMingLiU" w:hAnsi="Times New Roman" w:cs="Times New Roman"/>
          <w:bCs/>
          <w:i/>
          <w:color w:val="000000"/>
          <w:kern w:val="2"/>
          <w:sz w:val="24"/>
          <w:szCs w:val="24"/>
          <w:lang w:eastAsia="zh-TW"/>
        </w:rPr>
        <w:t>heuristic</w:t>
      </w:r>
      <w:r w:rsidRPr="00F855D9">
        <w:rPr>
          <w:rFonts w:ascii="Times New Roman" w:eastAsia="PMingLiU" w:hAnsi="Times New Roman" w:cs="Times New Roman"/>
          <w:bCs/>
          <w:color w:val="000000"/>
          <w:kern w:val="2"/>
          <w:sz w:val="24"/>
          <w:szCs w:val="24"/>
          <w:lang w:eastAsia="zh-TW"/>
        </w:rPr>
        <w:t xml:space="preserve"> dan </w:t>
      </w:r>
      <w:r w:rsidRPr="00F855D9">
        <w:rPr>
          <w:rFonts w:ascii="Times New Roman" w:eastAsia="PMingLiU" w:hAnsi="Times New Roman" w:cs="Times New Roman"/>
          <w:bCs/>
          <w:i/>
          <w:color w:val="000000"/>
          <w:kern w:val="2"/>
          <w:sz w:val="24"/>
          <w:szCs w:val="24"/>
          <w:lang w:eastAsia="zh-TW"/>
        </w:rPr>
        <w:t>descriptive</w:t>
      </w:r>
      <w:r w:rsidRPr="00F855D9">
        <w:rPr>
          <w:rFonts w:ascii="Times New Roman" w:eastAsia="PMingLiU" w:hAnsi="Times New Roman" w:cs="Times New Roman"/>
          <w:bCs/>
          <w:color w:val="000000"/>
          <w:kern w:val="2"/>
          <w:sz w:val="24"/>
          <w:szCs w:val="24"/>
          <w:lang w:eastAsia="zh-TW"/>
        </w:rPr>
        <w:t xml:space="preserve"> dari analisis ekonomi dalam  hukum.  Aspek heuristic ingin  mengkaji  kesatuan  antara  doktrin  hukum  dengan institusi  hukum.  Sementara  aspek </w:t>
      </w:r>
      <w:r w:rsidRPr="00F855D9">
        <w:rPr>
          <w:rFonts w:ascii="Times New Roman" w:eastAsia="PMingLiU" w:hAnsi="Times New Roman" w:cs="Times New Roman"/>
          <w:bCs/>
          <w:i/>
          <w:color w:val="000000"/>
          <w:kern w:val="2"/>
          <w:sz w:val="24"/>
          <w:szCs w:val="24"/>
          <w:lang w:eastAsia="zh-TW"/>
        </w:rPr>
        <w:t>descriptive</w:t>
      </w:r>
      <w:r w:rsidRPr="00F855D9">
        <w:rPr>
          <w:rFonts w:ascii="Times New Roman" w:eastAsia="PMingLiU" w:hAnsi="Times New Roman" w:cs="Times New Roman"/>
          <w:bCs/>
          <w:color w:val="000000"/>
          <w:kern w:val="2"/>
          <w:sz w:val="24"/>
          <w:szCs w:val="24"/>
          <w:lang w:eastAsia="zh-TW"/>
        </w:rPr>
        <w:t xml:space="preserve">   berusaha  mencari  logika  ekonomi  yang mempengaruhi  doktrin  dan  institusi  hukum  hingga  mengakibatkan  perubahan  hukum.</w:t>
      </w:r>
      <w:r w:rsidRPr="00F855D9">
        <w:rPr>
          <w:rFonts w:ascii="Times New Roman" w:eastAsia="PMingLiU" w:hAnsi="Times New Roman" w:cs="Times New Roman"/>
          <w:bCs/>
          <w:color w:val="000000"/>
          <w:kern w:val="2"/>
          <w:sz w:val="24"/>
          <w:szCs w:val="24"/>
          <w:vertAlign w:val="superscript"/>
          <w:lang w:eastAsia="zh-TW"/>
        </w:rPr>
        <w:footnoteReference w:id="35"/>
      </w:r>
    </w:p>
    <w:p w:rsidR="00F855D9" w:rsidRPr="00F855D9" w:rsidRDefault="00F855D9" w:rsidP="00915C1B">
      <w:pPr>
        <w:widowControl w:val="0"/>
        <w:spacing w:after="0" w:line="480" w:lineRule="auto"/>
        <w:ind w:left="491"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Berkaitan  dengan  teori  analisis  ekonomi  dalam  hukum,  Richard  A  Posner menekankan prinsip efisiensi. Posner mendefenisikan efisiensi sebagai kondisi yang mana sumber dayanya dialokasikan sehingga nilainya (</w:t>
      </w:r>
      <w:r w:rsidRPr="00F855D9">
        <w:rPr>
          <w:rFonts w:ascii="Times New Roman" w:eastAsia="PMingLiU" w:hAnsi="Times New Roman" w:cs="Times New Roman"/>
          <w:bCs/>
          <w:i/>
          <w:color w:val="000000"/>
          <w:kern w:val="2"/>
          <w:sz w:val="24"/>
          <w:szCs w:val="24"/>
          <w:lang w:eastAsia="zh-TW"/>
        </w:rPr>
        <w:t>value)</w:t>
      </w:r>
      <w:r w:rsidRPr="00F855D9">
        <w:rPr>
          <w:rFonts w:ascii="Times New Roman" w:eastAsia="PMingLiU" w:hAnsi="Times New Roman" w:cs="Times New Roman"/>
          <w:bCs/>
          <w:color w:val="000000"/>
          <w:kern w:val="2"/>
          <w:sz w:val="24"/>
          <w:szCs w:val="24"/>
          <w:lang w:eastAsia="zh-TW"/>
        </w:rPr>
        <w:t xml:space="preserve"> dimaksimalkan. Dalam analisis ekonomi, efisiensi dalam hal ini difokuskan  kepada  kriteria  etis  dalam  rangka  pembuatan  keputusan-</w:t>
      </w:r>
      <w:r w:rsidRPr="00F855D9">
        <w:rPr>
          <w:rFonts w:ascii="Times New Roman" w:eastAsia="PMingLiU" w:hAnsi="Times New Roman" w:cs="Times New Roman"/>
          <w:bCs/>
          <w:color w:val="000000"/>
          <w:kern w:val="2"/>
          <w:sz w:val="24"/>
          <w:szCs w:val="24"/>
          <w:lang w:eastAsia="zh-TW"/>
        </w:rPr>
        <w:lastRenderedPageBreak/>
        <w:t>keputusan  sosial (</w:t>
      </w:r>
      <w:r w:rsidRPr="00F855D9">
        <w:rPr>
          <w:rFonts w:ascii="Times New Roman" w:eastAsia="PMingLiU" w:hAnsi="Times New Roman" w:cs="Times New Roman"/>
          <w:bCs/>
          <w:i/>
          <w:color w:val="000000"/>
          <w:kern w:val="2"/>
          <w:sz w:val="24"/>
          <w:szCs w:val="24"/>
          <w:lang w:eastAsia="zh-TW"/>
        </w:rPr>
        <w:t>social  decision  making</w:t>
      </w:r>
      <w:r w:rsidRPr="00F855D9">
        <w:rPr>
          <w:rFonts w:ascii="Times New Roman" w:eastAsia="PMingLiU" w:hAnsi="Times New Roman" w:cs="Times New Roman"/>
          <w:bCs/>
          <w:color w:val="000000"/>
          <w:kern w:val="2"/>
          <w:sz w:val="24"/>
          <w:szCs w:val="24"/>
          <w:lang w:eastAsia="zh-TW"/>
        </w:rPr>
        <w:t>)  yang  menyangkut  pengaturan  kesejahteraan  masyarakat.</w:t>
      </w:r>
      <w:r w:rsidRPr="00F855D9">
        <w:rPr>
          <w:rFonts w:ascii="Times New Roman" w:eastAsia="PMingLiU" w:hAnsi="Times New Roman" w:cs="Times New Roman"/>
          <w:bCs/>
          <w:color w:val="000000"/>
          <w:kern w:val="2"/>
          <w:sz w:val="24"/>
          <w:szCs w:val="24"/>
          <w:vertAlign w:val="superscript"/>
          <w:lang w:eastAsia="zh-TW"/>
        </w:rPr>
        <w:footnoteReference w:id="36"/>
      </w:r>
    </w:p>
    <w:p w:rsidR="00F855D9" w:rsidRPr="00F855D9" w:rsidRDefault="00F855D9" w:rsidP="00915C1B">
      <w:pPr>
        <w:widowControl w:val="0"/>
        <w:spacing w:after="0" w:line="480" w:lineRule="auto"/>
        <w:ind w:left="426"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Teori analisis ekonomi dalam hukum Ponser yang menekankan soal efisiensi yang lebih terarah pada </w:t>
      </w:r>
      <w:r w:rsidRPr="00F855D9">
        <w:rPr>
          <w:rFonts w:ascii="Times New Roman" w:eastAsia="PMingLiU" w:hAnsi="Times New Roman" w:cs="Times New Roman"/>
          <w:bCs/>
          <w:i/>
          <w:color w:val="000000"/>
          <w:kern w:val="2"/>
          <w:sz w:val="24"/>
          <w:szCs w:val="24"/>
          <w:lang w:eastAsia="zh-TW"/>
        </w:rPr>
        <w:t>social welfare</w:t>
      </w:r>
      <w:r w:rsidRPr="00F855D9">
        <w:rPr>
          <w:rFonts w:ascii="Times New Roman" w:eastAsia="PMingLiU" w:hAnsi="Times New Roman" w:cs="Times New Roman"/>
          <w:bCs/>
          <w:color w:val="000000"/>
          <w:kern w:val="2"/>
          <w:sz w:val="24"/>
          <w:szCs w:val="24"/>
          <w:lang w:eastAsia="zh-TW"/>
        </w:rPr>
        <w:t xml:space="preserve"> tentunya dapat mempengaruhi beberapa kebijakan pemerintah Indonesia dalam membuat sebuah peraturan terkait dengan perdagangan jasa konstruksi yang akan mempunyai dampak bagi masyarkat sehingga teori ini tepat digunakan sebagai pisau analisis untuk mengkaji efisiensi kemanfaatan dari sebuah kebijakan yang telah dikeluarkan baik itu oleh pemerintah Indonesia maupun negara anggota ASEAN lainnya terhadap persaingan perdagangan jasa konstruksi dalam era MEA berdasarkan pertimbangan ekonomi yang tepat, yang sesuai dengan tujuan intergrasi MEA. </w:t>
      </w:r>
    </w:p>
    <w:p w:rsidR="00F855D9" w:rsidRPr="00F855D9" w:rsidRDefault="00F855D9" w:rsidP="003D7355">
      <w:pPr>
        <w:widowControl w:val="0"/>
        <w:numPr>
          <w:ilvl w:val="0"/>
          <w:numId w:val="16"/>
        </w:numPr>
        <w:spacing w:after="0" w:line="480" w:lineRule="auto"/>
        <w:contextualSpacing/>
        <w:jc w:val="both"/>
        <w:rPr>
          <w:rFonts w:ascii="Times New Roman" w:eastAsia="PMingLiU" w:hAnsi="Times New Roman" w:cs="Times New Roman"/>
          <w:b/>
          <w:bCs/>
          <w:kern w:val="2"/>
          <w:sz w:val="24"/>
          <w:szCs w:val="24"/>
          <w:lang w:eastAsia="zh-TW"/>
        </w:rPr>
      </w:pPr>
      <w:r w:rsidRPr="00F855D9">
        <w:rPr>
          <w:rFonts w:ascii="Times New Roman" w:eastAsia="PMingLiU" w:hAnsi="Times New Roman" w:cs="Times New Roman"/>
          <w:b/>
          <w:bCs/>
          <w:kern w:val="2"/>
          <w:sz w:val="24"/>
          <w:szCs w:val="24"/>
          <w:lang w:eastAsia="zh-TW"/>
        </w:rPr>
        <w:t xml:space="preserve">Metode  Penelitian </w:t>
      </w:r>
    </w:p>
    <w:p w:rsidR="00F855D9" w:rsidRPr="00F855D9" w:rsidRDefault="00F855D9" w:rsidP="003D7355">
      <w:pPr>
        <w:widowControl w:val="0"/>
        <w:numPr>
          <w:ilvl w:val="0"/>
          <w:numId w:val="17"/>
        </w:numPr>
        <w:spacing w:after="0" w:line="480" w:lineRule="auto"/>
        <w:ind w:left="1134" w:hanging="425"/>
        <w:contextualSpacing/>
        <w:jc w:val="both"/>
        <w:rPr>
          <w:rFonts w:ascii="Times New Roman" w:eastAsia="PMingLiU" w:hAnsi="Times New Roman" w:cs="Times New Roman"/>
          <w:b/>
          <w:bCs/>
          <w:color w:val="FF0000"/>
          <w:kern w:val="2"/>
          <w:sz w:val="24"/>
          <w:szCs w:val="24"/>
          <w:lang w:eastAsia="zh-TW"/>
        </w:rPr>
      </w:pPr>
      <w:r w:rsidRPr="00F855D9">
        <w:rPr>
          <w:rFonts w:ascii="Times New Roman" w:eastAsia="PMingLiU" w:hAnsi="Times New Roman" w:cs="Times New Roman"/>
          <w:b/>
          <w:bCs/>
          <w:kern w:val="2"/>
          <w:sz w:val="24"/>
          <w:szCs w:val="24"/>
          <w:lang w:eastAsia="zh-TW"/>
        </w:rPr>
        <w:t>Metode Pendekatan</w:t>
      </w:r>
    </w:p>
    <w:p w:rsidR="00F855D9" w:rsidRPr="00F855D9" w:rsidRDefault="00F855D9" w:rsidP="00915C1B">
      <w:pPr>
        <w:widowControl w:val="0"/>
        <w:spacing w:after="0" w:line="480" w:lineRule="auto"/>
        <w:ind w:left="426"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Metode pendekatan yang digunakan penulis dalam penulisan tesis ini adalah metode pendekatan yuridis empiris. Metode pendekatan yuridis empiris sendiri adalah penelitian hukum mengenai pemberlakuan atau implementasi ketentuan hukum normatif secara</w:t>
      </w:r>
      <w:r w:rsidRPr="00F855D9">
        <w:rPr>
          <w:rFonts w:ascii="Times New Roman" w:eastAsia="PMingLiU" w:hAnsi="Times New Roman" w:cs="Times New Roman"/>
          <w:bCs/>
          <w:i/>
          <w:color w:val="000000"/>
          <w:kern w:val="2"/>
          <w:sz w:val="24"/>
          <w:szCs w:val="24"/>
          <w:lang w:eastAsia="zh-TW"/>
        </w:rPr>
        <w:t xml:space="preserve"> in action</w:t>
      </w:r>
      <w:r w:rsidRPr="00F855D9">
        <w:rPr>
          <w:rFonts w:ascii="Times New Roman" w:eastAsia="PMingLiU" w:hAnsi="Times New Roman" w:cs="Times New Roman"/>
          <w:bCs/>
          <w:color w:val="000000"/>
          <w:kern w:val="2"/>
          <w:sz w:val="24"/>
          <w:szCs w:val="24"/>
          <w:lang w:eastAsia="zh-TW"/>
        </w:rPr>
        <w:t xml:space="preserve"> pada setiap peristiwa hukum terten</w:t>
      </w:r>
      <w:r w:rsidR="00967E1A">
        <w:rPr>
          <w:rFonts w:ascii="Times New Roman" w:eastAsia="PMingLiU" w:hAnsi="Times New Roman" w:cs="Times New Roman"/>
          <w:bCs/>
          <w:color w:val="000000"/>
          <w:kern w:val="2"/>
          <w:sz w:val="24"/>
          <w:szCs w:val="24"/>
          <w:lang w:eastAsia="zh-TW"/>
        </w:rPr>
        <w:t>t</w:t>
      </w:r>
      <w:r w:rsidRPr="00F855D9">
        <w:rPr>
          <w:rFonts w:ascii="Times New Roman" w:eastAsia="PMingLiU" w:hAnsi="Times New Roman" w:cs="Times New Roman"/>
          <w:bCs/>
          <w:color w:val="000000"/>
          <w:kern w:val="2"/>
          <w:sz w:val="24"/>
          <w:szCs w:val="24"/>
          <w:lang w:eastAsia="zh-TW"/>
        </w:rPr>
        <w:t>u yang terjadi dalam masyrakat.</w:t>
      </w:r>
      <w:r w:rsidRPr="00F855D9">
        <w:rPr>
          <w:rFonts w:ascii="Times New Roman" w:eastAsia="PMingLiU" w:hAnsi="Times New Roman" w:cs="Times New Roman"/>
          <w:bCs/>
          <w:color w:val="000000"/>
          <w:kern w:val="2"/>
          <w:sz w:val="24"/>
          <w:szCs w:val="24"/>
          <w:vertAlign w:val="superscript"/>
          <w:lang w:eastAsia="zh-TW"/>
        </w:rPr>
        <w:footnoteReference w:id="37"/>
      </w:r>
      <w:r w:rsidRPr="00F855D9">
        <w:rPr>
          <w:rFonts w:ascii="Times New Roman" w:eastAsia="PMingLiU" w:hAnsi="Times New Roman" w:cs="Times New Roman"/>
          <w:bCs/>
          <w:color w:val="000000"/>
          <w:kern w:val="2"/>
          <w:sz w:val="24"/>
          <w:szCs w:val="24"/>
          <w:lang w:eastAsia="zh-TW"/>
        </w:rPr>
        <w:t xml:space="preserve"> Penggunaan metode penelitian yuridis empiris dalam penelitian ini adalah dengan tidak hanya melihat  setiap kebijakan yang telah dibuat oleh pemerintah Indonesia dalam bentuk peraturan tertulis yang harus dilaksanakan tetapi juga mengkaji </w:t>
      </w:r>
      <w:r w:rsidRPr="00F855D9">
        <w:rPr>
          <w:rFonts w:ascii="Times New Roman" w:eastAsia="PMingLiU" w:hAnsi="Times New Roman" w:cs="Times New Roman"/>
          <w:bCs/>
          <w:color w:val="000000"/>
          <w:kern w:val="2"/>
          <w:sz w:val="24"/>
          <w:szCs w:val="24"/>
          <w:lang w:eastAsia="zh-TW"/>
        </w:rPr>
        <w:lastRenderedPageBreak/>
        <w:t>pengaruh serta akibatnya bagi masyarakat. Metode ini cocok diterapkan dalam penelitian ini karena menganalisis dampak dari suatu kebijakan yang telah dikeluarkan oleh pemerintah Indonesia dalam persaingan perdagangan jasa di bidang konstruksi di era MEA diperlukan pengamatan secara nyata di lapangan.</w:t>
      </w:r>
    </w:p>
    <w:p w:rsidR="00F855D9" w:rsidRPr="00F855D9" w:rsidRDefault="00F855D9" w:rsidP="003D7355">
      <w:pPr>
        <w:widowControl w:val="0"/>
        <w:numPr>
          <w:ilvl w:val="0"/>
          <w:numId w:val="17"/>
        </w:numPr>
        <w:spacing w:after="0" w:line="480" w:lineRule="auto"/>
        <w:contextualSpacing/>
        <w:jc w:val="both"/>
        <w:rPr>
          <w:rFonts w:ascii="Times New Roman" w:eastAsia="PMingLiU" w:hAnsi="Times New Roman" w:cs="Times New Roman"/>
          <w:b/>
          <w:bCs/>
          <w:kern w:val="2"/>
          <w:sz w:val="24"/>
          <w:szCs w:val="24"/>
          <w:lang w:eastAsia="zh-TW"/>
        </w:rPr>
      </w:pPr>
      <w:r w:rsidRPr="00F855D9">
        <w:rPr>
          <w:rFonts w:ascii="Times New Roman" w:eastAsia="PMingLiU" w:hAnsi="Times New Roman" w:cs="Times New Roman"/>
          <w:b/>
          <w:bCs/>
          <w:kern w:val="2"/>
          <w:sz w:val="24"/>
          <w:szCs w:val="24"/>
          <w:lang w:eastAsia="zh-TW"/>
        </w:rPr>
        <w:t>Spesifikasi Penelitian</w:t>
      </w:r>
    </w:p>
    <w:p w:rsidR="00F855D9" w:rsidRPr="00F855D9" w:rsidRDefault="00F855D9" w:rsidP="00915C1B">
      <w:pPr>
        <w:widowControl w:val="0"/>
        <w:spacing w:after="240" w:line="480" w:lineRule="auto"/>
        <w:ind w:left="426" w:firstLine="720"/>
        <w:contextualSpacing/>
        <w:jc w:val="both"/>
        <w:rPr>
          <w:rFonts w:ascii="Times New Roman" w:eastAsia="PMingLiU" w:hAnsi="Times New Roman" w:cs="Times New Roman"/>
          <w:noProof/>
          <w:kern w:val="2"/>
          <w:sz w:val="24"/>
          <w:szCs w:val="24"/>
          <w:lang w:eastAsia="zh-TW"/>
        </w:rPr>
      </w:pPr>
      <w:r w:rsidRPr="00F855D9">
        <w:rPr>
          <w:rFonts w:ascii="Times New Roman" w:eastAsia="PMingLiU" w:hAnsi="Times New Roman" w:cs="Times New Roman"/>
          <w:noProof/>
          <w:kern w:val="2"/>
          <w:sz w:val="24"/>
          <w:szCs w:val="24"/>
          <w:lang w:eastAsia="zh-TW"/>
        </w:rPr>
        <w:t>Spesifikasi penelitian dalam penulisan hukum ini adalah dekriptif-analitis, yaitu menggambarkan peraturan perundangan yang berlaku dikaitkan dengan teori-teori hukum dan praktek pelaksanaan hukum positif</w:t>
      </w:r>
      <w:r w:rsidRPr="00F855D9">
        <w:rPr>
          <w:rFonts w:ascii="Times New Roman" w:eastAsia="PMingLiU" w:hAnsi="Times New Roman" w:cs="Times New Roman"/>
          <w:noProof/>
          <w:kern w:val="2"/>
          <w:sz w:val="24"/>
          <w:szCs w:val="24"/>
          <w:vertAlign w:val="superscript"/>
          <w:lang w:eastAsia="zh-TW"/>
        </w:rPr>
        <w:footnoteReference w:id="38"/>
      </w:r>
      <w:r w:rsidRPr="00F855D9">
        <w:rPr>
          <w:rFonts w:ascii="Times New Roman" w:eastAsia="PMingLiU" w:hAnsi="Times New Roman" w:cs="Times New Roman"/>
          <w:noProof/>
          <w:kern w:val="2"/>
          <w:sz w:val="24"/>
          <w:szCs w:val="24"/>
          <w:lang w:eastAsia="zh-TW"/>
        </w:rPr>
        <w:t>. Dalam spesifikasi penelitian deskriptif analitis ini akan menganalisa kebijakan yang dikeluarkan oleh pemerintah Indonesia terhadap persaingan perdagangan jasa dalam era MEA baik berupa peraturan maupun perjanjian kerjasama yang berkaitan dengan perdagangan jasa. Hukum internasional berupa ketentuan WTO dalam GATS yang berkaitan dengan perdagangan jasa secara internasional dikomparasikan dengan ketentuan hukum nasional Indonesia . Dengan demikian efisiensi dari suatu kebijakan yang telah diambil pemerintah Indonesia dengan perjanjian kerjasama AFAS dan GATS akan diperoleh. Sudah sesuai atau tidaknya kebijakan yang diambil pemerintah dapat dikaji kembali sebagai suatu perbaikan yang sesuai dengan kondisi yang ada di masyarakat.</w:t>
      </w:r>
    </w:p>
    <w:p w:rsidR="00F855D9" w:rsidRPr="00F855D9" w:rsidRDefault="00F855D9" w:rsidP="003D7355">
      <w:pPr>
        <w:widowControl w:val="0"/>
        <w:numPr>
          <w:ilvl w:val="0"/>
          <w:numId w:val="17"/>
        </w:numPr>
        <w:spacing w:after="0" w:line="480" w:lineRule="auto"/>
        <w:ind w:left="1134" w:hanging="425"/>
        <w:contextualSpacing/>
        <w:jc w:val="both"/>
        <w:rPr>
          <w:rFonts w:ascii="Times New Roman" w:eastAsia="PMingLiU" w:hAnsi="Times New Roman" w:cs="Times New Roman"/>
          <w:b/>
          <w:bCs/>
          <w:kern w:val="2"/>
          <w:sz w:val="24"/>
          <w:szCs w:val="24"/>
          <w:lang w:eastAsia="zh-TW"/>
        </w:rPr>
      </w:pPr>
      <w:r w:rsidRPr="00F855D9">
        <w:rPr>
          <w:rFonts w:ascii="Times New Roman" w:eastAsia="PMingLiU" w:hAnsi="Times New Roman" w:cs="Times New Roman"/>
          <w:b/>
          <w:bCs/>
          <w:kern w:val="2"/>
          <w:sz w:val="24"/>
          <w:szCs w:val="24"/>
          <w:lang w:eastAsia="zh-TW"/>
        </w:rPr>
        <w:t>Jenis dan Metode Pengumpulan Data</w:t>
      </w:r>
    </w:p>
    <w:p w:rsidR="00F855D9" w:rsidRDefault="00915C1B" w:rsidP="00915C1B">
      <w:pPr>
        <w:widowControl w:val="0"/>
        <w:spacing w:after="0" w:line="480" w:lineRule="auto"/>
        <w:ind w:left="426" w:firstLine="720"/>
        <w:contextualSpacing/>
        <w:jc w:val="both"/>
        <w:rPr>
          <w:rFonts w:ascii="Times New Roman" w:eastAsia="PMingLiU" w:hAnsi="Times New Roman" w:cs="Times New Roman"/>
          <w:bCs/>
          <w:kern w:val="2"/>
          <w:sz w:val="24"/>
          <w:szCs w:val="24"/>
          <w:lang w:eastAsia="zh-TW"/>
        </w:rPr>
      </w:pPr>
      <w:r>
        <w:rPr>
          <w:rFonts w:ascii="Times New Roman" w:eastAsia="PMingLiU" w:hAnsi="Times New Roman" w:cs="Times New Roman"/>
          <w:bCs/>
          <w:kern w:val="2"/>
          <w:sz w:val="24"/>
          <w:szCs w:val="24"/>
          <w:lang w:eastAsia="zh-TW"/>
        </w:rPr>
        <w:t>M</w:t>
      </w:r>
      <w:r w:rsidR="00F855D9" w:rsidRPr="00F855D9">
        <w:rPr>
          <w:rFonts w:ascii="Times New Roman" w:eastAsia="PMingLiU" w:hAnsi="Times New Roman" w:cs="Times New Roman"/>
          <w:bCs/>
          <w:kern w:val="2"/>
          <w:sz w:val="24"/>
          <w:szCs w:val="24"/>
          <w:lang w:eastAsia="zh-TW"/>
        </w:rPr>
        <w:t xml:space="preserve">encari dan mengumpulkan data yang diperlukan difokuskan pada pokok-pokok permasalahan yang ada, Jenis data yang digunakan dalam </w:t>
      </w:r>
      <w:r w:rsidR="00F855D9" w:rsidRPr="00F855D9">
        <w:rPr>
          <w:rFonts w:ascii="Times New Roman" w:eastAsia="PMingLiU" w:hAnsi="Times New Roman" w:cs="Times New Roman"/>
          <w:bCs/>
          <w:kern w:val="2"/>
          <w:sz w:val="24"/>
          <w:szCs w:val="24"/>
          <w:lang w:eastAsia="zh-TW"/>
        </w:rPr>
        <w:lastRenderedPageBreak/>
        <w:t>penelitian ini adalah data primer dan data sekunder. Data penelitian yang digunakan sebagai berikut :</w:t>
      </w:r>
    </w:p>
    <w:p w:rsidR="00967E1A" w:rsidRPr="00F855D9" w:rsidRDefault="00967E1A" w:rsidP="00915C1B">
      <w:pPr>
        <w:widowControl w:val="0"/>
        <w:spacing w:after="0" w:line="480" w:lineRule="auto"/>
        <w:ind w:left="426" w:firstLine="720"/>
        <w:contextualSpacing/>
        <w:jc w:val="both"/>
        <w:rPr>
          <w:rFonts w:ascii="Times New Roman" w:eastAsia="PMingLiU" w:hAnsi="Times New Roman" w:cs="Times New Roman"/>
          <w:bCs/>
          <w:kern w:val="2"/>
          <w:sz w:val="24"/>
          <w:szCs w:val="24"/>
          <w:lang w:eastAsia="zh-TW"/>
        </w:rPr>
      </w:pPr>
    </w:p>
    <w:p w:rsidR="00F855D9" w:rsidRPr="00F855D9" w:rsidRDefault="00F855D9" w:rsidP="003D7355">
      <w:pPr>
        <w:widowControl w:val="0"/>
        <w:numPr>
          <w:ilvl w:val="0"/>
          <w:numId w:val="45"/>
        </w:numPr>
        <w:spacing w:after="0" w:line="480" w:lineRule="auto"/>
        <w:contextualSpacing/>
        <w:jc w:val="both"/>
        <w:rPr>
          <w:rFonts w:ascii="Times New Roman" w:eastAsia="PMingLiU" w:hAnsi="Times New Roman" w:cs="Times New Roman"/>
          <w:bCs/>
          <w:kern w:val="2"/>
          <w:sz w:val="24"/>
          <w:szCs w:val="24"/>
          <w:lang w:eastAsia="zh-TW"/>
        </w:rPr>
      </w:pPr>
      <w:r w:rsidRPr="00F855D9">
        <w:rPr>
          <w:rFonts w:ascii="Times New Roman" w:eastAsia="PMingLiU" w:hAnsi="Times New Roman" w:cs="Times New Roman"/>
          <w:bCs/>
          <w:kern w:val="2"/>
          <w:sz w:val="24"/>
          <w:szCs w:val="24"/>
          <w:lang w:eastAsia="zh-TW"/>
        </w:rPr>
        <w:t>Data primer</w:t>
      </w:r>
    </w:p>
    <w:p w:rsidR="00F855D9" w:rsidRPr="00F855D9" w:rsidRDefault="00F855D9" w:rsidP="00915C1B">
      <w:pPr>
        <w:widowControl w:val="0"/>
        <w:spacing w:after="0" w:line="480" w:lineRule="auto"/>
        <w:ind w:left="1080" w:firstLine="720"/>
        <w:contextualSpacing/>
        <w:jc w:val="both"/>
        <w:rPr>
          <w:rFonts w:ascii="Times New Roman" w:eastAsia="PMingLiU" w:hAnsi="Times New Roman" w:cs="Times New Roman"/>
          <w:bCs/>
          <w:kern w:val="2"/>
          <w:sz w:val="24"/>
          <w:szCs w:val="24"/>
          <w:lang w:eastAsia="zh-TW"/>
        </w:rPr>
      </w:pPr>
      <w:r w:rsidRPr="00F855D9">
        <w:rPr>
          <w:rFonts w:ascii="Times New Roman" w:eastAsia="PMingLiU" w:hAnsi="Times New Roman" w:cs="Times New Roman"/>
          <w:bCs/>
          <w:kern w:val="2"/>
          <w:sz w:val="24"/>
          <w:szCs w:val="24"/>
          <w:lang w:eastAsia="zh-TW"/>
        </w:rPr>
        <w:t xml:space="preserve">Merupakan data yang diperoleh langsung di lapangan oleh peneliti sebagai obyek penulisan. Metode wawancara mendalam atau </w:t>
      </w:r>
      <w:r w:rsidRPr="00F855D9">
        <w:rPr>
          <w:rFonts w:ascii="Times New Roman" w:eastAsia="PMingLiU" w:hAnsi="Times New Roman" w:cs="Times New Roman"/>
          <w:bCs/>
          <w:i/>
          <w:kern w:val="2"/>
          <w:sz w:val="24"/>
          <w:szCs w:val="24"/>
          <w:lang w:eastAsia="zh-TW"/>
        </w:rPr>
        <w:t>in-depth interview</w:t>
      </w:r>
      <w:r w:rsidRPr="00F855D9">
        <w:rPr>
          <w:rFonts w:ascii="Times New Roman" w:eastAsia="PMingLiU" w:hAnsi="Times New Roman" w:cs="Times New Roman"/>
          <w:bCs/>
          <w:kern w:val="2"/>
          <w:sz w:val="24"/>
          <w:szCs w:val="24"/>
          <w:lang w:eastAsia="zh-TW"/>
        </w:rPr>
        <w:t xml:space="preserve"> dipergunakan untuk memperoleh data dengan metode wawancara dengan narasumber yang akan diwawancarai. Wawancara akan dilakukan peneliti adalah wawancara dengan pedoman wawancara. Wawancara dengan penggunaan pedoman (</w:t>
      </w:r>
      <w:r w:rsidRPr="00F855D9">
        <w:rPr>
          <w:rFonts w:ascii="Times New Roman" w:eastAsia="PMingLiU" w:hAnsi="Times New Roman" w:cs="Times New Roman"/>
          <w:bCs/>
          <w:i/>
          <w:kern w:val="2"/>
          <w:sz w:val="24"/>
          <w:szCs w:val="24"/>
          <w:lang w:eastAsia="zh-TW"/>
        </w:rPr>
        <w:t>interview guide</w:t>
      </w:r>
      <w:r w:rsidRPr="00F855D9">
        <w:rPr>
          <w:rFonts w:ascii="Times New Roman" w:eastAsia="PMingLiU" w:hAnsi="Times New Roman" w:cs="Times New Roman"/>
          <w:bCs/>
          <w:kern w:val="2"/>
          <w:sz w:val="24"/>
          <w:szCs w:val="24"/>
          <w:lang w:eastAsia="zh-TW"/>
        </w:rPr>
        <w:t>) dimaksudkan untuk wawancara yang lebih mendalam dengan memfokuskan pada persoalan – pesoalan yang akan diteliti. Pedoman wawancara biasanya tak berisi pertanyaan – pertanyaan yang mendetail, tetapi sekedar garis besar tentang data atau informasi apa yang ingin didapatkan dari narasumber yang nanti dapat disumbangkan dengan memperhatikan perkembangan konteks dan situasi wawancara.</w:t>
      </w:r>
      <w:r w:rsidRPr="00F855D9">
        <w:rPr>
          <w:rFonts w:ascii="Times New Roman" w:eastAsia="PMingLiU" w:hAnsi="Times New Roman" w:cs="Times New Roman"/>
          <w:bCs/>
          <w:kern w:val="2"/>
          <w:sz w:val="24"/>
          <w:szCs w:val="24"/>
          <w:vertAlign w:val="superscript"/>
          <w:lang w:eastAsia="zh-TW"/>
        </w:rPr>
        <w:footnoteReference w:id="39"/>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kern w:val="2"/>
          <w:sz w:val="24"/>
          <w:szCs w:val="24"/>
          <w:lang w:eastAsia="zh-TW"/>
        </w:rPr>
      </w:pPr>
      <w:r w:rsidRPr="00F855D9">
        <w:rPr>
          <w:rFonts w:ascii="Times New Roman" w:eastAsia="PMingLiU" w:hAnsi="Times New Roman" w:cs="Times New Roman"/>
          <w:bCs/>
          <w:kern w:val="2"/>
          <w:sz w:val="24"/>
          <w:szCs w:val="24"/>
          <w:lang w:eastAsia="zh-TW"/>
        </w:rPr>
        <w:t xml:space="preserve">Data primer yang digunakan diperoleh dari hasil wawancara terhadap informan. Wawancara dilakukan dengan pihak Kementrian Perdagangan Republik Indonesia, pihak Kementrian Pekerjaan Umum dan Perumahan Rakyat, pihak ASEAN Secretariat Office Jakarta, pihak </w:t>
      </w:r>
      <w:r w:rsidRPr="00F855D9">
        <w:rPr>
          <w:rFonts w:ascii="Times New Roman" w:eastAsia="PMingLiU" w:hAnsi="Times New Roman" w:cs="Times New Roman"/>
          <w:bCs/>
          <w:color w:val="000000"/>
          <w:kern w:val="2"/>
          <w:sz w:val="24"/>
          <w:szCs w:val="24"/>
          <w:lang w:eastAsia="zh-TW"/>
        </w:rPr>
        <w:t>Asosiasi Pengusaha Indonesia (APINDO),</w:t>
      </w:r>
      <w:r w:rsidRPr="00F855D9">
        <w:rPr>
          <w:rFonts w:ascii="Times New Roman" w:eastAsia="PMingLiU" w:hAnsi="Times New Roman" w:cs="Times New Roman"/>
          <w:bCs/>
          <w:kern w:val="2"/>
          <w:sz w:val="24"/>
          <w:szCs w:val="24"/>
          <w:lang w:eastAsia="zh-TW"/>
        </w:rPr>
        <w:t xml:space="preserve"> pihak Asosiasi Kontraktor Indonesia (AKI).</w:t>
      </w:r>
    </w:p>
    <w:p w:rsidR="00F855D9" w:rsidRPr="00F855D9" w:rsidRDefault="00F855D9" w:rsidP="00F855D9">
      <w:pPr>
        <w:widowControl w:val="0"/>
        <w:spacing w:after="0" w:line="480" w:lineRule="auto"/>
        <w:contextualSpacing/>
        <w:jc w:val="both"/>
        <w:rPr>
          <w:rFonts w:ascii="Times New Roman" w:eastAsia="PMingLiU" w:hAnsi="Times New Roman" w:cs="Times New Roman"/>
          <w:bCs/>
          <w:kern w:val="2"/>
          <w:sz w:val="24"/>
          <w:szCs w:val="24"/>
          <w:lang w:eastAsia="zh-TW"/>
        </w:rPr>
      </w:pPr>
      <w:r w:rsidRPr="00F855D9">
        <w:rPr>
          <w:rFonts w:ascii="Times New Roman" w:eastAsia="PMingLiU" w:hAnsi="Times New Roman" w:cs="Times New Roman"/>
          <w:bCs/>
          <w:kern w:val="2"/>
          <w:sz w:val="24"/>
          <w:szCs w:val="24"/>
          <w:lang w:eastAsia="zh-TW"/>
        </w:rPr>
        <w:lastRenderedPageBreak/>
        <w:t>b.</w:t>
      </w:r>
      <w:r w:rsidRPr="00F855D9">
        <w:rPr>
          <w:rFonts w:ascii="Times New Roman" w:eastAsia="PMingLiU" w:hAnsi="Times New Roman" w:cs="Times New Roman"/>
          <w:bCs/>
          <w:kern w:val="2"/>
          <w:sz w:val="24"/>
          <w:szCs w:val="24"/>
          <w:lang w:eastAsia="zh-TW"/>
        </w:rPr>
        <w:tab/>
        <w:t>Data Sekunder</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kern w:val="2"/>
          <w:sz w:val="24"/>
          <w:szCs w:val="24"/>
          <w:lang w:eastAsia="zh-TW"/>
        </w:rPr>
      </w:pPr>
      <w:r w:rsidRPr="00F855D9">
        <w:rPr>
          <w:rFonts w:ascii="Times New Roman" w:eastAsia="PMingLiU" w:hAnsi="Times New Roman" w:cs="Times New Roman"/>
          <w:bCs/>
          <w:kern w:val="2"/>
          <w:sz w:val="24"/>
          <w:szCs w:val="24"/>
          <w:lang w:eastAsia="zh-TW"/>
        </w:rPr>
        <w:t>Sumber data yang tidak langsung  memberikan data kepada pengumpul data, misalnya lewat orang lain atau  dokumen.</w:t>
      </w:r>
      <w:r w:rsidRPr="00F855D9">
        <w:rPr>
          <w:rFonts w:ascii="Times New Roman" w:eastAsia="PMingLiU" w:hAnsi="Times New Roman" w:cs="Times New Roman"/>
          <w:bCs/>
          <w:kern w:val="2"/>
          <w:sz w:val="24"/>
          <w:szCs w:val="24"/>
          <w:vertAlign w:val="superscript"/>
          <w:lang w:eastAsia="zh-TW"/>
        </w:rPr>
        <w:footnoteReference w:id="40"/>
      </w:r>
      <w:r w:rsidRPr="00F855D9">
        <w:rPr>
          <w:rFonts w:ascii="Times New Roman" w:eastAsia="PMingLiU" w:hAnsi="Times New Roman" w:cs="Times New Roman"/>
          <w:bCs/>
          <w:kern w:val="2"/>
          <w:sz w:val="24"/>
          <w:szCs w:val="24"/>
          <w:lang w:eastAsia="zh-TW"/>
        </w:rPr>
        <w:t xml:space="preserve"> Sumber data sekunder berasal dari beberapa bahan hukum yang relevan dengan penelitian ini, yang meliputi:</w:t>
      </w:r>
    </w:p>
    <w:p w:rsidR="00F855D9" w:rsidRPr="00F855D9" w:rsidRDefault="00915C1B" w:rsidP="00915C1B">
      <w:pPr>
        <w:widowControl w:val="0"/>
        <w:spacing w:after="0" w:line="480" w:lineRule="auto"/>
        <w:ind w:left="720" w:firstLine="720"/>
        <w:contextualSpacing/>
        <w:jc w:val="both"/>
        <w:rPr>
          <w:rFonts w:ascii="Times New Roman" w:eastAsia="PMingLiU" w:hAnsi="Times New Roman" w:cs="Times New Roman"/>
          <w:bCs/>
          <w:kern w:val="2"/>
          <w:sz w:val="24"/>
          <w:szCs w:val="24"/>
          <w:lang w:eastAsia="zh-TW"/>
        </w:rPr>
      </w:pPr>
      <w:r>
        <w:rPr>
          <w:rFonts w:ascii="Times New Roman" w:eastAsia="PMingLiU" w:hAnsi="Times New Roman" w:cs="Times New Roman"/>
          <w:bCs/>
          <w:kern w:val="2"/>
          <w:sz w:val="24"/>
          <w:szCs w:val="24"/>
          <w:lang w:eastAsia="zh-TW"/>
        </w:rPr>
        <w:t xml:space="preserve">1.) </w:t>
      </w:r>
      <w:r w:rsidR="00F855D9" w:rsidRPr="00F855D9">
        <w:rPr>
          <w:rFonts w:ascii="Times New Roman" w:eastAsia="PMingLiU" w:hAnsi="Times New Roman" w:cs="Times New Roman"/>
          <w:bCs/>
          <w:kern w:val="2"/>
          <w:sz w:val="24"/>
          <w:szCs w:val="24"/>
          <w:lang w:eastAsia="zh-TW"/>
        </w:rPr>
        <w:t xml:space="preserve">Bahan hukum primer yang mencakup ketentuan perundang-undangan, perjanjian internasional, dan kebiasaan internasional. Dalam peneliti ini bahan hukum primer yang digunakan peneliti meliputi Undang-Undang Nomor 18 tahun 1999 tentang Jasa Konstruksi,  Undang-Undang   Nomor   25   Tahun   2007  tentang  Penanaman  Modal, Undang - Undang Nomor 7 Tahun 2014 Tentang Perdagangan, Undang – Undang Nomor 11 Tahun 2014 Tentang Keinsinyuran, Peraturan Presiden Nomor 44 Tahun 2016 Tentang Daftar Bidang Usaha yang Tertutup dan Bidang Usaha yang Terbuka dengan Persyaratan di Bidang Penanam Modal, Peraturan Menteri Pekerjaan Umum Nomor 8 Tahun 2011 tentang Pembagian Subklasifikasi dan Subkualifikasi Usaha Jasa Konstruksi,  Peraturan Menteri Pekerjaan Umum Nomor : 09/PRT/M/2013 Tentang Persyaratan Kompetensi Untuk Subkualifikasi Tenaga Ahli dan Tenaga Terampil Bidang Jsa Konstruksi,  GATS, AFAS. </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kern w:val="2"/>
          <w:sz w:val="24"/>
          <w:szCs w:val="24"/>
          <w:lang w:eastAsia="zh-TW"/>
        </w:rPr>
      </w:pPr>
      <w:r w:rsidRPr="00F855D9">
        <w:rPr>
          <w:rFonts w:ascii="Times New Roman" w:eastAsia="PMingLiU" w:hAnsi="Times New Roman" w:cs="Times New Roman"/>
          <w:bCs/>
          <w:kern w:val="2"/>
          <w:sz w:val="24"/>
          <w:szCs w:val="24"/>
          <w:lang w:eastAsia="zh-TW"/>
        </w:rPr>
        <w:t>2.) Bahan hukum sekunder mencakup dasar-dasar teoretik atau doktrin yang relevan.</w:t>
      </w:r>
    </w:p>
    <w:p w:rsidR="00915C1B" w:rsidRPr="00F855D9" w:rsidRDefault="00F855D9" w:rsidP="000A776B">
      <w:pPr>
        <w:widowControl w:val="0"/>
        <w:spacing w:after="0" w:line="480" w:lineRule="auto"/>
        <w:ind w:left="709" w:firstLine="720"/>
        <w:contextualSpacing/>
        <w:jc w:val="both"/>
        <w:rPr>
          <w:rFonts w:ascii="Times New Roman" w:eastAsia="PMingLiU" w:hAnsi="Times New Roman" w:cs="Times New Roman"/>
          <w:bCs/>
          <w:kern w:val="2"/>
          <w:sz w:val="24"/>
          <w:szCs w:val="24"/>
          <w:lang w:eastAsia="zh-TW"/>
        </w:rPr>
      </w:pPr>
      <w:r w:rsidRPr="00F855D9">
        <w:rPr>
          <w:rFonts w:ascii="Times New Roman" w:eastAsia="PMingLiU" w:hAnsi="Times New Roman" w:cs="Times New Roman"/>
          <w:bCs/>
          <w:kern w:val="2"/>
          <w:sz w:val="24"/>
          <w:szCs w:val="24"/>
          <w:lang w:eastAsia="zh-TW"/>
        </w:rPr>
        <w:t>3.) Bahan hukum tertier adalah bahan yang berasal dari kamus atau ensiklopedi, artikel, jurnal,  koran.</w:t>
      </w:r>
    </w:p>
    <w:p w:rsidR="00F855D9" w:rsidRPr="00F855D9" w:rsidRDefault="00F855D9" w:rsidP="003D7355">
      <w:pPr>
        <w:widowControl w:val="0"/>
        <w:numPr>
          <w:ilvl w:val="0"/>
          <w:numId w:val="17"/>
        </w:numPr>
        <w:spacing w:after="0" w:line="480" w:lineRule="auto"/>
        <w:contextualSpacing/>
        <w:jc w:val="both"/>
        <w:rPr>
          <w:rFonts w:ascii="Times New Roman" w:eastAsia="PMingLiU" w:hAnsi="Times New Roman" w:cs="Times New Roman"/>
          <w:b/>
          <w:bCs/>
          <w:kern w:val="2"/>
          <w:sz w:val="24"/>
          <w:szCs w:val="24"/>
          <w:lang w:eastAsia="zh-TW"/>
        </w:rPr>
      </w:pPr>
      <w:r w:rsidRPr="00F855D9">
        <w:rPr>
          <w:rFonts w:ascii="Times New Roman" w:eastAsia="PMingLiU" w:hAnsi="Times New Roman" w:cs="Times New Roman"/>
          <w:b/>
          <w:bCs/>
          <w:kern w:val="2"/>
          <w:sz w:val="24"/>
          <w:szCs w:val="24"/>
          <w:lang w:eastAsia="zh-TW"/>
        </w:rPr>
        <w:lastRenderedPageBreak/>
        <w:t>Metode Analisis Data</w:t>
      </w:r>
    </w:p>
    <w:p w:rsidR="00F855D9" w:rsidRPr="00F855D9" w:rsidRDefault="00F855D9" w:rsidP="00915C1B">
      <w:pPr>
        <w:widowControl w:val="0"/>
        <w:tabs>
          <w:tab w:val="left" w:pos="-3402"/>
        </w:tabs>
        <w:spacing w:after="240" w:line="480" w:lineRule="auto"/>
        <w:ind w:left="709" w:firstLine="709"/>
        <w:contextualSpacing/>
        <w:jc w:val="both"/>
        <w:rPr>
          <w:rFonts w:ascii="Times New Roman" w:eastAsia="PMingLiU" w:hAnsi="Times New Roman" w:cs="Times New Roman"/>
          <w:noProof/>
          <w:kern w:val="2"/>
          <w:sz w:val="24"/>
          <w:szCs w:val="24"/>
          <w:lang w:eastAsia="zh-TW"/>
        </w:rPr>
      </w:pPr>
      <w:r w:rsidRPr="00F855D9">
        <w:rPr>
          <w:rFonts w:ascii="Times New Roman" w:eastAsia="PMingLiU" w:hAnsi="Times New Roman" w:cs="Times New Roman"/>
          <w:noProof/>
          <w:kern w:val="2"/>
          <w:sz w:val="24"/>
          <w:szCs w:val="24"/>
          <w:lang w:eastAsia="zh-TW"/>
        </w:rPr>
        <w:t>Metode analisis data yang digunakan adalah analisis yang bersifat kualitatif.</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noProof/>
          <w:kern w:val="2"/>
          <w:sz w:val="24"/>
          <w:szCs w:val="24"/>
          <w:lang w:eastAsia="zh-TW"/>
        </w:rPr>
        <w:t>Teknik analisis data bersifat kualitatif yang artinya menguraikan data secara bermutu dalam kalimat yang teratur, runtun, logis, tidak tumpang tindih, dan efektif, sehingga memudahkan inpretasi data dan pemahaman hasil analisis.</w:t>
      </w:r>
      <w:r w:rsidRPr="00F855D9">
        <w:rPr>
          <w:rFonts w:ascii="Times New Roman" w:eastAsia="PMingLiU" w:hAnsi="Times New Roman" w:cs="Times New Roman"/>
          <w:noProof/>
          <w:kern w:val="2"/>
          <w:sz w:val="24"/>
          <w:szCs w:val="24"/>
          <w:vertAlign w:val="superscript"/>
          <w:lang w:eastAsia="zh-TW"/>
        </w:rPr>
        <w:footnoteReference w:id="41"/>
      </w:r>
      <w:r w:rsidRPr="00F855D9">
        <w:rPr>
          <w:rFonts w:ascii="Times New Roman" w:eastAsia="PMingLiU" w:hAnsi="Times New Roman" w:cs="Times New Roman"/>
          <w:noProof/>
          <w:kern w:val="2"/>
          <w:sz w:val="24"/>
          <w:szCs w:val="24"/>
          <w:lang w:eastAsia="zh-TW"/>
        </w:rPr>
        <w:t xml:space="preserve"> </w:t>
      </w:r>
      <w:r w:rsidRPr="00F855D9">
        <w:rPr>
          <w:rFonts w:ascii="Times New Roman" w:eastAsia="PMingLiU" w:hAnsi="Times New Roman" w:cs="Times New Roman"/>
          <w:kern w:val="2"/>
          <w:sz w:val="24"/>
          <w:szCs w:val="24"/>
          <w:lang w:eastAsia="zh-TW"/>
        </w:rPr>
        <w:t>Sesuai  dengan  jenis  penelitian  di  atas,  maka  peneliti  menggunakan  model interaktif  dari  Miles  dan  Huberman  untuk  menganalisis  data  hasil  penelitian.  Adapun model interaktif yang dimaksud sebagai berikut :</w:t>
      </w:r>
      <w:r w:rsidRPr="00F855D9">
        <w:rPr>
          <w:rFonts w:ascii="Times New Roman" w:eastAsia="PMingLiU" w:hAnsi="Times New Roman" w:cs="Times New Roman"/>
          <w:kern w:val="2"/>
          <w:sz w:val="24"/>
          <w:szCs w:val="24"/>
          <w:vertAlign w:val="superscript"/>
          <w:lang w:eastAsia="zh-TW"/>
        </w:rPr>
        <w:footnoteReference w:id="42"/>
      </w:r>
      <w:r w:rsidRPr="00F855D9">
        <w:rPr>
          <w:rFonts w:ascii="Times New Roman" w:eastAsia="PMingLiU" w:hAnsi="Times New Roman" w:cs="Times New Roman"/>
          <w:kern w:val="2"/>
          <w:sz w:val="24"/>
          <w:szCs w:val="24"/>
          <w:lang w:eastAsia="zh-TW"/>
        </w:rPr>
        <w:t xml:space="preserve"> </w:t>
      </w:r>
    </w:p>
    <w:p w:rsidR="00F855D9" w:rsidRPr="00F855D9" w:rsidRDefault="00F855D9" w:rsidP="003D7355">
      <w:pPr>
        <w:widowControl w:val="0"/>
        <w:numPr>
          <w:ilvl w:val="0"/>
          <w:numId w:val="46"/>
        </w:numPr>
        <w:tabs>
          <w:tab w:val="left" w:pos="-3402"/>
        </w:tabs>
        <w:spacing w:after="240" w:line="240" w:lineRule="auto"/>
        <w:ind w:left="993"/>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 xml:space="preserve">Pengumpulan Data  </w:t>
      </w:r>
    </w:p>
    <w:p w:rsidR="00F855D9" w:rsidRPr="00F855D9" w:rsidRDefault="00F855D9" w:rsidP="00915C1B">
      <w:pPr>
        <w:widowControl w:val="0"/>
        <w:tabs>
          <w:tab w:val="left" w:pos="-3402"/>
        </w:tabs>
        <w:spacing w:after="240" w:line="240" w:lineRule="auto"/>
        <w:ind w:left="993"/>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Data yang diperoleh dari hasil wawancara, observasi dan dokumentasi dicatat dalam catatan lapangan yang terdiri dari dua bagian yaitu deskriptif dan reflektif.</w:t>
      </w:r>
    </w:p>
    <w:p w:rsidR="00F855D9" w:rsidRPr="00F855D9" w:rsidRDefault="00F855D9" w:rsidP="003D7355">
      <w:pPr>
        <w:widowControl w:val="0"/>
        <w:numPr>
          <w:ilvl w:val="0"/>
          <w:numId w:val="46"/>
        </w:numPr>
        <w:tabs>
          <w:tab w:val="left" w:pos="-3402"/>
        </w:tabs>
        <w:spacing w:after="240" w:line="240" w:lineRule="auto"/>
        <w:ind w:left="993"/>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Reduksi Data</w:t>
      </w:r>
    </w:p>
    <w:p w:rsidR="00F855D9" w:rsidRPr="00F855D9" w:rsidRDefault="00F855D9" w:rsidP="00915C1B">
      <w:pPr>
        <w:widowControl w:val="0"/>
        <w:tabs>
          <w:tab w:val="left" w:pos="-3402"/>
        </w:tabs>
        <w:spacing w:after="240" w:line="240" w:lineRule="auto"/>
        <w:ind w:left="993"/>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 xml:space="preserve">Setelah data terkumpul, selanjutnya dibuat reduksi data, guna memilih data yang relevan dan bermakna, memfokuskan data yang mengarah untuk memecahkan masalah, penemuan, pemaknaan atau untuk menjawab pertanyaan penelitian. Kemudian menyederhanakan dan menyusun secara sistematis dan menjabarkan hal-hal penting tentang hasil temuan dan maknanya. Pada proses reduksi data, hanya temuan data atau temuan yang berkenaan dengan permasalahan penelitian saja yang direduksi. Sedangkan data yang tidak berkaitan dengan masalah  penelitian dibuang. Dengan kata lain reduksi data digunakan untuk analisis yang menajamkan, menggolongkan, mengarahkan dan membuang yang tidak penting, serta mengorganisasikan data, sehingga memudahkan peneliti untuk menarik kesimpulan.  </w:t>
      </w:r>
    </w:p>
    <w:p w:rsidR="00F855D9" w:rsidRPr="00F855D9" w:rsidRDefault="00F855D9" w:rsidP="003D7355">
      <w:pPr>
        <w:widowControl w:val="0"/>
        <w:numPr>
          <w:ilvl w:val="0"/>
          <w:numId w:val="46"/>
        </w:numPr>
        <w:tabs>
          <w:tab w:val="left" w:pos="-3402"/>
        </w:tabs>
        <w:spacing w:after="240" w:line="240" w:lineRule="auto"/>
        <w:ind w:left="993"/>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Penyajian Data</w:t>
      </w:r>
    </w:p>
    <w:p w:rsidR="00F855D9" w:rsidRPr="00F855D9" w:rsidRDefault="00F855D9" w:rsidP="00915C1B">
      <w:pPr>
        <w:widowControl w:val="0"/>
        <w:tabs>
          <w:tab w:val="left" w:pos="-3402"/>
        </w:tabs>
        <w:spacing w:after="240" w:line="240" w:lineRule="auto"/>
        <w:ind w:left="993"/>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 xml:space="preserve">Penyajian data dapat berupa bentuk tulisan atau kata-kata, dan tabel. Tujuan sajian data adalah untuk menggabungkan informasi sehingga dapat menggambarkan keadaan yang terjadi. Dalam hal ini, agar peneliti tidak kesulitan dalam penguasaan informasi baik secara keseluruhan atau bagian-bagian tertentu dari hasil penelitian, maka peneliti harus membuat naratif, matrik atau grafik untuk memudahkan penguasaan informasi atau data tersebut. Dengan demikian peneliti dapat tetap menguasai data dan tidak tenggelam dalam kesimpulan </w:t>
      </w:r>
      <w:r w:rsidRPr="00F855D9">
        <w:rPr>
          <w:rFonts w:ascii="Times New Roman" w:eastAsia="PMingLiU" w:hAnsi="Times New Roman" w:cs="Times New Roman"/>
          <w:kern w:val="2"/>
          <w:sz w:val="24"/>
          <w:szCs w:val="24"/>
          <w:lang w:eastAsia="zh-TW"/>
        </w:rPr>
        <w:lastRenderedPageBreak/>
        <w:t xml:space="preserve">informasi yang dapat membosankan. Hal ini dilakukan karena data yang terpencar-pencar dan kurang tersusun dengan baik dapat mempengaruhi peneliti dalam bertindak secara ceroboh dan mengambil kesimpulan yang memihak, tersekat-sekat daan tidak mendasar. </w:t>
      </w:r>
    </w:p>
    <w:p w:rsidR="00F855D9" w:rsidRPr="00F855D9" w:rsidRDefault="00F855D9" w:rsidP="003D7355">
      <w:pPr>
        <w:widowControl w:val="0"/>
        <w:numPr>
          <w:ilvl w:val="0"/>
          <w:numId w:val="46"/>
        </w:numPr>
        <w:tabs>
          <w:tab w:val="left" w:pos="-3402"/>
        </w:tabs>
        <w:spacing w:after="240" w:line="240" w:lineRule="auto"/>
        <w:ind w:left="993"/>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Penarikan Kesimpulan</w:t>
      </w:r>
    </w:p>
    <w:p w:rsidR="00F855D9" w:rsidRPr="00F855D9" w:rsidRDefault="00F855D9" w:rsidP="00915C1B">
      <w:pPr>
        <w:widowControl w:val="0"/>
        <w:tabs>
          <w:tab w:val="left" w:pos="-3402"/>
        </w:tabs>
        <w:spacing w:after="240" w:line="240" w:lineRule="auto"/>
        <w:ind w:left="993"/>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Penarikan kesimpulan dilakukan selama proses penelitian berlangsung seperti halnya proses reduksi data, setelah data terkumpul cukup memadai maka selanjutnya diambil kesimpulan sementara, dan setelah data benar-benar lengkap maka diambil kesimpulan akhir.</w:t>
      </w:r>
    </w:p>
    <w:p w:rsidR="00F855D9" w:rsidRPr="00F855D9" w:rsidRDefault="00F855D9" w:rsidP="00F855D9">
      <w:pPr>
        <w:widowControl w:val="0"/>
        <w:tabs>
          <w:tab w:val="left" w:pos="-3402"/>
        </w:tabs>
        <w:spacing w:after="240" w:line="240" w:lineRule="auto"/>
        <w:contextualSpacing/>
        <w:jc w:val="both"/>
        <w:rPr>
          <w:rFonts w:ascii="Times New Roman" w:eastAsia="PMingLiU" w:hAnsi="Times New Roman" w:cs="Times New Roman"/>
          <w:kern w:val="2"/>
          <w:sz w:val="24"/>
          <w:szCs w:val="24"/>
          <w:lang w:eastAsia="zh-TW"/>
        </w:rPr>
      </w:pPr>
    </w:p>
    <w:p w:rsidR="00F855D9" w:rsidRPr="00F855D9" w:rsidRDefault="00F855D9" w:rsidP="00915C1B">
      <w:pPr>
        <w:widowControl w:val="0"/>
        <w:tabs>
          <w:tab w:val="left" w:pos="-3402"/>
        </w:tabs>
        <w:spacing w:after="240" w:line="480" w:lineRule="auto"/>
        <w:ind w:left="709" w:firstLine="709"/>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ab/>
        <w:t>Dengan keempat cara tersebut yang akan dipergunakan dalam metode analisis data kualitatif akan dihubungakan dengan relevansi sumber data yang ada dalam penelitian ini.</w:t>
      </w:r>
    </w:p>
    <w:p w:rsidR="00F855D9" w:rsidRPr="00F855D9" w:rsidRDefault="00F855D9" w:rsidP="003D7355">
      <w:pPr>
        <w:widowControl w:val="0"/>
        <w:numPr>
          <w:ilvl w:val="0"/>
          <w:numId w:val="16"/>
        </w:numPr>
        <w:spacing w:after="0" w:line="480" w:lineRule="auto"/>
        <w:ind w:left="709" w:hanging="709"/>
        <w:contextualSpacing/>
        <w:jc w:val="both"/>
        <w:rPr>
          <w:rFonts w:ascii="Times New Roman" w:eastAsia="PMingLiU" w:hAnsi="Times New Roman" w:cs="Times New Roman"/>
          <w:b/>
          <w:bCs/>
          <w:kern w:val="2"/>
          <w:sz w:val="24"/>
          <w:szCs w:val="24"/>
          <w:lang w:eastAsia="zh-TW"/>
        </w:rPr>
      </w:pPr>
      <w:r w:rsidRPr="00F855D9">
        <w:rPr>
          <w:rFonts w:ascii="Times New Roman" w:eastAsia="PMingLiU" w:hAnsi="Times New Roman" w:cs="Times New Roman"/>
          <w:b/>
          <w:bCs/>
          <w:kern w:val="2"/>
          <w:sz w:val="24"/>
          <w:szCs w:val="24"/>
          <w:lang w:eastAsia="zh-TW"/>
        </w:rPr>
        <w:t>Orisinalitas Penelitian</w:t>
      </w:r>
    </w:p>
    <w:p w:rsidR="00F855D9" w:rsidRPr="00F855D9" w:rsidRDefault="00F855D9" w:rsidP="00915C1B">
      <w:pPr>
        <w:widowControl w:val="0"/>
        <w:spacing w:after="0" w:line="480" w:lineRule="auto"/>
        <w:ind w:left="709"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Beberapa hasil penelitian terdahulu yang dilakukan oleh beberapa peneliti digunakan sebagai bahan pembeda dalam penelitian ini, adalah penelitian yang dilakukan oleh Masnur Tiurmaida Malau dalam jurnalnya yang berjudul Aspek Hukum Peraturan dan Kebijakan Pemerintah Indonesia Menghadapi Liberalisasi Ekonomi Regional : Masyarakat Ekonomi ASEAN 2015, pada tahun 2014, oleh pusat penelitian dan pengembangan sistem hukum nasional BPHN, mengemukakan  bahwa akselerasi penerapan Masayarakat Ekonomi ASEAN di 2015 menuntut upaya – upaya persiapan yang maksimal dari negara – negara anggotanya termasuk Indonesia. Dampak pemberlakuan MEA yakni menjadi lisensi persaingan </w:t>
      </w:r>
      <w:r w:rsidRPr="00F855D9">
        <w:rPr>
          <w:rFonts w:ascii="Times New Roman" w:eastAsia="PMingLiU" w:hAnsi="Times New Roman" w:cs="Times New Roman"/>
          <w:bCs/>
          <w:i/>
          <w:color w:val="000000"/>
          <w:kern w:val="2"/>
          <w:sz w:val="24"/>
          <w:szCs w:val="24"/>
          <w:lang w:eastAsia="zh-TW"/>
        </w:rPr>
        <w:t>(license to competition)</w:t>
      </w:r>
      <w:r w:rsidRPr="00F855D9">
        <w:rPr>
          <w:rFonts w:ascii="Times New Roman" w:eastAsia="PMingLiU" w:hAnsi="Times New Roman" w:cs="Times New Roman"/>
          <w:bCs/>
          <w:color w:val="000000"/>
          <w:kern w:val="2"/>
          <w:sz w:val="24"/>
          <w:szCs w:val="24"/>
          <w:lang w:eastAsia="zh-TW"/>
        </w:rPr>
        <w:t xml:space="preserve"> antar mereka di dalam kawasan. Kebijakan diambil dalam rangka terjadinya persaingan di tingkat global dalam rangka mendorong lahirnya kawasan yang memiliki daya saing  sebagiamana mekanisme pasar bebas ASEAN yang sudah dirancang.</w:t>
      </w:r>
    </w:p>
    <w:p w:rsidR="00F855D9" w:rsidRPr="00F855D9" w:rsidRDefault="00F855D9" w:rsidP="00915C1B">
      <w:pPr>
        <w:widowControl w:val="0"/>
        <w:spacing w:after="0" w:line="480" w:lineRule="auto"/>
        <w:ind w:left="709"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Transaksi perdagangan dan jasa akan menyatu dan berintegrasi </w:t>
      </w:r>
      <w:r w:rsidRPr="00F855D9">
        <w:rPr>
          <w:rFonts w:ascii="Times New Roman" w:eastAsia="PMingLiU" w:hAnsi="Times New Roman" w:cs="Times New Roman"/>
          <w:bCs/>
          <w:color w:val="000000"/>
          <w:kern w:val="2"/>
          <w:sz w:val="24"/>
          <w:szCs w:val="24"/>
          <w:lang w:eastAsia="zh-TW"/>
        </w:rPr>
        <w:lastRenderedPageBreak/>
        <w:t>dalam pasar bersama. Hal ini berarti bahwa pelaku usaha di Indonesia khususnya pelaku usaha yang berkeinginan untuk melakukan ekspansi usaha di ASEAN atau berhubungan dengan pelaku usaha di negara – negara ASEAN lainnya harus memahami hukum usaha yang berlaku di negara – negara anggota termasuk hukum persaingan  usaha. Secara garis besar peluang Indonesia dalam MEA adalah sebagai pasar potensial dunia, dan sebagai negara tujuan investasi.</w:t>
      </w:r>
    </w:p>
    <w:p w:rsidR="00F855D9" w:rsidRPr="00F855D9" w:rsidRDefault="00F855D9" w:rsidP="00915C1B">
      <w:pPr>
        <w:widowControl w:val="0"/>
        <w:spacing w:after="0" w:line="480" w:lineRule="auto"/>
        <w:ind w:left="709"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Penelitian yang dilakukan oleh Dian Wahyudin, yang berjudul Peluang atau Tantangan Indonesia Menuju </w:t>
      </w:r>
      <w:r w:rsidRPr="00F855D9">
        <w:rPr>
          <w:rFonts w:ascii="Times New Roman" w:eastAsia="PMingLiU" w:hAnsi="Times New Roman" w:cs="Times New Roman"/>
          <w:bCs/>
          <w:i/>
          <w:color w:val="000000"/>
          <w:kern w:val="2"/>
          <w:sz w:val="24"/>
          <w:szCs w:val="24"/>
          <w:lang w:eastAsia="zh-TW"/>
        </w:rPr>
        <w:t>Asean Economic Community</w:t>
      </w:r>
      <w:r w:rsidRPr="00F855D9">
        <w:rPr>
          <w:rFonts w:ascii="Times New Roman" w:eastAsia="PMingLiU" w:hAnsi="Times New Roman" w:cs="Times New Roman"/>
          <w:bCs/>
          <w:color w:val="000000"/>
          <w:kern w:val="2"/>
          <w:sz w:val="24"/>
          <w:szCs w:val="24"/>
          <w:lang w:eastAsia="zh-TW"/>
        </w:rPr>
        <w:t xml:space="preserve"> (AEC) 2015, pada tahun 2014, menjelaskan bahwa Tantangan muncul ketika peluang menghadirkan berbagai risiko di dalamnya. Tantangan yang harus dihadapi Indonesia menghadapi perdagangan bebas tidak hanya berada pada permasalahan domestik, tetapi di dalam lingkup internasional khususnya kawasan Asia Tenggara. Persaingan yang terlalu kompetitf memicu kesenjangan ekonomi antar negara. Singapura misalnya, negara dengan pendapatan per kapita tertinggi di ASEAN ini tentunya tidak bisa dibandingkan bahkan disamaratakan dengan negara-neara berkembang di kawasan Asia Tenggara. </w:t>
      </w:r>
    </w:p>
    <w:p w:rsidR="00F855D9" w:rsidRPr="00F855D9" w:rsidRDefault="00F855D9" w:rsidP="00915C1B">
      <w:pPr>
        <w:widowControl w:val="0"/>
        <w:spacing w:after="0" w:line="480" w:lineRule="auto"/>
        <w:ind w:left="709"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Salah satu perangkat yang perlu dipersiapkan adalah pengaturan pemerintah suatu negara melalui peraturan atau kebijakan (</w:t>
      </w:r>
      <w:r w:rsidRPr="00F855D9">
        <w:rPr>
          <w:rFonts w:ascii="Times New Roman" w:eastAsia="PMingLiU" w:hAnsi="Times New Roman" w:cs="Times New Roman"/>
          <w:bCs/>
          <w:i/>
          <w:color w:val="000000"/>
          <w:kern w:val="2"/>
          <w:sz w:val="24"/>
          <w:szCs w:val="24"/>
          <w:lang w:eastAsia="zh-TW"/>
        </w:rPr>
        <w:t>policy</w:t>
      </w:r>
      <w:r w:rsidRPr="00F855D9">
        <w:rPr>
          <w:rFonts w:ascii="Times New Roman" w:eastAsia="PMingLiU" w:hAnsi="Times New Roman" w:cs="Times New Roman"/>
          <w:bCs/>
          <w:color w:val="000000"/>
          <w:kern w:val="2"/>
          <w:sz w:val="24"/>
          <w:szCs w:val="24"/>
          <w:lang w:eastAsia="zh-TW"/>
        </w:rPr>
        <w:t>). Hal ini penting karena dapat menciptakan alur serta panduan bagi suatu negara untuk mencapai tujuan yang diharapkan dan juga dapat mengarahkan masyarakat serta perangkat negara lainnya menuju tahap yang ingin dicapai, sehingga pengaturan melalui kebijakan (</w:t>
      </w:r>
      <w:r w:rsidRPr="00F855D9">
        <w:rPr>
          <w:rFonts w:ascii="Times New Roman" w:eastAsia="PMingLiU" w:hAnsi="Times New Roman" w:cs="Times New Roman"/>
          <w:bCs/>
          <w:i/>
          <w:color w:val="000000"/>
          <w:kern w:val="2"/>
          <w:sz w:val="24"/>
          <w:szCs w:val="24"/>
          <w:lang w:eastAsia="zh-TW"/>
        </w:rPr>
        <w:t>policy</w:t>
      </w:r>
      <w:r w:rsidRPr="00F855D9">
        <w:rPr>
          <w:rFonts w:ascii="Times New Roman" w:eastAsia="PMingLiU" w:hAnsi="Times New Roman" w:cs="Times New Roman"/>
          <w:bCs/>
          <w:color w:val="000000"/>
          <w:kern w:val="2"/>
          <w:sz w:val="24"/>
          <w:szCs w:val="24"/>
          <w:lang w:eastAsia="zh-TW"/>
        </w:rPr>
        <w:t xml:space="preserve">) ini merupakan </w:t>
      </w:r>
      <w:r w:rsidRPr="00F855D9">
        <w:rPr>
          <w:rFonts w:ascii="Times New Roman" w:eastAsia="PMingLiU" w:hAnsi="Times New Roman" w:cs="Times New Roman"/>
          <w:bCs/>
          <w:color w:val="000000"/>
          <w:kern w:val="2"/>
          <w:sz w:val="24"/>
          <w:szCs w:val="24"/>
          <w:lang w:eastAsia="zh-TW"/>
        </w:rPr>
        <w:lastRenderedPageBreak/>
        <w:t xml:space="preserve">langkah pertama sebagai upaya mempersiapkan Indonesia dan negara-negara anggota ASEAN lainnya dalam menghadapi </w:t>
      </w:r>
      <w:r w:rsidRPr="00F855D9">
        <w:rPr>
          <w:rFonts w:ascii="Times New Roman" w:eastAsia="PMingLiU" w:hAnsi="Times New Roman" w:cs="Times New Roman"/>
          <w:bCs/>
          <w:i/>
          <w:color w:val="000000"/>
          <w:kern w:val="2"/>
          <w:sz w:val="24"/>
          <w:szCs w:val="24"/>
          <w:lang w:eastAsia="zh-TW"/>
        </w:rPr>
        <w:t xml:space="preserve">ASEAN Economic Community </w:t>
      </w:r>
      <w:r w:rsidRPr="00F855D9">
        <w:rPr>
          <w:rFonts w:ascii="Times New Roman" w:eastAsia="PMingLiU" w:hAnsi="Times New Roman" w:cs="Times New Roman"/>
          <w:bCs/>
          <w:color w:val="000000"/>
          <w:kern w:val="2"/>
          <w:sz w:val="24"/>
          <w:szCs w:val="24"/>
          <w:lang w:eastAsia="zh-TW"/>
        </w:rPr>
        <w:t>pada tahun 2015.</w:t>
      </w:r>
    </w:p>
    <w:p w:rsidR="00F52E6B" w:rsidRDefault="00F855D9" w:rsidP="00F52E6B">
      <w:pPr>
        <w:widowControl w:val="0"/>
        <w:spacing w:after="0" w:line="480" w:lineRule="auto"/>
        <w:ind w:left="709"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Tesis ini melanjutkan penelitian terdahulu yang berkaitan dengan tentang kebijakan pemerintah Indonesia dalam menghadapi MEA. Dengan perbedaan dalam tesis ini adalah menganalisis dampak dari kebijakan yang telah dikemukakan oleh dua penelitian sebelumnya dari pemerintah Indonesia yang lebih ditekankan pada perdagangan jasa konstruksi dalam MEA beserta perbandingan daya saing perdagangan dalam sektor jasa konstruksi antara Indonesia dengan berbeagai negara di ASEAN. Dua penelitian terdahulu lebih menekankan persiapan mengahadapi MEA dan juga kebijakan – kebijakan Indonesia dalam menghadapi persaingan di era MEA. Sehingga pada tesis ini, kebijakan pemerintah Indonesia terkait sektor perdagangan jasa, khususnya jasa konstruksi dalam MEA akan dianalisis lebih lanjut oleh penulis.</w:t>
      </w:r>
    </w:p>
    <w:p w:rsidR="00F52E6B" w:rsidRDefault="00F52E6B" w:rsidP="00F52E6B">
      <w:pPr>
        <w:widowControl w:val="0"/>
        <w:spacing w:after="0" w:line="480" w:lineRule="auto"/>
        <w:ind w:left="709" w:firstLine="720"/>
        <w:contextualSpacing/>
        <w:jc w:val="both"/>
        <w:rPr>
          <w:rFonts w:ascii="Times New Roman" w:eastAsia="PMingLiU" w:hAnsi="Times New Roman" w:cs="Times New Roman"/>
          <w:bCs/>
          <w:color w:val="000000"/>
          <w:kern w:val="2"/>
          <w:sz w:val="24"/>
          <w:szCs w:val="24"/>
          <w:lang w:eastAsia="zh-TW"/>
        </w:rPr>
      </w:pPr>
    </w:p>
    <w:p w:rsidR="00F52E6B" w:rsidRDefault="00F52E6B" w:rsidP="00F52E6B">
      <w:pPr>
        <w:widowControl w:val="0"/>
        <w:spacing w:after="0" w:line="480" w:lineRule="auto"/>
        <w:ind w:left="709" w:firstLine="720"/>
        <w:contextualSpacing/>
        <w:jc w:val="both"/>
        <w:rPr>
          <w:rFonts w:ascii="Times New Roman" w:eastAsia="PMingLiU" w:hAnsi="Times New Roman" w:cs="Times New Roman"/>
          <w:bCs/>
          <w:color w:val="000000"/>
          <w:kern w:val="2"/>
          <w:sz w:val="24"/>
          <w:szCs w:val="24"/>
          <w:lang w:eastAsia="zh-TW"/>
        </w:rPr>
      </w:pPr>
    </w:p>
    <w:p w:rsidR="00F52E6B" w:rsidRDefault="00F52E6B" w:rsidP="00F52E6B">
      <w:pPr>
        <w:widowControl w:val="0"/>
        <w:spacing w:after="0" w:line="480" w:lineRule="auto"/>
        <w:ind w:left="709" w:firstLine="720"/>
        <w:contextualSpacing/>
        <w:jc w:val="both"/>
        <w:rPr>
          <w:rFonts w:ascii="Times New Roman" w:eastAsia="PMingLiU" w:hAnsi="Times New Roman" w:cs="Times New Roman"/>
          <w:bCs/>
          <w:color w:val="000000"/>
          <w:kern w:val="2"/>
          <w:sz w:val="24"/>
          <w:szCs w:val="24"/>
          <w:lang w:eastAsia="zh-TW"/>
        </w:rPr>
      </w:pPr>
    </w:p>
    <w:p w:rsidR="00F52E6B" w:rsidRDefault="00F52E6B" w:rsidP="00F52E6B">
      <w:pPr>
        <w:widowControl w:val="0"/>
        <w:spacing w:after="0" w:line="480" w:lineRule="auto"/>
        <w:ind w:left="709" w:firstLine="720"/>
        <w:contextualSpacing/>
        <w:jc w:val="both"/>
        <w:rPr>
          <w:rFonts w:ascii="Times New Roman" w:eastAsia="PMingLiU" w:hAnsi="Times New Roman" w:cs="Times New Roman"/>
          <w:bCs/>
          <w:color w:val="000000"/>
          <w:kern w:val="2"/>
          <w:sz w:val="24"/>
          <w:szCs w:val="24"/>
          <w:lang w:eastAsia="zh-TW"/>
        </w:rPr>
      </w:pPr>
    </w:p>
    <w:p w:rsidR="00F52E6B" w:rsidRDefault="00F52E6B" w:rsidP="00F52E6B">
      <w:pPr>
        <w:widowControl w:val="0"/>
        <w:spacing w:after="0" w:line="480" w:lineRule="auto"/>
        <w:ind w:left="709" w:firstLine="720"/>
        <w:contextualSpacing/>
        <w:jc w:val="both"/>
        <w:rPr>
          <w:rFonts w:ascii="Times New Roman" w:eastAsia="PMingLiU" w:hAnsi="Times New Roman" w:cs="Times New Roman"/>
          <w:bCs/>
          <w:color w:val="000000"/>
          <w:kern w:val="2"/>
          <w:sz w:val="24"/>
          <w:szCs w:val="24"/>
          <w:lang w:eastAsia="zh-TW"/>
        </w:rPr>
      </w:pPr>
    </w:p>
    <w:p w:rsidR="00F52E6B" w:rsidRDefault="00F52E6B" w:rsidP="00F52E6B">
      <w:pPr>
        <w:widowControl w:val="0"/>
        <w:spacing w:after="0" w:line="480" w:lineRule="auto"/>
        <w:ind w:left="709" w:firstLine="720"/>
        <w:contextualSpacing/>
        <w:jc w:val="both"/>
        <w:rPr>
          <w:rFonts w:ascii="Times New Roman" w:eastAsia="PMingLiU" w:hAnsi="Times New Roman" w:cs="Times New Roman"/>
          <w:bCs/>
          <w:color w:val="000000"/>
          <w:kern w:val="2"/>
          <w:sz w:val="24"/>
          <w:szCs w:val="24"/>
          <w:lang w:eastAsia="zh-TW"/>
        </w:rPr>
      </w:pPr>
    </w:p>
    <w:p w:rsidR="00F52E6B" w:rsidRDefault="00F52E6B" w:rsidP="00F52E6B">
      <w:pPr>
        <w:widowControl w:val="0"/>
        <w:spacing w:after="0" w:line="480" w:lineRule="auto"/>
        <w:ind w:left="709" w:firstLine="720"/>
        <w:contextualSpacing/>
        <w:jc w:val="both"/>
        <w:rPr>
          <w:rFonts w:ascii="Times New Roman" w:eastAsia="PMingLiU" w:hAnsi="Times New Roman" w:cs="Times New Roman"/>
          <w:bCs/>
          <w:color w:val="000000"/>
          <w:kern w:val="2"/>
          <w:sz w:val="24"/>
          <w:szCs w:val="24"/>
          <w:lang w:eastAsia="zh-TW"/>
        </w:rPr>
      </w:pPr>
    </w:p>
    <w:p w:rsidR="00F52E6B" w:rsidRDefault="00F52E6B" w:rsidP="00F52E6B">
      <w:pPr>
        <w:widowControl w:val="0"/>
        <w:spacing w:after="0" w:line="480" w:lineRule="auto"/>
        <w:ind w:left="709" w:firstLine="720"/>
        <w:contextualSpacing/>
        <w:jc w:val="both"/>
        <w:rPr>
          <w:rFonts w:ascii="Times New Roman" w:eastAsia="PMingLiU" w:hAnsi="Times New Roman" w:cs="Times New Roman"/>
          <w:bCs/>
          <w:color w:val="000000"/>
          <w:kern w:val="2"/>
          <w:sz w:val="24"/>
          <w:szCs w:val="24"/>
          <w:lang w:eastAsia="zh-TW"/>
        </w:rPr>
      </w:pPr>
    </w:p>
    <w:p w:rsidR="00F52E6B" w:rsidRPr="00F855D9" w:rsidRDefault="00F52E6B" w:rsidP="00F52E6B">
      <w:pPr>
        <w:widowControl w:val="0"/>
        <w:spacing w:after="0" w:line="480" w:lineRule="auto"/>
        <w:ind w:left="709" w:firstLine="720"/>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contextualSpacing/>
        <w:jc w:val="center"/>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lastRenderedPageBreak/>
        <w:t>BAB II</w:t>
      </w:r>
    </w:p>
    <w:p w:rsidR="00F855D9" w:rsidRPr="00F855D9" w:rsidRDefault="00F855D9" w:rsidP="00F855D9">
      <w:pPr>
        <w:widowControl w:val="0"/>
        <w:spacing w:after="0" w:line="480" w:lineRule="auto"/>
        <w:contextualSpacing/>
        <w:jc w:val="center"/>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TINJAUAN PUSTAKA</w:t>
      </w:r>
    </w:p>
    <w:p w:rsidR="00F855D9" w:rsidRPr="00F855D9" w:rsidRDefault="00F855D9" w:rsidP="00F855D9">
      <w:pPr>
        <w:widowControl w:val="0"/>
        <w:spacing w:after="0" w:line="48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3D7355">
      <w:pPr>
        <w:widowControl w:val="0"/>
        <w:numPr>
          <w:ilvl w:val="0"/>
          <w:numId w:val="27"/>
        </w:numPr>
        <w:spacing w:after="0" w:line="480" w:lineRule="auto"/>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Tinjauan Umum Tentang Jasa</w:t>
      </w:r>
    </w:p>
    <w:p w:rsidR="00F855D9" w:rsidRPr="00F855D9" w:rsidRDefault="00F855D9" w:rsidP="003D7355">
      <w:pPr>
        <w:widowControl w:val="0"/>
        <w:numPr>
          <w:ilvl w:val="0"/>
          <w:numId w:val="28"/>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Pengertian Jasa</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Jasa menurut Mursid adalah kegiatan yang dapat diidentifikasikan secara tersendiri, pada hakikatnya bersifat tidak teraba, untuk memenuhi kebutuhan dan tidak harus terikat pada penjualan produk atau jasa lain.</w:t>
      </w:r>
      <w:r w:rsidRPr="00F855D9">
        <w:rPr>
          <w:rFonts w:ascii="Times New Roman" w:eastAsia="PMingLiU" w:hAnsi="Times New Roman" w:cs="Times New Roman"/>
          <w:bCs/>
          <w:color w:val="000000"/>
          <w:kern w:val="2"/>
          <w:sz w:val="24"/>
          <w:szCs w:val="24"/>
          <w:vertAlign w:val="superscript"/>
          <w:lang w:eastAsia="zh-TW"/>
        </w:rPr>
        <w:footnoteReference w:id="43"/>
      </w:r>
      <w:r w:rsidRPr="00F855D9">
        <w:rPr>
          <w:rFonts w:ascii="Times New Roman" w:eastAsia="PMingLiU" w:hAnsi="Times New Roman" w:cs="Times New Roman"/>
          <w:bCs/>
          <w:color w:val="000000"/>
          <w:kern w:val="2"/>
          <w:sz w:val="24"/>
          <w:szCs w:val="24"/>
          <w:lang w:eastAsia="zh-TW"/>
        </w:rPr>
        <w:t xml:space="preserve"> Jasa menurut Kotler dalam Lupiyoadi adalah setiap tindakan atau kegiatan yang dapat ditawarkan oleh satu pihak kepada pihak lain, pada dasarnya tidak berwujud dan tidak mengakibatkan perpindahan kepemilikan apapun. Produksi jasa mungkin berkaitan dengan produk fisik atau tidak.</w:t>
      </w:r>
      <w:r w:rsidRPr="00F855D9">
        <w:rPr>
          <w:rFonts w:ascii="Times New Roman" w:eastAsia="PMingLiU" w:hAnsi="Times New Roman" w:cs="Times New Roman"/>
          <w:bCs/>
          <w:color w:val="000000"/>
          <w:kern w:val="2"/>
          <w:sz w:val="24"/>
          <w:szCs w:val="24"/>
          <w:vertAlign w:val="superscript"/>
          <w:lang w:eastAsia="zh-TW"/>
        </w:rPr>
        <w:footnoteReference w:id="44"/>
      </w:r>
    </w:p>
    <w:p w:rsidR="00F855D9" w:rsidRPr="00F855D9" w:rsidRDefault="00F855D9" w:rsidP="003D7355">
      <w:pPr>
        <w:widowControl w:val="0"/>
        <w:numPr>
          <w:ilvl w:val="0"/>
          <w:numId w:val="28"/>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Karakteristik Jasa</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Fandy Tjiptono menjelaskan bahwa ada empat karakteristik jasa yang membedakannya dengan barang  keempat karakteristik tersebut meliputi :</w:t>
      </w:r>
      <w:r w:rsidRPr="00F855D9">
        <w:rPr>
          <w:rFonts w:ascii="Times New Roman" w:eastAsia="PMingLiU" w:hAnsi="Times New Roman" w:cs="Times New Roman"/>
          <w:bCs/>
          <w:color w:val="000000"/>
          <w:kern w:val="2"/>
          <w:sz w:val="24"/>
          <w:szCs w:val="24"/>
          <w:vertAlign w:val="superscript"/>
          <w:lang w:eastAsia="zh-TW"/>
        </w:rPr>
        <w:footnoteReference w:id="45"/>
      </w:r>
      <w:r w:rsidRPr="00F855D9">
        <w:rPr>
          <w:rFonts w:ascii="Times New Roman" w:eastAsia="PMingLiU" w:hAnsi="Times New Roman" w:cs="Times New Roman"/>
          <w:bCs/>
          <w:color w:val="000000"/>
          <w:kern w:val="2"/>
          <w:sz w:val="24"/>
          <w:szCs w:val="24"/>
          <w:lang w:eastAsia="zh-TW"/>
        </w:rPr>
        <w:t xml:space="preserve"> </w:t>
      </w:r>
    </w:p>
    <w:p w:rsidR="00F855D9" w:rsidRPr="00F855D9" w:rsidRDefault="00F855D9" w:rsidP="003D7355">
      <w:pPr>
        <w:widowControl w:val="0"/>
        <w:numPr>
          <w:ilvl w:val="0"/>
          <w:numId w:val="48"/>
        </w:numPr>
        <w:spacing w:after="0" w:line="240" w:lineRule="auto"/>
        <w:ind w:left="1418"/>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Intangibility</w:t>
      </w:r>
    </w:p>
    <w:p w:rsidR="00F855D9" w:rsidRPr="00F855D9" w:rsidRDefault="00F855D9" w:rsidP="00915C1B">
      <w:pPr>
        <w:widowControl w:val="0"/>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Jasa bersifat </w:t>
      </w:r>
      <w:r w:rsidRPr="00F855D9">
        <w:rPr>
          <w:rFonts w:ascii="Times New Roman" w:eastAsia="PMingLiU" w:hAnsi="Times New Roman" w:cs="Times New Roman"/>
          <w:bCs/>
          <w:i/>
          <w:color w:val="000000"/>
          <w:kern w:val="2"/>
          <w:sz w:val="24"/>
          <w:szCs w:val="24"/>
          <w:lang w:eastAsia="zh-TW"/>
        </w:rPr>
        <w:t>intangibility</w:t>
      </w:r>
      <w:r w:rsidRPr="00F855D9">
        <w:rPr>
          <w:rFonts w:ascii="Times New Roman" w:eastAsia="PMingLiU" w:hAnsi="Times New Roman" w:cs="Times New Roman"/>
          <w:bCs/>
          <w:color w:val="000000"/>
          <w:kern w:val="2"/>
          <w:sz w:val="24"/>
          <w:szCs w:val="24"/>
          <w:lang w:eastAsia="zh-TW"/>
        </w:rPr>
        <w:t xml:space="preserve"> yang artinya tidak dapat dilihat, dirasa, dicium, didengar dan diraba sebelum dibeli dan dikonsumsi. Konsumen jasa tidak memiliki jasa yang dibelinya melainkan hanya dapat menggunakan, memanfaatkan, atau menyewa jasa tersebut. Konsumen jasa tidak dapat menilai hasil jasa sebelum menikmatinya sendiri, hal ini karena jasa mengandung unsur </w:t>
      </w:r>
      <w:r w:rsidRPr="00F855D9">
        <w:rPr>
          <w:rFonts w:ascii="Times New Roman" w:eastAsia="PMingLiU" w:hAnsi="Times New Roman" w:cs="Times New Roman"/>
          <w:bCs/>
          <w:i/>
          <w:color w:val="000000"/>
          <w:kern w:val="2"/>
          <w:sz w:val="24"/>
          <w:szCs w:val="24"/>
          <w:lang w:eastAsia="zh-TW"/>
        </w:rPr>
        <w:t>experience quality</w:t>
      </w:r>
      <w:r w:rsidRPr="00F855D9">
        <w:rPr>
          <w:rFonts w:ascii="Times New Roman" w:eastAsia="PMingLiU" w:hAnsi="Times New Roman" w:cs="Times New Roman"/>
          <w:bCs/>
          <w:color w:val="000000"/>
          <w:kern w:val="2"/>
          <w:sz w:val="24"/>
          <w:szCs w:val="24"/>
          <w:lang w:eastAsia="zh-TW"/>
        </w:rPr>
        <w:t>, yaitu karakteristik-karakteristik yang hanya dapat dinilai pelanggan setelah mengkonsumsinya. Nilai penting dari sifat intangible adalah nilai tak terwujud yang dialami konsumen dalam bentuk kenikmatan, kepuasan, atau kenyamanan.</w:t>
      </w:r>
    </w:p>
    <w:p w:rsidR="00F855D9" w:rsidRPr="00F855D9" w:rsidRDefault="00F855D9" w:rsidP="003D7355">
      <w:pPr>
        <w:widowControl w:val="0"/>
        <w:numPr>
          <w:ilvl w:val="0"/>
          <w:numId w:val="48"/>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Inseparabilility</w:t>
      </w:r>
    </w:p>
    <w:p w:rsidR="00F855D9" w:rsidRPr="00F855D9" w:rsidRDefault="00F855D9" w:rsidP="00915C1B">
      <w:pPr>
        <w:widowControl w:val="0"/>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Barang biasanya diproduksi, kemudian dijual lalu dikonsumsi, sedangkan untuk jasa umumnya dijual terlebih dahulu, baru kemudian diproduksi dan dikonsumsi pada waktu dan tempat yang sama. Karakteristik ini berarti bahwa pemberian jasa diperlukan interaksi langsung antara produsen dengan konsumen (pengguna jasa) dan inilah ciri khusus dan unsur terpenting dari pemasaran jasa. Selain itu diperlukan juga perhatian khusus untuk keterlibatan pelanggan dalam proses jasa, fasilitas pendukung dan juga pemilihan lokasi (untuk penyedia jasa yang didatangi pelanggan).</w:t>
      </w:r>
    </w:p>
    <w:p w:rsidR="00F855D9" w:rsidRPr="00F855D9" w:rsidRDefault="00F855D9" w:rsidP="003D7355">
      <w:pPr>
        <w:widowControl w:val="0"/>
        <w:numPr>
          <w:ilvl w:val="0"/>
          <w:numId w:val="48"/>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Variability</w:t>
      </w:r>
    </w:p>
    <w:p w:rsidR="00F855D9" w:rsidRPr="00F855D9" w:rsidRDefault="00F855D9" w:rsidP="00915C1B">
      <w:pPr>
        <w:widowControl w:val="0"/>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Jasa memiliki karakteristik ini karena jasa mempunyai sifat sangat variabel yang merupakan </w:t>
      </w:r>
      <w:r w:rsidRPr="00F855D9">
        <w:rPr>
          <w:rFonts w:ascii="Times New Roman" w:eastAsia="PMingLiU" w:hAnsi="Times New Roman" w:cs="Times New Roman"/>
          <w:bCs/>
          <w:i/>
          <w:color w:val="000000"/>
          <w:kern w:val="2"/>
          <w:sz w:val="24"/>
          <w:szCs w:val="24"/>
          <w:lang w:eastAsia="zh-TW"/>
        </w:rPr>
        <w:t>non-standardized output</w:t>
      </w:r>
      <w:r w:rsidRPr="00F855D9">
        <w:rPr>
          <w:rFonts w:ascii="Times New Roman" w:eastAsia="PMingLiU" w:hAnsi="Times New Roman" w:cs="Times New Roman"/>
          <w:bCs/>
          <w:color w:val="000000"/>
          <w:kern w:val="2"/>
          <w:sz w:val="24"/>
          <w:szCs w:val="24"/>
          <w:lang w:eastAsia="zh-TW"/>
        </w:rPr>
        <w:t xml:space="preserve"> yang artinya mempunyai banyak variasi bentuk, kualitas dan jenis, tergantung pada siapa, kapan, dan dimana jasa tersebut dihasilkan. Dalam melakukan pembelian jasa konsumen harus menyadari tingginya variasi dari jasa yang akan dibeli. Menurut Bovee et al. (1995) ada tiga faktor yang menyebabkan variabilitas kualitas jasa yaitu kerjasama atau partisipasi pelanggan selama penyampaian jasa, moral/motivasi karyawan dalam melayani pelanggan, dan beban kerja perusahaan.</w:t>
      </w:r>
    </w:p>
    <w:p w:rsidR="00F855D9" w:rsidRPr="00F855D9" w:rsidRDefault="00F855D9" w:rsidP="003D7355">
      <w:pPr>
        <w:widowControl w:val="0"/>
        <w:numPr>
          <w:ilvl w:val="0"/>
          <w:numId w:val="48"/>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Perishability</w:t>
      </w:r>
    </w:p>
    <w:p w:rsidR="00F855D9" w:rsidRPr="00F855D9" w:rsidRDefault="00F855D9" w:rsidP="00915C1B">
      <w:pPr>
        <w:widowControl w:val="0"/>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Jasa merupakan komoditas tidak tahan lama dan tidak dapat disimpan. Bila permintaan berfluktuasi, berbagai masalah akan muncul berkaitan dengan kapasitas. Misalnya menganggur saat permintaan sepi dan pelanggan tidak terlayani dengan resiko mereka kecewa ataupun beralih ke penyedia jasa lainnya saat permintaan puncak. </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Sedangkan menurut Payne dalam Jasfar karakteristik jasa yaitu sebagai berikut :</w:t>
      </w:r>
      <w:r w:rsidRPr="00F855D9">
        <w:rPr>
          <w:rFonts w:ascii="Times New Roman" w:eastAsia="PMingLiU" w:hAnsi="Times New Roman" w:cs="Times New Roman"/>
          <w:bCs/>
          <w:color w:val="000000"/>
          <w:kern w:val="2"/>
          <w:sz w:val="24"/>
          <w:szCs w:val="24"/>
          <w:vertAlign w:val="superscript"/>
          <w:lang w:eastAsia="zh-TW"/>
        </w:rPr>
        <w:footnoteReference w:id="46"/>
      </w:r>
    </w:p>
    <w:p w:rsidR="00F855D9" w:rsidRPr="00F855D9" w:rsidRDefault="00F855D9" w:rsidP="003D7355">
      <w:pPr>
        <w:widowControl w:val="0"/>
        <w:numPr>
          <w:ilvl w:val="1"/>
          <w:numId w:val="47"/>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Tidak berwujud. Jasa bersifat abstrak dan tidak berwujud. Artinya, jasa tidak dapat dilihat, dirasakan/dicicipi, atau disentuh, seperti yang dapat dirasakan dari suatu barang.</w:t>
      </w:r>
    </w:p>
    <w:p w:rsidR="00F855D9" w:rsidRPr="00F855D9" w:rsidRDefault="00F855D9" w:rsidP="003D7355">
      <w:pPr>
        <w:widowControl w:val="0"/>
        <w:numPr>
          <w:ilvl w:val="0"/>
          <w:numId w:val="47"/>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Tidak dapat dipisahkan. Jasa umumnya dihasilkan dan dikonsumsi pada saat yang bersamaan, dengan partisipasi konsumen dalam proses tersebut. Artinya, konsumen harus berada di tempat jasa yang dimintanya sehingga konsumen melihat dan ikut “ambil bagian” dalam proses produksi tersebut.</w:t>
      </w:r>
    </w:p>
    <w:p w:rsidR="00F855D9" w:rsidRPr="00F855D9" w:rsidRDefault="00F855D9" w:rsidP="003D7355">
      <w:pPr>
        <w:widowControl w:val="0"/>
        <w:numPr>
          <w:ilvl w:val="0"/>
          <w:numId w:val="47"/>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Heteregonitas. Jasa merupakan variabel nonstandard dan sangat bervariasi. Artinya, karena jasa itu berupa suatu unjuk kerja, tidak ada hasil jasa yang sama walaupun dikerjakan oleh satu orang. Hal ini dikarenakan oleh interaksi manusia (karyawan dan konsumen) dengan segala perbedaan harapan dan persepsi yang menyertai interaksi tersebut.</w:t>
      </w:r>
    </w:p>
    <w:p w:rsidR="00F855D9" w:rsidRPr="00F855D9" w:rsidRDefault="00F855D9" w:rsidP="003D7355">
      <w:pPr>
        <w:widowControl w:val="0"/>
        <w:numPr>
          <w:ilvl w:val="0"/>
          <w:numId w:val="47"/>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Tidak tahan lama. Jasa tidak mungkin disimpan dalam persediaan. Artinya, jasa tidak bisa disimpan, dijual kembali kepada orang lain, atau dikembalikan kepada produsen jasa, di mana konsumen membeli jasa tersebut.</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3. Klasifikasi Jasa</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Fandy Tjiptono menjelaskan bahwa secara garis besar klasifikasi jasa dapat dilakukan berdasarkan tujuh kriteria pokok yaitu :</w:t>
      </w:r>
      <w:r w:rsidRPr="00F855D9">
        <w:rPr>
          <w:rFonts w:ascii="Times New Roman" w:eastAsia="PMingLiU" w:hAnsi="Times New Roman" w:cs="Times New Roman"/>
          <w:bCs/>
          <w:color w:val="000000"/>
          <w:kern w:val="2"/>
          <w:sz w:val="24"/>
          <w:szCs w:val="24"/>
          <w:vertAlign w:val="superscript"/>
          <w:lang w:eastAsia="zh-TW"/>
        </w:rPr>
        <w:footnoteReference w:id="47"/>
      </w:r>
    </w:p>
    <w:p w:rsidR="00F855D9" w:rsidRPr="00F855D9" w:rsidRDefault="00F855D9" w:rsidP="003D7355">
      <w:pPr>
        <w:widowControl w:val="0"/>
        <w:numPr>
          <w:ilvl w:val="0"/>
          <w:numId w:val="49"/>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 Segmen pasar</w:t>
      </w:r>
    </w:p>
    <w:p w:rsidR="00F855D9" w:rsidRPr="00F855D9" w:rsidRDefault="00F855D9" w:rsidP="00915C1B">
      <w:pPr>
        <w:widowControl w:val="0"/>
        <w:spacing w:after="0" w:line="240" w:lineRule="auto"/>
        <w:ind w:left="36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Berdasarkan segmen pasar, jasa dapat dibedakan menjadi:</w:t>
      </w:r>
    </w:p>
    <w:p w:rsidR="00F855D9" w:rsidRPr="00F855D9" w:rsidRDefault="00F855D9" w:rsidP="003D7355">
      <w:pPr>
        <w:widowControl w:val="0"/>
        <w:numPr>
          <w:ilvl w:val="2"/>
          <w:numId w:val="49"/>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Jasa yang ditujukan pada konsumen akhir seperti taksi, asuransi jiwa, katering, jasatabungan, dan pendidikan.</w:t>
      </w:r>
    </w:p>
    <w:p w:rsidR="00F855D9" w:rsidRPr="00F855D9" w:rsidRDefault="00F855D9" w:rsidP="003D7355">
      <w:pPr>
        <w:widowControl w:val="0"/>
        <w:numPr>
          <w:ilvl w:val="2"/>
          <w:numId w:val="49"/>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Jasa bagi konsumen organisasi seperti biro periklanan, jasa akuntansi dan perpajakan,dan jasa konsultasi manajemen.</w:t>
      </w:r>
    </w:p>
    <w:p w:rsidR="00F855D9" w:rsidRPr="00F855D9" w:rsidRDefault="00F855D9" w:rsidP="003D7355">
      <w:pPr>
        <w:widowControl w:val="0"/>
        <w:numPr>
          <w:ilvl w:val="0"/>
          <w:numId w:val="49"/>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Tingkat keberwujudan</w:t>
      </w:r>
    </w:p>
    <w:p w:rsidR="00F855D9" w:rsidRPr="00F855D9" w:rsidRDefault="00F855D9" w:rsidP="00915C1B">
      <w:pPr>
        <w:widowControl w:val="0"/>
        <w:spacing w:after="0" w:line="240" w:lineRule="auto"/>
        <w:ind w:left="36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Berdasarkan tingkat keberwujudan, jasa dapat dibedakan menjadi:</w:t>
      </w:r>
    </w:p>
    <w:p w:rsidR="00F855D9" w:rsidRPr="00F855D9" w:rsidRDefault="00F855D9" w:rsidP="003D7355">
      <w:pPr>
        <w:widowControl w:val="0"/>
        <w:numPr>
          <w:ilvl w:val="0"/>
          <w:numId w:val="89"/>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Rented-good service</w:t>
      </w:r>
    </w:p>
    <w:p w:rsidR="00F855D9" w:rsidRPr="00F855D9" w:rsidRDefault="00F855D9" w:rsidP="00915C1B">
      <w:pPr>
        <w:widowControl w:val="0"/>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Dalam tipe ini konsumen menyewa dan menggunakan produk tertentu berdasarkan tarif yang disepakati selama jangka waktu spesifik, seperti penyewaan kendaraan, VCD, apartemen, dan lain- lain.</w:t>
      </w:r>
    </w:p>
    <w:p w:rsidR="00F855D9" w:rsidRPr="00F855D9" w:rsidRDefault="00F855D9" w:rsidP="003D7355">
      <w:pPr>
        <w:widowControl w:val="0"/>
        <w:numPr>
          <w:ilvl w:val="0"/>
          <w:numId w:val="89"/>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Owned-good service</w:t>
      </w:r>
    </w:p>
    <w:p w:rsidR="00F855D9" w:rsidRPr="00F855D9" w:rsidRDefault="00F855D9" w:rsidP="00915C1B">
      <w:pPr>
        <w:widowControl w:val="0"/>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Pada tipe ini produk yang dimiliki konsumen disepakati, dikembangkan, atau ditingkatkan kinerjanya melalui pemeliharaan atau perawatan oleh perusahaan jasa seperti jasa reparasi AC, arloji, motor, komputer, dan lain-lain.</w:t>
      </w:r>
    </w:p>
    <w:p w:rsidR="00F855D9" w:rsidRPr="00F855D9" w:rsidRDefault="00F855D9" w:rsidP="003D7355">
      <w:pPr>
        <w:widowControl w:val="0"/>
        <w:numPr>
          <w:ilvl w:val="0"/>
          <w:numId w:val="89"/>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Non-good service</w:t>
      </w:r>
    </w:p>
    <w:p w:rsidR="00F855D9" w:rsidRPr="00F855D9" w:rsidRDefault="00F855D9" w:rsidP="00915C1B">
      <w:pPr>
        <w:widowControl w:val="0"/>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Karakteristik khusus pada jenis ini adalah jasa personal yang bersifat intangible yang ditawarkan kepada para pelanggan, seperti supir, dosen, penata rias, pemandu wisata, dan lain-lain.</w:t>
      </w:r>
    </w:p>
    <w:p w:rsidR="00F855D9" w:rsidRPr="00F855D9" w:rsidRDefault="00F855D9" w:rsidP="003D7355">
      <w:pPr>
        <w:widowControl w:val="0"/>
        <w:numPr>
          <w:ilvl w:val="0"/>
          <w:numId w:val="49"/>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Keterampilan penyedia jasa</w:t>
      </w:r>
    </w:p>
    <w:p w:rsidR="00F855D9" w:rsidRPr="00F855D9" w:rsidRDefault="00F855D9" w:rsidP="00915C1B">
      <w:pPr>
        <w:widowControl w:val="0"/>
        <w:spacing w:after="0" w:line="240" w:lineRule="auto"/>
        <w:ind w:left="1134"/>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Berdasarkan tingkat penyedia jasa terdapat dua tipe pokok jasa, yaitu:</w:t>
      </w:r>
    </w:p>
    <w:p w:rsidR="00F855D9" w:rsidRPr="00F855D9" w:rsidRDefault="00F855D9" w:rsidP="003D7355">
      <w:pPr>
        <w:widowControl w:val="0"/>
        <w:numPr>
          <w:ilvl w:val="1"/>
          <w:numId w:val="88"/>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Professional service</w:t>
      </w:r>
      <w:r w:rsidRPr="00F855D9">
        <w:rPr>
          <w:rFonts w:ascii="Times New Roman" w:eastAsia="PMingLiU" w:hAnsi="Times New Roman" w:cs="Times New Roman"/>
          <w:bCs/>
          <w:color w:val="000000"/>
          <w:kern w:val="2"/>
          <w:sz w:val="24"/>
          <w:szCs w:val="24"/>
          <w:lang w:eastAsia="zh-TW"/>
        </w:rPr>
        <w:t xml:space="preserve"> seperti dosen, konsultan manajemen, pengacara, dokter, dan lain-lain.</w:t>
      </w:r>
    </w:p>
    <w:p w:rsidR="00F855D9" w:rsidRPr="00F855D9" w:rsidRDefault="00F855D9" w:rsidP="003D7355">
      <w:pPr>
        <w:widowControl w:val="0"/>
        <w:numPr>
          <w:ilvl w:val="1"/>
          <w:numId w:val="88"/>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Non professional service</w:t>
      </w:r>
      <w:r w:rsidRPr="00F855D9">
        <w:rPr>
          <w:rFonts w:ascii="Times New Roman" w:eastAsia="PMingLiU" w:hAnsi="Times New Roman" w:cs="Times New Roman"/>
          <w:bCs/>
          <w:color w:val="000000"/>
          <w:kern w:val="2"/>
          <w:sz w:val="24"/>
          <w:szCs w:val="24"/>
          <w:lang w:eastAsia="zh-TW"/>
        </w:rPr>
        <w:t xml:space="preserve"> seperti supir taksi, tukang parkir, pengantar surat, tukang sampah, dan lain-lain.</w:t>
      </w:r>
    </w:p>
    <w:p w:rsidR="00F855D9" w:rsidRPr="00F855D9" w:rsidRDefault="00F855D9" w:rsidP="003D7355">
      <w:pPr>
        <w:widowControl w:val="0"/>
        <w:numPr>
          <w:ilvl w:val="0"/>
          <w:numId w:val="49"/>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Tujuan organisasi penyedia jasa</w:t>
      </w:r>
    </w:p>
    <w:p w:rsidR="00F855D9" w:rsidRPr="00F855D9" w:rsidRDefault="00F855D9" w:rsidP="00915C1B">
      <w:pPr>
        <w:widowControl w:val="0"/>
        <w:spacing w:after="0" w:line="240" w:lineRule="auto"/>
        <w:ind w:left="1134"/>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Berdasarkan tujuan organisasi, jasa dapat diklasifikasikan menjadi:</w:t>
      </w:r>
    </w:p>
    <w:p w:rsidR="00F855D9" w:rsidRPr="00F855D9" w:rsidRDefault="00F855D9" w:rsidP="003D7355">
      <w:pPr>
        <w:widowControl w:val="0"/>
        <w:numPr>
          <w:ilvl w:val="1"/>
          <w:numId w:val="90"/>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Commercial service/profit service</w:t>
      </w:r>
      <w:r w:rsidRPr="00F855D9">
        <w:rPr>
          <w:rFonts w:ascii="Times New Roman" w:eastAsia="PMingLiU" w:hAnsi="Times New Roman" w:cs="Times New Roman"/>
          <w:bCs/>
          <w:color w:val="000000"/>
          <w:kern w:val="2"/>
          <w:sz w:val="24"/>
          <w:szCs w:val="24"/>
          <w:lang w:eastAsia="zh-TW"/>
        </w:rPr>
        <w:t xml:space="preserve"> seperti jasa penerbangan, bank, penyewa mobil, hotel, dan lain-lain.</w:t>
      </w:r>
    </w:p>
    <w:p w:rsidR="00F855D9" w:rsidRDefault="00F855D9" w:rsidP="003D7355">
      <w:pPr>
        <w:widowControl w:val="0"/>
        <w:numPr>
          <w:ilvl w:val="1"/>
          <w:numId w:val="90"/>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Non-profit service</w:t>
      </w:r>
      <w:r w:rsidRPr="00F855D9">
        <w:rPr>
          <w:rFonts w:ascii="Times New Roman" w:eastAsia="PMingLiU" w:hAnsi="Times New Roman" w:cs="Times New Roman"/>
          <w:bCs/>
          <w:color w:val="000000"/>
          <w:kern w:val="2"/>
          <w:sz w:val="24"/>
          <w:szCs w:val="24"/>
          <w:lang w:eastAsia="zh-TW"/>
        </w:rPr>
        <w:t xml:space="preserve"> seperti sekolah, panti asuhan, perpustakaan, museum. dan lain-lain.</w:t>
      </w:r>
    </w:p>
    <w:p w:rsidR="00915C1B" w:rsidRPr="00F855D9" w:rsidRDefault="00915C1B" w:rsidP="00915C1B">
      <w:pPr>
        <w:widowControl w:val="0"/>
        <w:spacing w:after="0" w:line="240" w:lineRule="auto"/>
        <w:ind w:left="1701"/>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3D7355">
      <w:pPr>
        <w:widowControl w:val="0"/>
        <w:numPr>
          <w:ilvl w:val="0"/>
          <w:numId w:val="49"/>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Regulasi</w:t>
      </w:r>
    </w:p>
    <w:p w:rsidR="00F855D9" w:rsidRPr="00F855D9" w:rsidRDefault="00F855D9" w:rsidP="00915C1B">
      <w:pPr>
        <w:widowControl w:val="0"/>
        <w:spacing w:after="0" w:line="240" w:lineRule="auto"/>
        <w:ind w:left="1134"/>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Dari aspek regulasi, jasa dapat dibagi menjadi :</w:t>
      </w:r>
    </w:p>
    <w:p w:rsidR="00F855D9" w:rsidRPr="00F855D9" w:rsidRDefault="00F855D9" w:rsidP="003D7355">
      <w:pPr>
        <w:widowControl w:val="0"/>
        <w:numPr>
          <w:ilvl w:val="1"/>
          <w:numId w:val="91"/>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Regulated service</w:t>
      </w:r>
      <w:r w:rsidRPr="00F855D9">
        <w:rPr>
          <w:rFonts w:ascii="Times New Roman" w:eastAsia="PMingLiU" w:hAnsi="Times New Roman" w:cs="Times New Roman"/>
          <w:bCs/>
          <w:color w:val="000000"/>
          <w:kern w:val="2"/>
          <w:sz w:val="24"/>
          <w:szCs w:val="24"/>
          <w:lang w:eastAsia="zh-TW"/>
        </w:rPr>
        <w:t xml:space="preserve"> seperti jasa pialang, angkutan umum, media masa, perbankan, dan lain-lain.</w:t>
      </w:r>
    </w:p>
    <w:p w:rsidR="00F855D9" w:rsidRPr="00F855D9" w:rsidRDefault="00F855D9" w:rsidP="003D7355">
      <w:pPr>
        <w:widowControl w:val="0"/>
        <w:numPr>
          <w:ilvl w:val="1"/>
          <w:numId w:val="91"/>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Non-regulated service</w:t>
      </w:r>
      <w:r w:rsidRPr="00F855D9">
        <w:rPr>
          <w:rFonts w:ascii="Times New Roman" w:eastAsia="PMingLiU" w:hAnsi="Times New Roman" w:cs="Times New Roman"/>
          <w:bCs/>
          <w:color w:val="000000"/>
          <w:kern w:val="2"/>
          <w:sz w:val="24"/>
          <w:szCs w:val="24"/>
          <w:lang w:eastAsia="zh-TW"/>
        </w:rPr>
        <w:t xml:space="preserve"> seperti jasa makelar, katering, kost, asrama, kantin sekolah, dan lain-lain.</w:t>
      </w:r>
    </w:p>
    <w:p w:rsidR="00F855D9" w:rsidRPr="00F855D9" w:rsidRDefault="00F855D9" w:rsidP="003D7355">
      <w:pPr>
        <w:widowControl w:val="0"/>
        <w:numPr>
          <w:ilvl w:val="0"/>
          <w:numId w:val="49"/>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Tingkat intensitas karyawan</w:t>
      </w:r>
    </w:p>
    <w:p w:rsidR="00F855D9" w:rsidRPr="00F855D9" w:rsidRDefault="00F855D9" w:rsidP="00915C1B">
      <w:pPr>
        <w:widowControl w:val="0"/>
        <w:spacing w:after="0" w:line="240" w:lineRule="auto"/>
        <w:ind w:left="1134"/>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Berdasarkan tingkat intensitas karyawan (keterlibatan tenaga kerja), jasa dapat dikelompokkan menjadi dua macam, yaitu:</w:t>
      </w:r>
    </w:p>
    <w:p w:rsidR="00F855D9" w:rsidRPr="00F855D9" w:rsidRDefault="00F855D9" w:rsidP="003D7355">
      <w:pPr>
        <w:widowControl w:val="0"/>
        <w:numPr>
          <w:ilvl w:val="1"/>
          <w:numId w:val="92"/>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Equipment-based service</w:t>
      </w:r>
      <w:r w:rsidRPr="00F855D9">
        <w:rPr>
          <w:rFonts w:ascii="Times New Roman" w:eastAsia="PMingLiU" w:hAnsi="Times New Roman" w:cs="Times New Roman"/>
          <w:bCs/>
          <w:color w:val="000000"/>
          <w:kern w:val="2"/>
          <w:sz w:val="24"/>
          <w:szCs w:val="24"/>
          <w:lang w:eastAsia="zh-TW"/>
        </w:rPr>
        <w:t xml:space="preserve"> seperti cuci mobil otomatis, jasa sambungan telepon internasional dan lokal, ATM (Anjungan Tunai Mandiri), dan lain-lain.</w:t>
      </w:r>
    </w:p>
    <w:p w:rsidR="00F855D9" w:rsidRPr="00F855D9" w:rsidRDefault="00F855D9" w:rsidP="003D7355">
      <w:pPr>
        <w:widowControl w:val="0"/>
        <w:numPr>
          <w:ilvl w:val="1"/>
          <w:numId w:val="92"/>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People-based service</w:t>
      </w:r>
      <w:r w:rsidRPr="00F855D9">
        <w:rPr>
          <w:rFonts w:ascii="Times New Roman" w:eastAsia="PMingLiU" w:hAnsi="Times New Roman" w:cs="Times New Roman"/>
          <w:bCs/>
          <w:color w:val="000000"/>
          <w:kern w:val="2"/>
          <w:sz w:val="24"/>
          <w:szCs w:val="24"/>
          <w:lang w:eastAsia="zh-TW"/>
        </w:rPr>
        <w:t xml:space="preserve"> seperti pelatih sepak bola, satpam, akuntan, konsultan hukum, bidan, dokter, dan lain-lain.</w:t>
      </w:r>
    </w:p>
    <w:p w:rsidR="00F855D9" w:rsidRPr="00F855D9" w:rsidRDefault="00F855D9" w:rsidP="003D7355">
      <w:pPr>
        <w:widowControl w:val="0"/>
        <w:numPr>
          <w:ilvl w:val="0"/>
          <w:numId w:val="49"/>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Tingkat kontak penyedia jasa dan pelayanan</w:t>
      </w:r>
    </w:p>
    <w:p w:rsidR="00F855D9" w:rsidRPr="00F855D9" w:rsidRDefault="00F855D9" w:rsidP="00915C1B">
      <w:pPr>
        <w:widowControl w:val="0"/>
        <w:spacing w:after="0" w:line="240" w:lineRule="auto"/>
        <w:ind w:left="1134"/>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Berdasarkan tingkat kontak ini, secara umum jasa dapat dikelompokkan menjadi:</w:t>
      </w:r>
    </w:p>
    <w:p w:rsidR="00F855D9" w:rsidRPr="00F855D9" w:rsidRDefault="00F855D9" w:rsidP="003D7355">
      <w:pPr>
        <w:widowControl w:val="0"/>
        <w:numPr>
          <w:ilvl w:val="1"/>
          <w:numId w:val="93"/>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High-contact service</w:t>
      </w:r>
      <w:r w:rsidRPr="00F855D9">
        <w:rPr>
          <w:rFonts w:ascii="Times New Roman" w:eastAsia="PMingLiU" w:hAnsi="Times New Roman" w:cs="Times New Roman"/>
          <w:bCs/>
          <w:color w:val="000000"/>
          <w:kern w:val="2"/>
          <w:sz w:val="24"/>
          <w:szCs w:val="24"/>
          <w:lang w:eastAsia="zh-TW"/>
        </w:rPr>
        <w:t xml:space="preserve"> seperti universitas, bank, dokter, penata rambut, dan lain-lain.</w:t>
      </w:r>
    </w:p>
    <w:p w:rsidR="00F855D9" w:rsidRPr="00F855D9" w:rsidRDefault="00F855D9" w:rsidP="003D7355">
      <w:pPr>
        <w:widowControl w:val="0"/>
        <w:numPr>
          <w:ilvl w:val="1"/>
          <w:numId w:val="93"/>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Low-contact service</w:t>
      </w:r>
      <w:r w:rsidRPr="00F855D9">
        <w:rPr>
          <w:rFonts w:ascii="Times New Roman" w:eastAsia="PMingLiU" w:hAnsi="Times New Roman" w:cs="Times New Roman"/>
          <w:bCs/>
          <w:color w:val="000000"/>
          <w:kern w:val="2"/>
          <w:sz w:val="24"/>
          <w:szCs w:val="24"/>
          <w:lang w:eastAsia="zh-TW"/>
        </w:rPr>
        <w:t xml:space="preserve"> seperti bioskop, jasa, PLN, jasa komunikasi, jasa layanan pos, dan lain-lain.</w:t>
      </w:r>
    </w:p>
    <w:p w:rsidR="00F855D9" w:rsidRPr="00F855D9" w:rsidRDefault="00F855D9" w:rsidP="00F855D9">
      <w:pPr>
        <w:widowControl w:val="0"/>
        <w:spacing w:after="0" w:line="24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B.</w:t>
      </w:r>
      <w:r w:rsidRPr="00F855D9">
        <w:rPr>
          <w:rFonts w:ascii="Times New Roman" w:eastAsia="PMingLiU" w:hAnsi="Times New Roman" w:cs="Times New Roman"/>
          <w:bCs/>
          <w:color w:val="000000"/>
          <w:kern w:val="2"/>
          <w:sz w:val="24"/>
          <w:szCs w:val="24"/>
          <w:lang w:eastAsia="zh-TW"/>
        </w:rPr>
        <w:t xml:space="preserve"> </w:t>
      </w:r>
      <w:r w:rsidRPr="00F855D9">
        <w:rPr>
          <w:rFonts w:ascii="Times New Roman" w:eastAsia="PMingLiU" w:hAnsi="Times New Roman" w:cs="Times New Roman"/>
          <w:b/>
          <w:bCs/>
          <w:color w:val="000000"/>
          <w:kern w:val="2"/>
          <w:sz w:val="24"/>
          <w:szCs w:val="24"/>
          <w:lang w:eastAsia="zh-TW"/>
        </w:rPr>
        <w:t>Tinjauan Umum Tentang Konstruksi</w:t>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 Pengertian Konstruksi</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Pengertian "konstruksi" adalah suatu kegiatan membangun sarana maupun prasarana yang meliputi pembangunan gedung (</w:t>
      </w:r>
      <w:r w:rsidRPr="00F855D9">
        <w:rPr>
          <w:rFonts w:ascii="Times New Roman" w:eastAsia="PMingLiU" w:hAnsi="Times New Roman" w:cs="Times New Roman"/>
          <w:bCs/>
          <w:i/>
          <w:color w:val="000000"/>
          <w:kern w:val="2"/>
          <w:sz w:val="24"/>
          <w:szCs w:val="24"/>
          <w:lang w:eastAsia="zh-TW"/>
        </w:rPr>
        <w:t>building construction</w:t>
      </w:r>
      <w:r w:rsidRPr="00F855D9">
        <w:rPr>
          <w:rFonts w:ascii="Times New Roman" w:eastAsia="PMingLiU" w:hAnsi="Times New Roman" w:cs="Times New Roman"/>
          <w:bCs/>
          <w:color w:val="000000"/>
          <w:kern w:val="2"/>
          <w:sz w:val="24"/>
          <w:szCs w:val="24"/>
          <w:lang w:eastAsia="zh-TW"/>
        </w:rPr>
        <w:t>), pembangunan prasarana sipil (</w:t>
      </w:r>
      <w:r w:rsidRPr="00F855D9">
        <w:rPr>
          <w:rFonts w:ascii="Times New Roman" w:eastAsia="PMingLiU" w:hAnsi="Times New Roman" w:cs="Times New Roman"/>
          <w:bCs/>
          <w:i/>
          <w:color w:val="000000"/>
          <w:kern w:val="2"/>
          <w:sz w:val="24"/>
          <w:szCs w:val="24"/>
          <w:lang w:eastAsia="zh-TW"/>
        </w:rPr>
        <w:t>Civil Engineer</w:t>
      </w:r>
      <w:r w:rsidRPr="00F855D9">
        <w:rPr>
          <w:rFonts w:ascii="Times New Roman" w:eastAsia="PMingLiU" w:hAnsi="Times New Roman" w:cs="Times New Roman"/>
          <w:bCs/>
          <w:color w:val="000000"/>
          <w:kern w:val="2"/>
          <w:sz w:val="24"/>
          <w:szCs w:val="24"/>
          <w:lang w:eastAsia="zh-TW"/>
        </w:rPr>
        <w:t>), dan instalasi mekanikal dan elektrikal.</w:t>
      </w:r>
      <w:r w:rsidRPr="00F855D9">
        <w:rPr>
          <w:rFonts w:ascii="Times New Roman" w:eastAsia="PMingLiU" w:hAnsi="Times New Roman" w:cs="Times New Roman"/>
          <w:bCs/>
          <w:color w:val="000000"/>
          <w:kern w:val="2"/>
          <w:sz w:val="24"/>
          <w:szCs w:val="24"/>
          <w:vertAlign w:val="superscript"/>
          <w:lang w:eastAsia="zh-TW"/>
        </w:rPr>
        <w:footnoteReference w:id="48"/>
      </w:r>
      <w:r w:rsidRPr="00F855D9">
        <w:rPr>
          <w:rFonts w:ascii="Times New Roman" w:eastAsia="PMingLiU" w:hAnsi="Times New Roman" w:cs="Times New Roman"/>
          <w:bCs/>
          <w:color w:val="000000"/>
          <w:kern w:val="2"/>
          <w:sz w:val="24"/>
          <w:szCs w:val="24"/>
          <w:lang w:eastAsia="zh-TW"/>
        </w:rPr>
        <w:t xml:space="preserve"> Dalam melakukan suatu konstruksi biasanya dilakukan sebuah perencanaan terpadu. Hal ini terkait dengan metode penentuan besarnya biaya yang diperlukan, rancangan bangunan, dan efek lain yang akan terjadi saat pelaksanaan konstruksi. Sebuah jadwal perencanaan yang baik, akan menentukan suksesnya sebuah bangunan yang terkait dengan pendanaan, dampak lingkungan, keamanan lingkungan, ketersediaan material, logistik, ketidaknyamanan publik </w:t>
      </w:r>
      <w:r w:rsidRPr="00F855D9">
        <w:rPr>
          <w:rFonts w:ascii="Times New Roman" w:eastAsia="PMingLiU" w:hAnsi="Times New Roman" w:cs="Times New Roman"/>
          <w:bCs/>
          <w:color w:val="000000"/>
          <w:kern w:val="2"/>
          <w:sz w:val="24"/>
          <w:szCs w:val="24"/>
          <w:lang w:eastAsia="zh-TW"/>
        </w:rPr>
        <w:lastRenderedPageBreak/>
        <w:t>terkait dengan pekerjaan konstruksi, persiapan dokumen tender, dan lain sebagainya.</w:t>
      </w:r>
      <w:r w:rsidRPr="00F855D9">
        <w:rPr>
          <w:rFonts w:ascii="Times New Roman" w:eastAsia="PMingLiU" w:hAnsi="Times New Roman" w:cs="Times New Roman"/>
          <w:bCs/>
          <w:color w:val="000000"/>
          <w:kern w:val="2"/>
          <w:sz w:val="24"/>
          <w:szCs w:val="24"/>
          <w:vertAlign w:val="superscript"/>
          <w:lang w:eastAsia="zh-TW"/>
        </w:rPr>
        <w:footnoteReference w:id="49"/>
      </w:r>
    </w:p>
    <w:p w:rsidR="00F855D9" w:rsidRPr="00F855D9" w:rsidRDefault="00F855D9" w:rsidP="003D7355">
      <w:pPr>
        <w:widowControl w:val="0"/>
        <w:numPr>
          <w:ilvl w:val="0"/>
          <w:numId w:val="29"/>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Jenis – Jenis Konstruksi</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Data Badan Pusat Statistik dari kegiatan konstruksi dapat mencakup berbagai macam jenis konstruksi. BPS mengklasifikasikan jenis-jenis konstruksi sebagai berikut :</w:t>
      </w:r>
      <w:r w:rsidRPr="00F855D9">
        <w:rPr>
          <w:rFonts w:ascii="Times New Roman" w:eastAsia="PMingLiU" w:hAnsi="Times New Roman" w:cs="Times New Roman"/>
          <w:bCs/>
          <w:color w:val="000000"/>
          <w:kern w:val="2"/>
          <w:sz w:val="24"/>
          <w:szCs w:val="24"/>
          <w:vertAlign w:val="superscript"/>
          <w:lang w:eastAsia="zh-TW"/>
        </w:rPr>
        <w:footnoteReference w:id="50"/>
      </w:r>
    </w:p>
    <w:p w:rsidR="00F855D9" w:rsidRPr="00F855D9" w:rsidRDefault="00F855D9" w:rsidP="00915C1B">
      <w:pPr>
        <w:widowControl w:val="0"/>
        <w:spacing w:after="0" w:line="24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 Konstruksi gedung tempat tinggal meliputi rumah, apartemen, kondominium dan sejenisnya;</w:t>
      </w:r>
    </w:p>
    <w:p w:rsidR="00F855D9" w:rsidRPr="00F855D9" w:rsidRDefault="00F855D9" w:rsidP="00915C1B">
      <w:pPr>
        <w:widowControl w:val="0"/>
        <w:spacing w:after="0" w:line="24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 Konstruksi gedung bukan tempat tinggal mencakup perkantoran, kawasan industri/ pabrik, bengkel, pusat perbelanjaan, rumah sakit, sekolah, hotel, bioskop, gelanggang olah raga, gedung kesenian/ hiburan, tempat ibadah dan sejenisnya;</w:t>
      </w:r>
    </w:p>
    <w:p w:rsidR="00F855D9" w:rsidRPr="00F855D9" w:rsidRDefault="00F855D9" w:rsidP="00915C1B">
      <w:pPr>
        <w:widowControl w:val="0"/>
        <w:spacing w:after="0" w:line="24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c. Konstruksi bangunan sipil seperti jalan, tol, jembatan, landasan pesawat terbang, jalan rel dan jembatan kereta api, terowongan, bendungan, waduk, menara air, jaringan irigasi, drainase, sanitasi, tanggul pengendali banjir, teriminal, stasiun, parkir, dermaga, pergudangan, pelabuhan, bandar dan sejenisnya;</w:t>
      </w:r>
    </w:p>
    <w:p w:rsidR="00F855D9" w:rsidRPr="00F855D9" w:rsidRDefault="00F855D9" w:rsidP="00915C1B">
      <w:pPr>
        <w:widowControl w:val="0"/>
        <w:spacing w:after="0" w:line="24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d. Konstruksi bangunan elektrik dan telekomunikasi yaitu pembangkit tenaga listrik, transmisi, distribusi dan bangunan jaringan komunikasi dan sejenisnya;</w:t>
      </w:r>
    </w:p>
    <w:p w:rsidR="00F855D9" w:rsidRPr="00F855D9" w:rsidRDefault="00F855D9" w:rsidP="00915C1B">
      <w:pPr>
        <w:widowControl w:val="0"/>
        <w:spacing w:after="0" w:line="24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e. Instalasi gedung dan bangunan sipil seperti instalasi listrik termasuk alat pendingin dan pemanas ruangan, instalasi gas, instalasi air bersih dan air limbah serta saluran drainase dan sejenisnya;</w:t>
      </w:r>
    </w:p>
    <w:p w:rsidR="00F855D9" w:rsidRPr="00F855D9" w:rsidRDefault="00F855D9" w:rsidP="00915C1B">
      <w:pPr>
        <w:widowControl w:val="0"/>
        <w:spacing w:after="0" w:line="24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f. Pengerukan meliputi pengerukan sungai, rawa, danau dan alur pelayaran, kolam dan kanal pelabuhan baik bersifat pekerjaan ringan, sedang, maupun berat;</w:t>
      </w:r>
    </w:p>
    <w:p w:rsidR="00F855D9" w:rsidRPr="00F855D9" w:rsidRDefault="00F855D9" w:rsidP="00915C1B">
      <w:pPr>
        <w:widowControl w:val="0"/>
        <w:spacing w:after="0" w:line="24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g. Penyiapan lahan untuk pekerjaan konstruksi, termasuk pembongkaran dan penghancuran gedung atau bangunan lainnya serta pembersihan;</w:t>
      </w:r>
    </w:p>
    <w:p w:rsidR="00F855D9" w:rsidRPr="00F855D9" w:rsidRDefault="00F855D9" w:rsidP="00915C1B">
      <w:pPr>
        <w:widowControl w:val="0"/>
        <w:spacing w:after="0" w:line="24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h. Penyelesaian konstruksi seperti pemasangan kaca dan aluminium, pengerjaan lantai, dinding dan plafon gedung, pengecatan, pengerjaan interior dan dekorasi dalam penyelesaian akhir, pengerjaan eksterior dan pertamanan pada gedung dan bangunan sipil lainnya;</w:t>
      </w:r>
    </w:p>
    <w:p w:rsidR="00F855D9" w:rsidRPr="00F855D9" w:rsidRDefault="00F855D9" w:rsidP="00915C1B">
      <w:pPr>
        <w:widowControl w:val="0"/>
        <w:spacing w:after="0" w:line="24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i. Penyewaan alat konstruksi dengan operatornya seperti derek lori, molen, buldoser, alat pencampur beton, mesin pancang dan sejenisnya.</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3. Ruang Lingkup Sektor Konstruksi</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Ruang lingkup sektor konstruksi sebagaimana tersebut di atas agak berbeda dengan klasifikasi jenis konstruksi yang digunakan oleh </w:t>
      </w:r>
      <w:r w:rsidRPr="00F855D9">
        <w:rPr>
          <w:rFonts w:ascii="Times New Roman" w:eastAsia="PMingLiU" w:hAnsi="Times New Roman" w:cs="Times New Roman"/>
          <w:bCs/>
          <w:color w:val="000000"/>
          <w:kern w:val="2"/>
          <w:sz w:val="24"/>
          <w:szCs w:val="24"/>
          <w:lang w:eastAsia="zh-TW"/>
        </w:rPr>
        <w:lastRenderedPageBreak/>
        <w:t>perbankan. Secara umum, perbankan nasional menggunakan klasifikasi jenis konstruksi untuk penyusunan database terkait dengan kredit sebagai berikut :</w:t>
      </w:r>
      <w:r w:rsidRPr="00F855D9">
        <w:rPr>
          <w:rFonts w:ascii="Times New Roman" w:eastAsia="PMingLiU" w:hAnsi="Times New Roman" w:cs="Times New Roman"/>
          <w:bCs/>
          <w:color w:val="000000"/>
          <w:kern w:val="2"/>
          <w:sz w:val="24"/>
          <w:szCs w:val="24"/>
          <w:vertAlign w:val="superscript"/>
          <w:lang w:eastAsia="zh-TW"/>
        </w:rPr>
        <w:footnoteReference w:id="51"/>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 Konstruksi perumahan sederhana</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 Konstruksi untuk perumahan sederhana</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2.) Konstruksi untuk perumahan sederhana perumnas</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3.) Konstruksi untuk perumahan sederhana lainnya</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 Konstruksi penyiapan tanah pemukiman transmigrasi (PTPT)</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 Konstruksi penyiapan tanah pemukiman transmigrasi</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c. Konstruksi jalan raya dan jembatan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 Konstruksi jalan raya dan jembatan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2.) Konstruksi sarana jalan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d. Konstruksi Listrik</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 Konstruksi listrik perdesaan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2.) Konstruksi bangunan listrik dan komunikasi</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3.) Konstruksi listrik lainnya</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e. Konstruksi proyek yang dibiayai dengan pinjaman dari/untuk luar negeri. </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 Konstruksi proyek yang dibiayai dengan pinjaman luar negeri dari/untuk pembayaran di luar negeri</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f. Konstruksi lainnya</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 Konstruksi perumahan real estate</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2.) Konstruksi apartemen dan kondominium</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3.) Konstruksi asrama/ rumah kost</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4.) Konstruksi perkantoran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5.) Konstruksi hotel, penginapan &amp; peristirahatan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6.) Konstruksi </w:t>
      </w:r>
      <w:r w:rsidRPr="00F855D9">
        <w:rPr>
          <w:rFonts w:ascii="Times New Roman" w:eastAsia="PMingLiU" w:hAnsi="Times New Roman" w:cs="Times New Roman"/>
          <w:bCs/>
          <w:i/>
          <w:color w:val="000000"/>
          <w:kern w:val="2"/>
          <w:sz w:val="24"/>
          <w:szCs w:val="24"/>
          <w:lang w:eastAsia="zh-TW"/>
        </w:rPr>
        <w:t>shopping center &amp; trade center</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7.) Konstruksi ruko/rukan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8.) Konstruksi sarana kesehatan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9.) Konstruksi sarana pendidikan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10.) Konstruksi ibadah, olahraga, rekreasi</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11.) Konstruksi gedung lainnya</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12.) Konstruksi pabrik/ kawasan industri</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13.) Konstruksi gudang</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14.) Konstruksi pelabuhan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15.) Konstruksi lapangan udara</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16.) Konstruksi irigasi</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17.) Konstruksi bangunan sipil lainnya</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18.) Instalasi prasarana bangunan sipil</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19.) Konstruksi pencetakan sawah</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20.) Konstruksi pasar inpres</w:t>
      </w:r>
    </w:p>
    <w:p w:rsidR="00F855D9" w:rsidRPr="00F855D9" w:rsidRDefault="00F855D9" w:rsidP="00F855D9">
      <w:pPr>
        <w:widowControl w:val="0"/>
        <w:spacing w:after="0" w:line="24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National Association of Insurance Commissioners</w:t>
      </w:r>
      <w:r w:rsidRPr="00F855D9">
        <w:rPr>
          <w:rFonts w:ascii="Times New Roman" w:eastAsia="PMingLiU" w:hAnsi="Times New Roman" w:cs="Times New Roman"/>
          <w:bCs/>
          <w:color w:val="000000"/>
          <w:kern w:val="2"/>
          <w:sz w:val="24"/>
          <w:szCs w:val="24"/>
          <w:lang w:eastAsia="zh-TW"/>
        </w:rPr>
        <w:t xml:space="preserve"> NAIC </w:t>
      </w:r>
      <w:r w:rsidRPr="00F855D9">
        <w:rPr>
          <w:rFonts w:ascii="Times New Roman" w:eastAsia="PMingLiU" w:hAnsi="Times New Roman" w:cs="Times New Roman"/>
          <w:bCs/>
          <w:color w:val="000000"/>
          <w:kern w:val="2"/>
          <w:sz w:val="24"/>
          <w:szCs w:val="24"/>
          <w:lang w:eastAsia="zh-TW"/>
        </w:rPr>
        <w:lastRenderedPageBreak/>
        <w:t>mengklasifikasikan sektor konstruksi berdasarkan tiga kategori yaitu :</w:t>
      </w:r>
      <w:r w:rsidRPr="00F855D9">
        <w:rPr>
          <w:rFonts w:ascii="Times New Roman" w:eastAsia="PMingLiU" w:hAnsi="Times New Roman" w:cs="Times New Roman"/>
          <w:bCs/>
          <w:color w:val="000000"/>
          <w:kern w:val="2"/>
          <w:sz w:val="24"/>
          <w:szCs w:val="24"/>
          <w:vertAlign w:val="superscript"/>
          <w:lang w:eastAsia="zh-TW"/>
        </w:rPr>
        <w:footnoteReference w:id="52"/>
      </w:r>
    </w:p>
    <w:p w:rsidR="00F855D9" w:rsidRPr="00F855D9" w:rsidRDefault="00F855D9" w:rsidP="003D7355">
      <w:pPr>
        <w:widowControl w:val="0"/>
        <w:numPr>
          <w:ilvl w:val="1"/>
          <w:numId w:val="52"/>
        </w:numPr>
        <w:spacing w:after="0" w:line="48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Building, developing and general contracting</w:t>
      </w:r>
    </w:p>
    <w:p w:rsidR="00F855D9" w:rsidRPr="00F855D9" w:rsidRDefault="00F855D9" w:rsidP="003D7355">
      <w:pPr>
        <w:widowControl w:val="0"/>
        <w:numPr>
          <w:ilvl w:val="1"/>
          <w:numId w:val="52"/>
        </w:numPr>
        <w:spacing w:after="0" w:line="48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Heavy construction</w:t>
      </w:r>
    </w:p>
    <w:p w:rsidR="00F855D9" w:rsidRPr="00F855D9" w:rsidRDefault="00F855D9" w:rsidP="003D7355">
      <w:pPr>
        <w:widowControl w:val="0"/>
        <w:numPr>
          <w:ilvl w:val="1"/>
          <w:numId w:val="52"/>
        </w:numPr>
        <w:spacing w:after="0" w:line="48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Special trade construction</w:t>
      </w:r>
    </w:p>
    <w:p w:rsidR="00F855D9" w:rsidRPr="00F855D9" w:rsidRDefault="00F855D9" w:rsidP="00915C1B">
      <w:pPr>
        <w:widowControl w:val="0"/>
        <w:spacing w:after="0" w:line="480" w:lineRule="auto"/>
        <w:ind w:left="414"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Adapun rincian untuk masing-masing kategori adalah sebagai berikut :</w:t>
      </w:r>
      <w:r w:rsidRPr="00F855D9">
        <w:rPr>
          <w:rFonts w:ascii="Times New Roman" w:eastAsia="PMingLiU" w:hAnsi="Times New Roman" w:cs="Times New Roman"/>
          <w:bCs/>
          <w:color w:val="000000"/>
          <w:kern w:val="2"/>
          <w:sz w:val="24"/>
          <w:szCs w:val="24"/>
          <w:vertAlign w:val="superscript"/>
          <w:lang w:eastAsia="zh-TW"/>
        </w:rPr>
        <w:footnoteReference w:id="53"/>
      </w:r>
    </w:p>
    <w:p w:rsidR="00F855D9" w:rsidRPr="00F855D9" w:rsidRDefault="00F855D9" w:rsidP="003D7355">
      <w:pPr>
        <w:widowControl w:val="0"/>
        <w:numPr>
          <w:ilvl w:val="0"/>
          <w:numId w:val="53"/>
        </w:numPr>
        <w:spacing w:after="0" w:line="24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Building, Developing and General Contracting</w:t>
      </w:r>
    </w:p>
    <w:p w:rsidR="00F855D9" w:rsidRPr="00F855D9" w:rsidRDefault="00F855D9" w:rsidP="003D7355">
      <w:pPr>
        <w:widowControl w:val="0"/>
        <w:numPr>
          <w:ilvl w:val="0"/>
          <w:numId w:val="50"/>
        </w:numPr>
        <w:spacing w:after="0" w:line="240" w:lineRule="auto"/>
        <w:ind w:left="1418"/>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Land subdivision and land development</w:t>
      </w:r>
    </w:p>
    <w:p w:rsidR="00F855D9" w:rsidRPr="00F855D9" w:rsidRDefault="00F855D9" w:rsidP="003D7355">
      <w:pPr>
        <w:widowControl w:val="0"/>
        <w:numPr>
          <w:ilvl w:val="0"/>
          <w:numId w:val="50"/>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Residential buildin</w:t>
      </w:r>
      <w:r w:rsidRPr="00F855D9">
        <w:rPr>
          <w:rFonts w:ascii="Times New Roman" w:eastAsia="PMingLiU" w:hAnsi="Times New Roman" w:cs="Times New Roman"/>
          <w:bCs/>
          <w:color w:val="000000"/>
          <w:kern w:val="2"/>
          <w:sz w:val="24"/>
          <w:szCs w:val="24"/>
          <w:lang w:eastAsia="zh-TW"/>
        </w:rPr>
        <w:t>g</w:t>
      </w:r>
    </w:p>
    <w:p w:rsidR="00F855D9" w:rsidRPr="00F855D9" w:rsidRDefault="00F855D9" w:rsidP="003D7355">
      <w:pPr>
        <w:widowControl w:val="0"/>
        <w:numPr>
          <w:ilvl w:val="0"/>
          <w:numId w:val="50"/>
        </w:numPr>
        <w:spacing w:after="0" w:line="240" w:lineRule="auto"/>
        <w:ind w:left="1418"/>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Single-family housing</w:t>
      </w:r>
    </w:p>
    <w:p w:rsidR="00F855D9" w:rsidRPr="00F855D9" w:rsidRDefault="00F855D9" w:rsidP="003D7355">
      <w:pPr>
        <w:widowControl w:val="0"/>
        <w:numPr>
          <w:ilvl w:val="0"/>
          <w:numId w:val="50"/>
        </w:numPr>
        <w:spacing w:after="0" w:line="240" w:lineRule="auto"/>
        <w:ind w:left="1418"/>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Multi-family housing</w:t>
      </w:r>
    </w:p>
    <w:p w:rsidR="00F855D9" w:rsidRPr="00F855D9" w:rsidRDefault="00F855D9" w:rsidP="003D7355">
      <w:pPr>
        <w:widowControl w:val="0"/>
        <w:numPr>
          <w:ilvl w:val="0"/>
          <w:numId w:val="50"/>
        </w:numPr>
        <w:spacing w:after="0" w:line="240" w:lineRule="auto"/>
        <w:ind w:left="1418"/>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Non-residential building construction</w:t>
      </w:r>
    </w:p>
    <w:p w:rsidR="00F855D9" w:rsidRPr="00F855D9" w:rsidRDefault="00F855D9" w:rsidP="003D7355">
      <w:pPr>
        <w:widowControl w:val="0"/>
        <w:numPr>
          <w:ilvl w:val="0"/>
          <w:numId w:val="50"/>
        </w:numPr>
        <w:spacing w:after="0" w:line="240" w:lineRule="auto"/>
        <w:ind w:left="1418"/>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Manufacturing and industrial building</w:t>
      </w:r>
    </w:p>
    <w:p w:rsidR="00F855D9" w:rsidRPr="00F855D9" w:rsidRDefault="00F855D9" w:rsidP="003D7355">
      <w:pPr>
        <w:widowControl w:val="0"/>
        <w:numPr>
          <w:ilvl w:val="0"/>
          <w:numId w:val="50"/>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Commercial and institutional building</w:t>
      </w:r>
    </w:p>
    <w:p w:rsidR="00F855D9" w:rsidRPr="00F855D9" w:rsidRDefault="00F855D9" w:rsidP="003D7355">
      <w:pPr>
        <w:widowControl w:val="0"/>
        <w:numPr>
          <w:ilvl w:val="0"/>
          <w:numId w:val="53"/>
        </w:numPr>
        <w:spacing w:after="0" w:line="24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Heavy Construction</w:t>
      </w:r>
      <w:r w:rsidRPr="00F855D9">
        <w:rPr>
          <w:rFonts w:ascii="Times New Roman" w:eastAsia="PMingLiU" w:hAnsi="Times New Roman" w:cs="Times New Roman"/>
          <w:bCs/>
          <w:color w:val="000000"/>
          <w:kern w:val="2"/>
          <w:sz w:val="24"/>
          <w:szCs w:val="24"/>
          <w:lang w:eastAsia="zh-TW"/>
        </w:rPr>
        <w:t xml:space="preserve"> :</w:t>
      </w:r>
    </w:p>
    <w:p w:rsidR="00F855D9" w:rsidRPr="00F855D9" w:rsidRDefault="00F855D9" w:rsidP="003D7355">
      <w:pPr>
        <w:widowControl w:val="0"/>
        <w:numPr>
          <w:ilvl w:val="0"/>
          <w:numId w:val="30"/>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 xml:space="preserve">Highway, street, bridge, and tunnel </w:t>
      </w:r>
      <w:r w:rsidRPr="00F855D9">
        <w:rPr>
          <w:rFonts w:ascii="Times New Roman" w:eastAsia="PMingLiU" w:hAnsi="Times New Roman" w:cs="Times New Roman"/>
          <w:bCs/>
          <w:color w:val="000000"/>
          <w:kern w:val="2"/>
          <w:sz w:val="24"/>
          <w:szCs w:val="24"/>
          <w:lang w:eastAsia="zh-TW"/>
        </w:rPr>
        <w:t>:</w:t>
      </w:r>
    </w:p>
    <w:p w:rsidR="00F855D9" w:rsidRPr="00F855D9" w:rsidRDefault="00F855D9" w:rsidP="003D7355">
      <w:pPr>
        <w:widowControl w:val="0"/>
        <w:numPr>
          <w:ilvl w:val="1"/>
          <w:numId w:val="27"/>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Highway and street</w:t>
      </w:r>
    </w:p>
    <w:p w:rsidR="00F855D9" w:rsidRPr="00F855D9" w:rsidRDefault="00F855D9" w:rsidP="003D7355">
      <w:pPr>
        <w:widowControl w:val="0"/>
        <w:numPr>
          <w:ilvl w:val="1"/>
          <w:numId w:val="27"/>
        </w:numPr>
        <w:spacing w:after="0" w:line="240" w:lineRule="auto"/>
        <w:ind w:left="1701"/>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Bridge and tunnel</w:t>
      </w:r>
    </w:p>
    <w:p w:rsidR="00F855D9" w:rsidRPr="00F855D9" w:rsidRDefault="00F855D9" w:rsidP="003D7355">
      <w:pPr>
        <w:widowControl w:val="0"/>
        <w:numPr>
          <w:ilvl w:val="0"/>
          <w:numId w:val="30"/>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Other heavy construction</w:t>
      </w:r>
      <w:r w:rsidRPr="00F855D9">
        <w:rPr>
          <w:rFonts w:ascii="Times New Roman" w:eastAsia="PMingLiU" w:hAnsi="Times New Roman" w:cs="Times New Roman"/>
          <w:bCs/>
          <w:color w:val="000000"/>
          <w:kern w:val="2"/>
          <w:sz w:val="24"/>
          <w:szCs w:val="24"/>
          <w:lang w:eastAsia="zh-TW"/>
        </w:rPr>
        <w:t xml:space="preserve"> :</w:t>
      </w:r>
    </w:p>
    <w:p w:rsidR="00F855D9" w:rsidRPr="00F855D9" w:rsidRDefault="00F855D9" w:rsidP="003D7355">
      <w:pPr>
        <w:widowControl w:val="0"/>
        <w:numPr>
          <w:ilvl w:val="0"/>
          <w:numId w:val="31"/>
        </w:numPr>
        <w:spacing w:after="0" w:line="240" w:lineRule="auto"/>
        <w:ind w:left="1701"/>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Water, sewer, and pipeline</w:t>
      </w:r>
    </w:p>
    <w:p w:rsidR="00F855D9" w:rsidRPr="00F855D9" w:rsidRDefault="00F855D9" w:rsidP="003D7355">
      <w:pPr>
        <w:widowControl w:val="0"/>
        <w:numPr>
          <w:ilvl w:val="0"/>
          <w:numId w:val="31"/>
        </w:numPr>
        <w:spacing w:after="0" w:line="240" w:lineRule="auto"/>
        <w:ind w:left="1701"/>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Power and communication transmission line</w:t>
      </w:r>
    </w:p>
    <w:p w:rsidR="00F855D9" w:rsidRPr="00F855D9" w:rsidRDefault="00F855D9" w:rsidP="003D7355">
      <w:pPr>
        <w:widowControl w:val="0"/>
        <w:numPr>
          <w:ilvl w:val="0"/>
          <w:numId w:val="31"/>
        </w:numPr>
        <w:spacing w:after="0" w:line="240" w:lineRule="auto"/>
        <w:ind w:left="1701"/>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Industrial non-building structure</w:t>
      </w:r>
    </w:p>
    <w:p w:rsidR="00F855D9" w:rsidRPr="00F855D9" w:rsidRDefault="00F855D9" w:rsidP="003D7355">
      <w:pPr>
        <w:widowControl w:val="0"/>
        <w:numPr>
          <w:ilvl w:val="0"/>
          <w:numId w:val="53"/>
        </w:numPr>
        <w:spacing w:after="0" w:line="240" w:lineRule="auto"/>
        <w:ind w:left="1134"/>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 xml:space="preserve"> All other heavy Construction</w:t>
      </w:r>
    </w:p>
    <w:p w:rsidR="00F855D9" w:rsidRPr="00F855D9" w:rsidRDefault="00F855D9" w:rsidP="00915C1B">
      <w:pPr>
        <w:widowControl w:val="0"/>
        <w:spacing w:after="0" w:line="240" w:lineRule="auto"/>
        <w:ind w:left="1134"/>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Special trade construction :</w:t>
      </w:r>
    </w:p>
    <w:p w:rsidR="00F855D9" w:rsidRPr="00F855D9" w:rsidRDefault="00F855D9" w:rsidP="003D7355">
      <w:pPr>
        <w:widowControl w:val="0"/>
        <w:numPr>
          <w:ilvl w:val="3"/>
          <w:numId w:val="51"/>
        </w:numPr>
        <w:spacing w:after="0" w:line="240" w:lineRule="auto"/>
        <w:ind w:left="1418"/>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Plumbing, heating, and air-conditioning.</w:t>
      </w:r>
    </w:p>
    <w:p w:rsidR="00F855D9" w:rsidRPr="00F855D9" w:rsidRDefault="00F855D9" w:rsidP="003D7355">
      <w:pPr>
        <w:widowControl w:val="0"/>
        <w:numPr>
          <w:ilvl w:val="3"/>
          <w:numId w:val="51"/>
        </w:numPr>
        <w:spacing w:after="0" w:line="240" w:lineRule="auto"/>
        <w:ind w:left="1418"/>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Painting and wall covering</w:t>
      </w:r>
    </w:p>
    <w:p w:rsidR="00F855D9" w:rsidRPr="00F855D9" w:rsidRDefault="00F855D9" w:rsidP="003D7355">
      <w:pPr>
        <w:widowControl w:val="0"/>
        <w:numPr>
          <w:ilvl w:val="3"/>
          <w:numId w:val="51"/>
        </w:numPr>
        <w:spacing w:after="0" w:line="240" w:lineRule="auto"/>
        <w:ind w:left="1418"/>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Electrical</w:t>
      </w:r>
    </w:p>
    <w:p w:rsidR="00F855D9" w:rsidRPr="00F855D9" w:rsidRDefault="00F855D9" w:rsidP="003D7355">
      <w:pPr>
        <w:widowControl w:val="0"/>
        <w:numPr>
          <w:ilvl w:val="3"/>
          <w:numId w:val="51"/>
        </w:numPr>
        <w:spacing w:after="0" w:line="240" w:lineRule="auto"/>
        <w:ind w:left="1418"/>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Masonry, drywall, insulation and tile</w:t>
      </w:r>
    </w:p>
    <w:p w:rsidR="00F855D9" w:rsidRPr="00F855D9" w:rsidRDefault="00F855D9" w:rsidP="003D7355">
      <w:pPr>
        <w:widowControl w:val="0"/>
        <w:numPr>
          <w:ilvl w:val="3"/>
          <w:numId w:val="51"/>
        </w:numPr>
        <w:spacing w:after="0" w:line="240" w:lineRule="auto"/>
        <w:ind w:left="1418"/>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Carpentry &amp; floor</w:t>
      </w:r>
    </w:p>
    <w:p w:rsidR="00F855D9" w:rsidRPr="00F855D9" w:rsidRDefault="00F855D9" w:rsidP="003D7355">
      <w:pPr>
        <w:widowControl w:val="0"/>
        <w:numPr>
          <w:ilvl w:val="3"/>
          <w:numId w:val="51"/>
        </w:numPr>
        <w:spacing w:after="0" w:line="240" w:lineRule="auto"/>
        <w:ind w:left="1418"/>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Roofing, siding, and sheet metal</w:t>
      </w:r>
    </w:p>
    <w:p w:rsidR="00F855D9" w:rsidRPr="00F855D9" w:rsidRDefault="00F855D9" w:rsidP="003D7355">
      <w:pPr>
        <w:widowControl w:val="0"/>
        <w:numPr>
          <w:ilvl w:val="3"/>
          <w:numId w:val="51"/>
        </w:numPr>
        <w:spacing w:after="0" w:line="240" w:lineRule="auto"/>
        <w:ind w:left="1418"/>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Concrete</w:t>
      </w:r>
    </w:p>
    <w:p w:rsidR="00F855D9" w:rsidRPr="00F855D9" w:rsidRDefault="00F855D9" w:rsidP="003D7355">
      <w:pPr>
        <w:widowControl w:val="0"/>
        <w:numPr>
          <w:ilvl w:val="3"/>
          <w:numId w:val="51"/>
        </w:numPr>
        <w:spacing w:after="0" w:line="240" w:lineRule="auto"/>
        <w:ind w:left="1418"/>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Water well drilling</w:t>
      </w:r>
    </w:p>
    <w:p w:rsidR="00F855D9" w:rsidRPr="00F855D9" w:rsidRDefault="00F855D9" w:rsidP="003D7355">
      <w:pPr>
        <w:widowControl w:val="0"/>
        <w:numPr>
          <w:ilvl w:val="3"/>
          <w:numId w:val="51"/>
        </w:numPr>
        <w:spacing w:after="0" w:line="240" w:lineRule="auto"/>
        <w:ind w:left="1418"/>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Other special trade</w:t>
      </w:r>
    </w:p>
    <w:p w:rsidR="00F855D9" w:rsidRPr="00F855D9" w:rsidRDefault="00F855D9" w:rsidP="00F855D9">
      <w:pPr>
        <w:widowControl w:val="0"/>
        <w:spacing w:after="0" w:line="240" w:lineRule="auto"/>
        <w:contextualSpacing/>
        <w:jc w:val="both"/>
        <w:rPr>
          <w:rFonts w:ascii="Times New Roman" w:eastAsia="PMingLiU" w:hAnsi="Times New Roman" w:cs="Times New Roman"/>
          <w:bCs/>
          <w:i/>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4. Kelembagaan Sektor Konstruksi</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Kelembagaan di sektor konstruksi berfungsi memfasilitasi dan mendorong pengembangan industri konstruksi. Bentuk kelembagaan </w:t>
      </w:r>
      <w:r w:rsidRPr="00F855D9">
        <w:rPr>
          <w:rFonts w:ascii="Times New Roman" w:eastAsia="PMingLiU" w:hAnsi="Times New Roman" w:cs="Times New Roman"/>
          <w:bCs/>
          <w:color w:val="000000"/>
          <w:kern w:val="2"/>
          <w:sz w:val="24"/>
          <w:szCs w:val="24"/>
          <w:lang w:eastAsia="zh-TW"/>
        </w:rPr>
        <w:lastRenderedPageBreak/>
        <w:t>tersebut bisa organisasi publik (pemerintah) maupun non pemerintah, termasuk asosiasi perusahaan maupun asosiasi profesi terkait dengan sektor konstruksi. Kelembagaan sektor ini dapat berada pada level lokal, nasional, regional, dan internasional. Lembaga yang hampir di setiap negara ada adalah lembaga pengembangan industri konstruksi (</w:t>
      </w:r>
      <w:r w:rsidRPr="00F855D9">
        <w:rPr>
          <w:rFonts w:ascii="Times New Roman" w:eastAsia="PMingLiU" w:hAnsi="Times New Roman" w:cs="Times New Roman"/>
          <w:bCs/>
          <w:i/>
          <w:color w:val="000000"/>
          <w:kern w:val="2"/>
          <w:sz w:val="24"/>
          <w:szCs w:val="24"/>
          <w:lang w:eastAsia="zh-TW"/>
        </w:rPr>
        <w:t>Construction Industry Development Board</w:t>
      </w:r>
      <w:r w:rsidRPr="00F855D9">
        <w:rPr>
          <w:rFonts w:ascii="Times New Roman" w:eastAsia="PMingLiU" w:hAnsi="Times New Roman" w:cs="Times New Roman"/>
          <w:bCs/>
          <w:color w:val="000000"/>
          <w:kern w:val="2"/>
          <w:sz w:val="24"/>
          <w:szCs w:val="24"/>
          <w:lang w:eastAsia="zh-TW"/>
        </w:rPr>
        <w:t>) atau institut untuk industri konstruksi (</w:t>
      </w:r>
      <w:r w:rsidRPr="00F855D9">
        <w:rPr>
          <w:rFonts w:ascii="Times New Roman" w:eastAsia="PMingLiU" w:hAnsi="Times New Roman" w:cs="Times New Roman"/>
          <w:bCs/>
          <w:i/>
          <w:color w:val="000000"/>
          <w:kern w:val="2"/>
          <w:sz w:val="24"/>
          <w:szCs w:val="24"/>
          <w:lang w:eastAsia="zh-TW"/>
        </w:rPr>
        <w:t>Construction Industry Institute</w:t>
      </w:r>
      <w:r w:rsidRPr="00F855D9">
        <w:rPr>
          <w:rFonts w:ascii="Times New Roman" w:eastAsia="PMingLiU" w:hAnsi="Times New Roman" w:cs="Times New Roman"/>
          <w:bCs/>
          <w:color w:val="000000"/>
          <w:kern w:val="2"/>
          <w:sz w:val="24"/>
          <w:szCs w:val="24"/>
          <w:lang w:eastAsia="zh-TW"/>
        </w:rPr>
        <w:t>). Lembaga pelatihan industri konstruksi (</w:t>
      </w:r>
      <w:r w:rsidRPr="00F855D9">
        <w:rPr>
          <w:rFonts w:ascii="Times New Roman" w:eastAsia="PMingLiU" w:hAnsi="Times New Roman" w:cs="Times New Roman"/>
          <w:bCs/>
          <w:i/>
          <w:color w:val="000000"/>
          <w:kern w:val="2"/>
          <w:sz w:val="24"/>
          <w:szCs w:val="24"/>
          <w:lang w:eastAsia="zh-TW"/>
        </w:rPr>
        <w:t>Construction Industry Training Board</w:t>
      </w:r>
      <w:r w:rsidRPr="00F855D9">
        <w:rPr>
          <w:rFonts w:ascii="Times New Roman" w:eastAsia="PMingLiU" w:hAnsi="Times New Roman" w:cs="Times New Roman"/>
          <w:bCs/>
          <w:color w:val="000000"/>
          <w:kern w:val="2"/>
          <w:sz w:val="24"/>
          <w:szCs w:val="24"/>
          <w:lang w:eastAsia="zh-TW"/>
        </w:rPr>
        <w:t xml:space="preserve"> (CITB) atau </w:t>
      </w:r>
      <w:r w:rsidRPr="00F855D9">
        <w:rPr>
          <w:rFonts w:ascii="Times New Roman" w:eastAsia="PMingLiU" w:hAnsi="Times New Roman" w:cs="Times New Roman"/>
          <w:bCs/>
          <w:i/>
          <w:color w:val="000000"/>
          <w:kern w:val="2"/>
          <w:sz w:val="24"/>
          <w:szCs w:val="24"/>
          <w:lang w:eastAsia="zh-TW"/>
        </w:rPr>
        <w:t>Construction Industry Training Institute</w:t>
      </w:r>
      <w:r w:rsidRPr="00F855D9">
        <w:rPr>
          <w:rFonts w:ascii="Times New Roman" w:eastAsia="PMingLiU" w:hAnsi="Times New Roman" w:cs="Times New Roman"/>
          <w:bCs/>
          <w:color w:val="000000"/>
          <w:kern w:val="2"/>
          <w:sz w:val="24"/>
          <w:szCs w:val="24"/>
          <w:lang w:eastAsia="zh-TW"/>
        </w:rPr>
        <w:t xml:space="preserve"> (CITI)) juga merupakan lembaga yang menfasilitasi dan mendorong kegiatan pelatihan (</w:t>
      </w:r>
      <w:r w:rsidRPr="00F855D9">
        <w:rPr>
          <w:rFonts w:ascii="Times New Roman" w:eastAsia="PMingLiU" w:hAnsi="Times New Roman" w:cs="Times New Roman"/>
          <w:bCs/>
          <w:i/>
          <w:color w:val="000000"/>
          <w:kern w:val="2"/>
          <w:sz w:val="24"/>
          <w:szCs w:val="24"/>
          <w:lang w:eastAsia="zh-TW"/>
        </w:rPr>
        <w:t>continuing professional development</w:t>
      </w:r>
      <w:r w:rsidRPr="00F855D9">
        <w:rPr>
          <w:rFonts w:ascii="Times New Roman" w:eastAsia="PMingLiU" w:hAnsi="Times New Roman" w:cs="Times New Roman"/>
          <w:bCs/>
          <w:color w:val="000000"/>
          <w:kern w:val="2"/>
          <w:sz w:val="24"/>
          <w:szCs w:val="24"/>
          <w:lang w:eastAsia="zh-TW"/>
        </w:rPr>
        <w:t xml:space="preserve">) sumber daya manusia konstruksi. Beberapa contoh kelembagaan di tingkat nasional di negara-negara lain, misalnya CIDB Malaysia, </w:t>
      </w:r>
      <w:r w:rsidRPr="00F855D9">
        <w:rPr>
          <w:rFonts w:ascii="Times New Roman" w:eastAsia="PMingLiU" w:hAnsi="Times New Roman" w:cs="Times New Roman"/>
          <w:bCs/>
          <w:i/>
          <w:color w:val="000000"/>
          <w:kern w:val="2"/>
          <w:sz w:val="24"/>
          <w:szCs w:val="24"/>
          <w:lang w:eastAsia="zh-TW"/>
        </w:rPr>
        <w:t>Building and Construction Authority</w:t>
      </w:r>
      <w:r w:rsidRPr="00F855D9">
        <w:rPr>
          <w:rFonts w:ascii="Times New Roman" w:eastAsia="PMingLiU" w:hAnsi="Times New Roman" w:cs="Times New Roman"/>
          <w:bCs/>
          <w:color w:val="000000"/>
          <w:kern w:val="2"/>
          <w:sz w:val="24"/>
          <w:szCs w:val="24"/>
          <w:lang w:eastAsia="zh-TW"/>
        </w:rPr>
        <w:t xml:space="preserve"> (BCA) di Singapore, </w:t>
      </w:r>
      <w:r w:rsidRPr="00F855D9">
        <w:rPr>
          <w:rFonts w:ascii="Times New Roman" w:eastAsia="PMingLiU" w:hAnsi="Times New Roman" w:cs="Times New Roman"/>
          <w:bCs/>
          <w:i/>
          <w:color w:val="000000"/>
          <w:kern w:val="2"/>
          <w:sz w:val="24"/>
          <w:szCs w:val="24"/>
          <w:lang w:eastAsia="zh-TW"/>
        </w:rPr>
        <w:t>Construction Industry Institute</w:t>
      </w:r>
      <w:r w:rsidRPr="00F855D9">
        <w:rPr>
          <w:rFonts w:ascii="Times New Roman" w:eastAsia="PMingLiU" w:hAnsi="Times New Roman" w:cs="Times New Roman"/>
          <w:bCs/>
          <w:color w:val="000000"/>
          <w:kern w:val="2"/>
          <w:sz w:val="24"/>
          <w:szCs w:val="24"/>
          <w:lang w:eastAsia="zh-TW"/>
        </w:rPr>
        <w:t xml:space="preserve"> (CII) di Amerika, </w:t>
      </w:r>
      <w:r w:rsidRPr="00F855D9">
        <w:rPr>
          <w:rFonts w:ascii="Times New Roman" w:eastAsia="PMingLiU" w:hAnsi="Times New Roman" w:cs="Times New Roman"/>
          <w:bCs/>
          <w:i/>
          <w:color w:val="000000"/>
          <w:kern w:val="2"/>
          <w:sz w:val="24"/>
          <w:szCs w:val="24"/>
          <w:lang w:eastAsia="zh-TW"/>
        </w:rPr>
        <w:t>Construction Industry Research and Information Agency</w:t>
      </w:r>
      <w:r w:rsidRPr="00F855D9">
        <w:rPr>
          <w:rFonts w:ascii="Times New Roman" w:eastAsia="PMingLiU" w:hAnsi="Times New Roman" w:cs="Times New Roman"/>
          <w:bCs/>
          <w:color w:val="000000"/>
          <w:kern w:val="2"/>
          <w:sz w:val="24"/>
          <w:szCs w:val="24"/>
          <w:lang w:eastAsia="zh-TW"/>
        </w:rPr>
        <w:t xml:space="preserve"> (CIRIA) dan </w:t>
      </w:r>
      <w:r w:rsidRPr="00F855D9">
        <w:rPr>
          <w:rFonts w:ascii="Times New Roman" w:eastAsia="PMingLiU" w:hAnsi="Times New Roman" w:cs="Times New Roman"/>
          <w:bCs/>
          <w:i/>
          <w:color w:val="000000"/>
          <w:kern w:val="2"/>
          <w:sz w:val="24"/>
          <w:szCs w:val="24"/>
          <w:lang w:eastAsia="zh-TW"/>
        </w:rPr>
        <w:t>Bulding Research Establishment (</w:t>
      </w:r>
      <w:r w:rsidRPr="00F855D9">
        <w:rPr>
          <w:rFonts w:ascii="Times New Roman" w:eastAsia="PMingLiU" w:hAnsi="Times New Roman" w:cs="Times New Roman"/>
          <w:bCs/>
          <w:color w:val="000000"/>
          <w:kern w:val="2"/>
          <w:sz w:val="24"/>
          <w:szCs w:val="24"/>
          <w:lang w:eastAsia="zh-TW"/>
        </w:rPr>
        <w:t xml:space="preserve">BRE) di Inggris, </w:t>
      </w:r>
      <w:r w:rsidRPr="00F855D9">
        <w:rPr>
          <w:rFonts w:ascii="Times New Roman" w:eastAsia="PMingLiU" w:hAnsi="Times New Roman" w:cs="Times New Roman"/>
          <w:bCs/>
          <w:i/>
          <w:color w:val="000000"/>
          <w:kern w:val="2"/>
          <w:sz w:val="24"/>
          <w:szCs w:val="24"/>
          <w:lang w:eastAsia="zh-TW"/>
        </w:rPr>
        <w:t>Australian Construction Industry Institute</w:t>
      </w:r>
      <w:r w:rsidRPr="00F855D9">
        <w:rPr>
          <w:rFonts w:ascii="Times New Roman" w:eastAsia="PMingLiU" w:hAnsi="Times New Roman" w:cs="Times New Roman"/>
          <w:bCs/>
          <w:color w:val="000000"/>
          <w:kern w:val="2"/>
          <w:sz w:val="24"/>
          <w:szCs w:val="24"/>
          <w:lang w:eastAsia="zh-TW"/>
        </w:rPr>
        <w:t xml:space="preserve"> (ACII) di Australia, dan Lembaga Pengembangan Jasa Konstruksi di Indonesia. Di tingkat regional, misalnya, </w:t>
      </w:r>
      <w:r w:rsidRPr="00F855D9">
        <w:rPr>
          <w:rFonts w:ascii="Times New Roman" w:eastAsia="PMingLiU" w:hAnsi="Times New Roman" w:cs="Times New Roman"/>
          <w:bCs/>
          <w:i/>
          <w:color w:val="000000"/>
          <w:kern w:val="2"/>
          <w:sz w:val="24"/>
          <w:szCs w:val="24"/>
          <w:lang w:eastAsia="zh-TW"/>
        </w:rPr>
        <w:t>European Construction Institute</w:t>
      </w:r>
      <w:r w:rsidRPr="00F855D9">
        <w:rPr>
          <w:rFonts w:ascii="Times New Roman" w:eastAsia="PMingLiU" w:hAnsi="Times New Roman" w:cs="Times New Roman"/>
          <w:bCs/>
          <w:color w:val="000000"/>
          <w:kern w:val="2"/>
          <w:sz w:val="24"/>
          <w:szCs w:val="24"/>
          <w:lang w:eastAsia="zh-TW"/>
        </w:rPr>
        <w:t xml:space="preserve"> (ECI) untuk Eropa, dan di tingkat internasional, misalnya </w:t>
      </w:r>
      <w:r w:rsidRPr="00F855D9">
        <w:rPr>
          <w:rFonts w:ascii="Times New Roman" w:eastAsia="PMingLiU" w:hAnsi="Times New Roman" w:cs="Times New Roman"/>
          <w:bCs/>
          <w:i/>
          <w:color w:val="000000"/>
          <w:kern w:val="2"/>
          <w:sz w:val="24"/>
          <w:szCs w:val="24"/>
          <w:lang w:eastAsia="zh-TW"/>
        </w:rPr>
        <w:t>International of Construction Research Counci</w:t>
      </w:r>
      <w:r w:rsidRPr="00F855D9">
        <w:rPr>
          <w:rFonts w:ascii="Times New Roman" w:eastAsia="PMingLiU" w:hAnsi="Times New Roman" w:cs="Times New Roman"/>
          <w:bCs/>
          <w:color w:val="000000"/>
          <w:kern w:val="2"/>
          <w:sz w:val="24"/>
          <w:szCs w:val="24"/>
          <w:lang w:eastAsia="zh-TW"/>
        </w:rPr>
        <w:t>l (CIB) yang memiliki kantor pusat di Belanda.</w:t>
      </w:r>
      <w:r w:rsidRPr="00F855D9">
        <w:rPr>
          <w:rFonts w:ascii="Times New Roman" w:eastAsia="PMingLiU" w:hAnsi="Times New Roman" w:cs="Times New Roman"/>
          <w:bCs/>
          <w:color w:val="000000"/>
          <w:kern w:val="2"/>
          <w:sz w:val="24"/>
          <w:szCs w:val="24"/>
          <w:vertAlign w:val="superscript"/>
          <w:lang w:eastAsia="zh-TW"/>
        </w:rPr>
        <w:footnoteReference w:id="54"/>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Di Indonesia, sektor konstruksi memiliki lembaga pengembangan jasa konstruksi (LPJK) di tingkat pusat dan daerah. Untuk mendorong </w:t>
      </w:r>
      <w:r w:rsidRPr="00F855D9">
        <w:rPr>
          <w:rFonts w:ascii="Times New Roman" w:eastAsia="PMingLiU" w:hAnsi="Times New Roman" w:cs="Times New Roman"/>
          <w:bCs/>
          <w:color w:val="000000"/>
          <w:kern w:val="2"/>
          <w:sz w:val="24"/>
          <w:szCs w:val="24"/>
          <w:lang w:eastAsia="zh-TW"/>
        </w:rPr>
        <w:lastRenderedPageBreak/>
        <w:t>pengembangan sektor konstruksi, pemerintah juga memiliki lembaga yang melakukan kegiatan pembinaan konstruksi dan investasi (BAPEKIN). Disamping itu pemerintah juga memiliki lembaga pelatihan jasa konstruksi (PUSLATJAKON). Di pihak masyarakat konstruksi, lembaga-lembaga yang terkait dengan sektor konstruksi adalah asosiasi profesi dan badan usaha. Di negara ini, jumlah asosiasi profesi kurang lebih 28 organisasi, sedangkan asosiasi badan usaha adalah 27 organisasi.</w:t>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5. Regulasi Jasa Konstruksi</w:t>
      </w:r>
    </w:p>
    <w:p w:rsidR="00F855D9" w:rsidRPr="00F855D9" w:rsidRDefault="00F855D9" w:rsidP="00915C1B">
      <w:pPr>
        <w:widowControl w:val="0"/>
        <w:spacing w:after="0" w:line="480" w:lineRule="auto"/>
        <w:ind w:left="34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Regulasi untuk jasa konstruksi adalah sebagai berikut :</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b/>
        <w:t>Peraturan Menteri PU Nomor 50/PRT/1991 Tentang Perizinan Perwakilan Perusahaan Jasa Konstruksi Asing</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Peraturan Menteri Tenaga Kerja Nomor PER. 05/MEN/1996 Tentang Sistem Manajemen Keselamatan Dan Kesehatan Kerja</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Undang – Undang Nomor 18 Tahun 1999 Tentang Jasa Konstruksi</w:t>
      </w:r>
      <w:r w:rsidRPr="00F855D9">
        <w:rPr>
          <w:rFonts w:ascii="Times New Roman" w:eastAsia="PMingLiU" w:hAnsi="Times New Roman" w:cs="Times New Roman"/>
          <w:bCs/>
          <w:color w:val="000000"/>
          <w:kern w:val="2"/>
          <w:sz w:val="24"/>
          <w:szCs w:val="24"/>
          <w:lang w:eastAsia="zh-TW"/>
        </w:rPr>
        <w:tab/>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Peraturan Pemerintah Nomor 28 Tahun 2000 Tentang Usaha Dan Peran Masyarakat Jasa Konstruksi </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Peraturan Pemerintah Nomor 29 Tahun 2000 Tentang Penyelenggaraan Jasa Konstruksi </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Peraturan Pemerintah Nomor 30 Tahun 2000 Tentang Penyelenggaraan Pembinaan Jasa Konstruksi</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Keputusan Presiden RI Nomor 80 Tahun 2003 Tentang Pedoman Pelaksanaan PengadaanBarang/Jasa Pemerintah Berikut Perubahannya</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Keputusan Menteri Pekerjaan Umum Nomor 69/KPTS/M/2001 / </w:t>
      </w:r>
      <w:r w:rsidRPr="00F855D9">
        <w:rPr>
          <w:rFonts w:ascii="Times New Roman" w:eastAsia="PMingLiU" w:hAnsi="Times New Roman" w:cs="Times New Roman"/>
          <w:bCs/>
          <w:color w:val="000000"/>
          <w:kern w:val="2"/>
          <w:sz w:val="24"/>
          <w:szCs w:val="24"/>
          <w:lang w:eastAsia="zh-TW"/>
        </w:rPr>
        <w:lastRenderedPageBreak/>
        <w:t>10 Juli 2001 Pedoman Pemberian Izin Usaha Jasa Konstruksi Nasional</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Keputusan Menteri KIMPRASWIL Nomor 339/KPTS/M/2003 Tentang Petunjuk Pelaksanaan Pengadaan Jasa Konstruksi Oleh Instansi Pemerintah </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Keputusan Menteri Pekerjaan Umum Nomor 339/KPTS/M/2003 / 31 Desember 2003 Tentang Petunjuk Pelaksanaan Pengadaan Jasa konstruksi Oleh Instansi Daerah</w:t>
      </w:r>
    </w:p>
    <w:p w:rsidR="00F855D9" w:rsidRPr="00F855D9" w:rsidRDefault="00F855D9" w:rsidP="003D7355">
      <w:pPr>
        <w:widowControl w:val="0"/>
        <w:numPr>
          <w:ilvl w:val="0"/>
          <w:numId w:val="32"/>
        </w:numPr>
        <w:spacing w:after="0" w:line="480" w:lineRule="auto"/>
        <w:contextualSpacing/>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b/>
        <w:t xml:space="preserve">Keputusan Menteri KIMPRASWIL Nomor </w:t>
      </w:r>
      <w:r w:rsidRPr="00F855D9">
        <w:rPr>
          <w:rFonts w:ascii="Times New Roman" w:eastAsia="PMingLiU" w:hAnsi="Times New Roman" w:cs="Times New Roman"/>
          <w:bCs/>
          <w:color w:val="000000"/>
          <w:kern w:val="2"/>
          <w:sz w:val="24"/>
          <w:szCs w:val="24"/>
          <w:lang w:eastAsia="zh-TW"/>
        </w:rPr>
        <w:tab/>
        <w:t>257/KPTS/M/2004 Tentang Standar Dan Pedoman Pengadaan Jasa Konstruksi</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Keputusan Menteri Pekerjaan Umum Nomor 257/KPTS/M/2004 / 29 April 2004 Tentang Pedoman Pengadaan Jasa Konstruksi</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Keputusan Menteri Pekerjaan Umum Nomor 349/KPTS/M/2004 / 23 September 2004 Tentang Pedoman Penyelengaraan Kontrak Jasa Pelaksanaan Konstruksi (Pemborongan)</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Surat Edaran Menteri PU Nomor 08/SE/M/2006 Perihal Pengadaan Jasa Konstruksi Untuk Instansi Pemerintah Tahun Anggaran 2006</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Surat Edaran Menteri Dalam Negeri Nomor 601/476/SJ/ 2007 Perihal Penyelenggaraan Jasa Konstruksi Di Daerah</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Surat Edaran Menteri Pekerjaan Umum Nomor  IK.01.06-Mn/467 Perihal Pemberlakuan Sertifikat Badan Usaha Dalam Proses Pengadaan Barang/Jasa Pemerintah</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b/>
        <w:t>Surat Edaran Nomor 262/SE/KK/2009 Tentang Tata Cara Penyampaian Sanggahan, Sanggahan Banding, Dan Pengaduan</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Surat Edaran Nomor 272/SE/KK/2009 Tentang Tata Cara Pemberian Sangsi Bagi Penyedia Jasa</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Peraturan Menteri Nomor 04/PRT/M/2011 Tentang Pedoman Persyaratan Pemberian Ijin Usaha Jasa Konstruksi Nasional</w:t>
      </w:r>
    </w:p>
    <w:p w:rsidR="00F855D9" w:rsidRPr="00F855D9" w:rsidRDefault="00F855D9" w:rsidP="003D7355">
      <w:pPr>
        <w:widowControl w:val="0"/>
        <w:numPr>
          <w:ilvl w:val="0"/>
          <w:numId w:val="32"/>
        </w:numPr>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Peraturan Menteri Nomor 05/PRT/M/2011 Tentang Pedoman Persyaratan Pemberian Ijin Perwakilan Badan Usaha Jasa Konstruksi Asing.</w:t>
      </w:r>
    </w:p>
    <w:p w:rsidR="00F855D9" w:rsidRPr="00F855D9" w:rsidRDefault="00F855D9" w:rsidP="00F855D9">
      <w:pPr>
        <w:widowControl w:val="0"/>
        <w:spacing w:after="0" w:line="480" w:lineRule="auto"/>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C. Tinjauan Umum Tentang Masyarakat Ekonomi ASEAN (MEA)</w:t>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 Pengertian MEA</w:t>
      </w:r>
    </w:p>
    <w:p w:rsidR="00F855D9" w:rsidRPr="00F855D9" w:rsidRDefault="00F855D9" w:rsidP="00915C1B">
      <w:pPr>
        <w:widowControl w:val="0"/>
        <w:spacing w:after="0" w:line="480" w:lineRule="auto"/>
        <w:ind w:left="633"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MEA adalah bentuk integrasi ekonomi ASEAN dalam artian adanya s</w:t>
      </w:r>
      <w:r w:rsidR="00967E1A">
        <w:rPr>
          <w:rFonts w:ascii="Times New Roman" w:eastAsia="PMingLiU" w:hAnsi="Times New Roman" w:cs="Times New Roman"/>
          <w:bCs/>
          <w:color w:val="000000"/>
          <w:kern w:val="2"/>
          <w:sz w:val="24"/>
          <w:szCs w:val="24"/>
          <w:lang w:eastAsia="zh-TW"/>
        </w:rPr>
        <w:t>istem perdagangan bebas antara n</w:t>
      </w:r>
      <w:r w:rsidRPr="00F855D9">
        <w:rPr>
          <w:rFonts w:ascii="Times New Roman" w:eastAsia="PMingLiU" w:hAnsi="Times New Roman" w:cs="Times New Roman"/>
          <w:bCs/>
          <w:color w:val="000000"/>
          <w:kern w:val="2"/>
          <w:sz w:val="24"/>
          <w:szCs w:val="24"/>
          <w:lang w:eastAsia="zh-TW"/>
        </w:rPr>
        <w:t>egara-negara ASEAN.</w:t>
      </w:r>
      <w:r w:rsidRPr="00F855D9">
        <w:rPr>
          <w:rFonts w:ascii="Times New Roman" w:eastAsia="PMingLiU" w:hAnsi="Times New Roman" w:cs="Times New Roman"/>
          <w:bCs/>
          <w:color w:val="000000"/>
          <w:kern w:val="2"/>
          <w:sz w:val="24"/>
          <w:szCs w:val="24"/>
          <w:vertAlign w:val="superscript"/>
          <w:lang w:eastAsia="zh-TW"/>
        </w:rPr>
        <w:footnoteReference w:id="55"/>
      </w:r>
      <w:r w:rsidRPr="00F855D9">
        <w:rPr>
          <w:rFonts w:ascii="Times New Roman" w:eastAsia="PMingLiU" w:hAnsi="Times New Roman" w:cs="Times New Roman"/>
          <w:bCs/>
          <w:color w:val="000000"/>
          <w:kern w:val="2"/>
          <w:sz w:val="24"/>
          <w:szCs w:val="24"/>
          <w:lang w:eastAsia="zh-TW"/>
        </w:rPr>
        <w:t xml:space="preserve">  Indonesia dan sembilan negara anggota ASEAN lainnya telah menyepakati perjanjian Masyarakat Ekonomi ASEAN (MEA) atau </w:t>
      </w:r>
      <w:r w:rsidRPr="00F855D9">
        <w:rPr>
          <w:rFonts w:ascii="Times New Roman" w:eastAsia="PMingLiU" w:hAnsi="Times New Roman" w:cs="Times New Roman"/>
          <w:bCs/>
          <w:i/>
          <w:color w:val="000000"/>
          <w:kern w:val="2"/>
          <w:sz w:val="24"/>
          <w:szCs w:val="24"/>
          <w:lang w:eastAsia="zh-TW"/>
        </w:rPr>
        <w:t xml:space="preserve">ASEAN Economic Community </w:t>
      </w:r>
      <w:r w:rsidRPr="00F855D9">
        <w:rPr>
          <w:rFonts w:ascii="Times New Roman" w:eastAsia="PMingLiU" w:hAnsi="Times New Roman" w:cs="Times New Roman"/>
          <w:bCs/>
          <w:color w:val="000000"/>
          <w:kern w:val="2"/>
          <w:sz w:val="24"/>
          <w:szCs w:val="24"/>
          <w:lang w:eastAsia="zh-TW"/>
        </w:rPr>
        <w:t xml:space="preserve">(AEC). ASEAN </w:t>
      </w:r>
      <w:r w:rsidRPr="00F855D9">
        <w:rPr>
          <w:rFonts w:ascii="Times New Roman" w:eastAsia="PMingLiU" w:hAnsi="Times New Roman" w:cs="Times New Roman"/>
          <w:bCs/>
          <w:i/>
          <w:color w:val="000000"/>
          <w:kern w:val="2"/>
          <w:sz w:val="24"/>
          <w:szCs w:val="24"/>
          <w:lang w:eastAsia="zh-TW"/>
        </w:rPr>
        <w:t>Community</w:t>
      </w:r>
      <w:r w:rsidRPr="00F855D9">
        <w:rPr>
          <w:rFonts w:ascii="Times New Roman" w:eastAsia="PMingLiU" w:hAnsi="Times New Roman" w:cs="Times New Roman"/>
          <w:bCs/>
          <w:color w:val="000000"/>
          <w:kern w:val="2"/>
          <w:sz w:val="24"/>
          <w:szCs w:val="24"/>
          <w:lang w:eastAsia="zh-TW"/>
        </w:rPr>
        <w:t xml:space="preserve"> merupakan wujud dari kerjasama intra-ASEAN dalam </w:t>
      </w:r>
      <w:r w:rsidRPr="00F855D9">
        <w:rPr>
          <w:rFonts w:ascii="Times New Roman" w:eastAsia="PMingLiU" w:hAnsi="Times New Roman" w:cs="Times New Roman"/>
          <w:bCs/>
          <w:i/>
          <w:color w:val="000000"/>
          <w:kern w:val="2"/>
          <w:sz w:val="24"/>
          <w:szCs w:val="24"/>
          <w:lang w:eastAsia="zh-TW"/>
        </w:rPr>
        <w:t>Declaration of ASEAN Concord</w:t>
      </w:r>
      <w:r w:rsidRPr="00F855D9">
        <w:rPr>
          <w:rFonts w:ascii="Times New Roman" w:eastAsia="PMingLiU" w:hAnsi="Times New Roman" w:cs="Times New Roman"/>
          <w:bCs/>
          <w:color w:val="000000"/>
          <w:kern w:val="2"/>
          <w:sz w:val="24"/>
          <w:szCs w:val="24"/>
          <w:lang w:eastAsia="zh-TW"/>
        </w:rPr>
        <w:t xml:space="preserve"> II di Bali, Oktober 2003. Masyarakat Ekonomi ASEAN (MEA) merupakan salah satu pilar dari perwujudan ASEAN Vision 2020, bersama-sama dengan ASEAN </w:t>
      </w:r>
      <w:r w:rsidRPr="00F855D9">
        <w:rPr>
          <w:rFonts w:ascii="Times New Roman" w:eastAsia="PMingLiU" w:hAnsi="Times New Roman" w:cs="Times New Roman"/>
          <w:bCs/>
          <w:i/>
          <w:color w:val="000000"/>
          <w:kern w:val="2"/>
          <w:sz w:val="24"/>
          <w:szCs w:val="24"/>
          <w:lang w:eastAsia="zh-TW"/>
        </w:rPr>
        <w:t>Security Community</w:t>
      </w:r>
      <w:r w:rsidRPr="00F855D9">
        <w:rPr>
          <w:rFonts w:ascii="Times New Roman" w:eastAsia="PMingLiU" w:hAnsi="Times New Roman" w:cs="Times New Roman"/>
          <w:bCs/>
          <w:color w:val="000000"/>
          <w:kern w:val="2"/>
          <w:sz w:val="24"/>
          <w:szCs w:val="24"/>
          <w:lang w:eastAsia="zh-TW"/>
        </w:rPr>
        <w:t xml:space="preserve"> (ASC) dan ASEAN </w:t>
      </w:r>
      <w:r w:rsidRPr="00F855D9">
        <w:rPr>
          <w:rFonts w:ascii="Times New Roman" w:eastAsia="PMingLiU" w:hAnsi="Times New Roman" w:cs="Times New Roman"/>
          <w:bCs/>
          <w:i/>
          <w:color w:val="000000"/>
          <w:kern w:val="2"/>
          <w:sz w:val="24"/>
          <w:szCs w:val="24"/>
          <w:lang w:eastAsia="zh-TW"/>
        </w:rPr>
        <w:t>Socio-Cultural Community</w:t>
      </w:r>
      <w:r w:rsidRPr="00F855D9">
        <w:rPr>
          <w:rFonts w:ascii="Times New Roman" w:eastAsia="PMingLiU" w:hAnsi="Times New Roman" w:cs="Times New Roman"/>
          <w:bCs/>
          <w:color w:val="000000"/>
          <w:kern w:val="2"/>
          <w:sz w:val="24"/>
          <w:szCs w:val="24"/>
          <w:lang w:eastAsia="zh-TW"/>
        </w:rPr>
        <w:t xml:space="preserve"> (ASCC).</w:t>
      </w:r>
      <w:r w:rsidRPr="00F855D9">
        <w:rPr>
          <w:rFonts w:ascii="Times New Roman" w:eastAsia="PMingLiU" w:hAnsi="Times New Roman" w:cs="Times New Roman"/>
          <w:bCs/>
          <w:color w:val="000000"/>
          <w:kern w:val="2"/>
          <w:sz w:val="24"/>
          <w:szCs w:val="24"/>
          <w:vertAlign w:val="superscript"/>
          <w:lang w:eastAsia="zh-TW"/>
        </w:rPr>
        <w:footnoteReference w:id="56"/>
      </w:r>
      <w:r w:rsidRPr="00F855D9">
        <w:rPr>
          <w:rFonts w:ascii="Times New Roman" w:eastAsia="PMingLiU" w:hAnsi="Times New Roman" w:cs="Times New Roman"/>
          <w:bCs/>
          <w:color w:val="000000"/>
          <w:kern w:val="2"/>
          <w:sz w:val="24"/>
          <w:szCs w:val="24"/>
          <w:lang w:eastAsia="zh-TW"/>
        </w:rPr>
        <w:t xml:space="preserve"> </w:t>
      </w:r>
    </w:p>
    <w:p w:rsidR="00F855D9" w:rsidRPr="00F855D9" w:rsidRDefault="00F855D9" w:rsidP="003D7355">
      <w:pPr>
        <w:widowControl w:val="0"/>
        <w:numPr>
          <w:ilvl w:val="0"/>
          <w:numId w:val="52"/>
        </w:numPr>
        <w:spacing w:after="0" w:line="480" w:lineRule="auto"/>
        <w:ind w:left="993"/>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Tujuan MEA</w:t>
      </w:r>
    </w:p>
    <w:p w:rsidR="00F855D9" w:rsidRPr="00F855D9" w:rsidRDefault="00F855D9" w:rsidP="00915C1B">
      <w:pPr>
        <w:widowControl w:val="0"/>
        <w:spacing w:after="0" w:line="480" w:lineRule="auto"/>
        <w:ind w:left="633"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Tujuan Masyarakan Ekonomi ASEAN(MEA) adalah menciptakan pemeliharaan dan perdamaian, keamanan, ketahanan dan kawasan bebas senjata nuklir dan senjata pemusnah massal.</w:t>
      </w:r>
      <w:r w:rsidRPr="00F855D9">
        <w:rPr>
          <w:rFonts w:ascii="Times New Roman" w:eastAsia="PMingLiU" w:hAnsi="Times New Roman" w:cs="Times New Roman"/>
          <w:bCs/>
          <w:color w:val="000000"/>
          <w:kern w:val="2"/>
          <w:sz w:val="24"/>
          <w:szCs w:val="24"/>
          <w:vertAlign w:val="superscript"/>
          <w:lang w:eastAsia="zh-TW"/>
        </w:rPr>
        <w:footnoteReference w:id="57"/>
      </w:r>
    </w:p>
    <w:p w:rsidR="00F855D9" w:rsidRPr="00F855D9" w:rsidRDefault="00F855D9" w:rsidP="003D7355">
      <w:pPr>
        <w:widowControl w:val="0"/>
        <w:numPr>
          <w:ilvl w:val="1"/>
          <w:numId w:val="54"/>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ASEAN menciptakan kerjasama dibidang perdagangan, penanaman modal, ketenagakerjaan, pengentasan masyarakat dari kemiskinan, dan pengurangan kesenjangan pembngunan dikawasan</w:t>
      </w:r>
    </w:p>
    <w:p w:rsidR="00F855D9" w:rsidRPr="00F855D9" w:rsidRDefault="00F855D9" w:rsidP="003D7355">
      <w:pPr>
        <w:widowControl w:val="0"/>
        <w:numPr>
          <w:ilvl w:val="0"/>
          <w:numId w:val="54"/>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ASEAN juga ingin menciptakan penguatan demokrasi, pemajuan, dan perlindungan hak asasi manusia, dan lingkungan hidup, serta penciptaan lingkungan yang aman dari narkoba</w:t>
      </w:r>
    </w:p>
    <w:p w:rsidR="00F855D9" w:rsidRPr="00F855D9" w:rsidRDefault="00F855D9" w:rsidP="003D7355">
      <w:pPr>
        <w:widowControl w:val="0"/>
        <w:numPr>
          <w:ilvl w:val="0"/>
          <w:numId w:val="54"/>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ASEAN mengembangkan SDM, meningkatkan partisipasi masyarakat dan kesehjateraan rakyat</w:t>
      </w:r>
    </w:p>
    <w:p w:rsidR="00F855D9" w:rsidRPr="00F855D9" w:rsidRDefault="00F855D9" w:rsidP="003D7355">
      <w:pPr>
        <w:widowControl w:val="0"/>
        <w:numPr>
          <w:ilvl w:val="0"/>
          <w:numId w:val="54"/>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ASEAN juga memajukan identitasnya dengan meningkatkan kesadaran yang lebih tinggi dan keanekaragaman budaya dan warisan kawasan, serta meneruskan peran proktif ASEAN dalam kerjasama dengan Negara mitra wicara, yaitu negaraa dan organisasi internasional yang menjadi mitra kerjasama ASEAN diberbagai bidang</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 3. Prinsip MEA</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Prinsip Masyarakat Ekonomi ASEAN (MEA) antara lain sebagai berikut :</w:t>
      </w:r>
      <w:r w:rsidRPr="00F855D9">
        <w:rPr>
          <w:rFonts w:ascii="Times New Roman" w:eastAsia="PMingLiU" w:hAnsi="Times New Roman" w:cs="Times New Roman"/>
          <w:bCs/>
          <w:color w:val="000000"/>
          <w:kern w:val="2"/>
          <w:sz w:val="24"/>
          <w:szCs w:val="24"/>
          <w:vertAlign w:val="superscript"/>
          <w:lang w:eastAsia="zh-TW"/>
        </w:rPr>
        <w:footnoteReference w:id="58"/>
      </w:r>
    </w:p>
    <w:p w:rsidR="00F855D9" w:rsidRPr="00F855D9" w:rsidRDefault="00F855D9" w:rsidP="003D7355">
      <w:pPr>
        <w:widowControl w:val="0"/>
        <w:numPr>
          <w:ilvl w:val="1"/>
          <w:numId w:val="55"/>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menghormati kemerdekaan, kedaulatan,kesamaan,inteegrasi nasional setiap Negara</w:t>
      </w:r>
    </w:p>
    <w:p w:rsidR="00F855D9" w:rsidRPr="00F855D9" w:rsidRDefault="00F855D9" w:rsidP="003D7355">
      <w:pPr>
        <w:widowControl w:val="0"/>
        <w:numPr>
          <w:ilvl w:val="0"/>
          <w:numId w:val="55"/>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hak untuk setiap Negara untuk memimpin kehadiaran nasional bebas daripada campur tangan, subversive atau koersi pihak luar</w:t>
      </w:r>
    </w:p>
    <w:p w:rsidR="00F855D9" w:rsidRPr="00F855D9" w:rsidRDefault="00F855D9" w:rsidP="003D7355">
      <w:pPr>
        <w:widowControl w:val="0"/>
        <w:numPr>
          <w:ilvl w:val="0"/>
          <w:numId w:val="55"/>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tidak mencampuri urusan dalam negeri sesama Negara anggota</w:t>
      </w:r>
    </w:p>
    <w:p w:rsidR="00F855D9" w:rsidRPr="00F855D9" w:rsidRDefault="00F855D9" w:rsidP="003D7355">
      <w:pPr>
        <w:widowControl w:val="0"/>
        <w:numPr>
          <w:ilvl w:val="0"/>
          <w:numId w:val="55"/>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penyelesaian perbedaan atau perdebatan dengan ddamai</w:t>
      </w:r>
    </w:p>
    <w:p w:rsidR="00F855D9" w:rsidRPr="00F855D9" w:rsidRDefault="00F855D9" w:rsidP="003D7355">
      <w:pPr>
        <w:widowControl w:val="0"/>
        <w:numPr>
          <w:ilvl w:val="0"/>
          <w:numId w:val="55"/>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menolak penggunaan kekuataan yang mematikan</w:t>
      </w:r>
    </w:p>
    <w:p w:rsidR="00F855D9" w:rsidRPr="00F855D9" w:rsidRDefault="00F855D9" w:rsidP="003D7355">
      <w:pPr>
        <w:widowControl w:val="0"/>
        <w:numPr>
          <w:ilvl w:val="0"/>
          <w:numId w:val="55"/>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kerjasama efektif anatara anggota</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4.  Cetak Biru MEA</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Cetak biru MEA memuat empat kerangka kerjasama atau pilar MEA, yaitu :</w:t>
      </w:r>
      <w:r w:rsidRPr="00F855D9">
        <w:rPr>
          <w:rFonts w:ascii="Times New Roman" w:eastAsia="PMingLiU" w:hAnsi="Times New Roman" w:cs="Times New Roman"/>
          <w:bCs/>
          <w:color w:val="000000"/>
          <w:kern w:val="2"/>
          <w:sz w:val="24"/>
          <w:szCs w:val="24"/>
          <w:vertAlign w:val="superscript"/>
          <w:lang w:eastAsia="zh-TW"/>
        </w:rPr>
        <w:footnoteReference w:id="59"/>
      </w:r>
    </w:p>
    <w:p w:rsidR="00F855D9" w:rsidRPr="00F855D9" w:rsidRDefault="00F855D9" w:rsidP="003D7355">
      <w:pPr>
        <w:widowControl w:val="0"/>
        <w:numPr>
          <w:ilvl w:val="2"/>
          <w:numId w:val="33"/>
        </w:numPr>
        <w:spacing w:after="0" w:line="240" w:lineRule="auto"/>
        <w:ind w:left="1418" w:hanging="28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 ASEAN sebagai pasar tunggal dan basis produksi internasional dengan elemen aliran bebas barang, jasa, investasi, tenaga kerja trampil dan aliran modal yang lebih bebas.</w:t>
      </w:r>
    </w:p>
    <w:p w:rsidR="00F855D9" w:rsidRPr="00F855D9" w:rsidRDefault="00F855D9" w:rsidP="003D7355">
      <w:pPr>
        <w:widowControl w:val="0"/>
        <w:numPr>
          <w:ilvl w:val="2"/>
          <w:numId w:val="33"/>
        </w:numPr>
        <w:spacing w:after="0" w:line="240" w:lineRule="auto"/>
        <w:ind w:left="1418" w:hanging="28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 ASEAN sebagai kawasan dengan daya saing ekonomi yang tinggi, dengan elemen peraturan kompetisi, perlindungan konsumen, hak atas kekayaan intelektual, pengembangan infrastruktur, perpajakan dan e-commerce.</w:t>
      </w:r>
    </w:p>
    <w:p w:rsidR="00F855D9" w:rsidRPr="00F855D9" w:rsidRDefault="00F855D9" w:rsidP="003D7355">
      <w:pPr>
        <w:widowControl w:val="0"/>
        <w:numPr>
          <w:ilvl w:val="2"/>
          <w:numId w:val="33"/>
        </w:numPr>
        <w:spacing w:after="0" w:line="240" w:lineRule="auto"/>
        <w:ind w:left="1418" w:hanging="28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 ASEAN sebagai kawasan dengan perkembangan ekonomi yang merata dengan elemen pengembangan usaha kecil dan menengah, </w:t>
      </w:r>
      <w:r w:rsidRPr="00F855D9">
        <w:rPr>
          <w:rFonts w:ascii="Times New Roman" w:eastAsia="PMingLiU" w:hAnsi="Times New Roman" w:cs="Times New Roman"/>
          <w:bCs/>
          <w:color w:val="000000"/>
          <w:kern w:val="2"/>
          <w:sz w:val="24"/>
          <w:szCs w:val="24"/>
          <w:lang w:eastAsia="zh-TW"/>
        </w:rPr>
        <w:lastRenderedPageBreak/>
        <w:t>dan prakarsa integrasi ASEAN untuk negara-negara CLMV yang termuat dalam Initiative for ASEAN Integration.</w:t>
      </w:r>
    </w:p>
    <w:p w:rsidR="00F855D9" w:rsidRPr="00F855D9" w:rsidRDefault="00F855D9" w:rsidP="003D7355">
      <w:pPr>
        <w:widowControl w:val="0"/>
        <w:numPr>
          <w:ilvl w:val="2"/>
          <w:numId w:val="33"/>
        </w:numPr>
        <w:spacing w:after="0" w:line="240" w:lineRule="auto"/>
        <w:ind w:left="1418" w:hanging="28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 ASEAN sebagai kawasan yang terintegrasi secara penuh dengan perekonomian Global dengan elemen pendekatan koheren dengan ekonomi diluar kawasan, dan meningkatkan peran serta dalam jejaring produksi global.</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D. Tinjauan Umum Tentang</w:t>
      </w:r>
      <w:r w:rsidRPr="00F855D9">
        <w:rPr>
          <w:rFonts w:ascii="Times New Roman" w:eastAsia="PMingLiU" w:hAnsi="Times New Roman" w:cs="Times New Roman"/>
          <w:b/>
          <w:kern w:val="2"/>
          <w:sz w:val="24"/>
          <w:szCs w:val="24"/>
          <w:lang w:val="en-US" w:eastAsia="zh-TW"/>
        </w:rPr>
        <w:t xml:space="preserve"> </w:t>
      </w:r>
      <w:r w:rsidRPr="00F855D9">
        <w:rPr>
          <w:rFonts w:ascii="Times New Roman" w:eastAsia="PMingLiU" w:hAnsi="Times New Roman" w:cs="Times New Roman"/>
          <w:b/>
          <w:bCs/>
          <w:i/>
          <w:color w:val="000000"/>
          <w:kern w:val="2"/>
          <w:sz w:val="24"/>
          <w:szCs w:val="24"/>
          <w:lang w:eastAsia="zh-TW"/>
        </w:rPr>
        <w:t>ASEAN Framework Agreement on Services</w:t>
      </w:r>
      <w:r w:rsidRPr="00F855D9">
        <w:rPr>
          <w:rFonts w:ascii="Times New Roman" w:eastAsia="PMingLiU" w:hAnsi="Times New Roman" w:cs="Times New Roman"/>
          <w:b/>
          <w:bCs/>
          <w:color w:val="000000"/>
          <w:kern w:val="2"/>
          <w:sz w:val="24"/>
          <w:szCs w:val="24"/>
          <w:lang w:eastAsia="zh-TW"/>
        </w:rPr>
        <w:t xml:space="preserve"> (AFAS)</w:t>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1. Pengertian </w:t>
      </w:r>
      <w:r w:rsidRPr="00F855D9">
        <w:rPr>
          <w:rFonts w:ascii="Times New Roman" w:eastAsia="PMingLiU" w:hAnsi="Times New Roman" w:cs="Times New Roman"/>
          <w:bCs/>
          <w:i/>
          <w:color w:val="000000"/>
          <w:kern w:val="2"/>
          <w:sz w:val="24"/>
          <w:szCs w:val="24"/>
          <w:lang w:eastAsia="zh-TW"/>
        </w:rPr>
        <w:t>ASEAN Framework Agreement on Services</w:t>
      </w:r>
      <w:r w:rsidRPr="00F855D9">
        <w:rPr>
          <w:rFonts w:ascii="Times New Roman" w:eastAsia="PMingLiU" w:hAnsi="Times New Roman" w:cs="Times New Roman"/>
          <w:bCs/>
          <w:color w:val="000000"/>
          <w:kern w:val="2"/>
          <w:sz w:val="24"/>
          <w:szCs w:val="24"/>
          <w:lang w:eastAsia="zh-TW"/>
        </w:rPr>
        <w:t xml:space="preserve"> (AFAS)</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AFAS merupakan perjanjian yang regional di kawasan ASEAN yang berusaha meningkatkan efisiensi dan tingkat kompetitif dari anggota ASEAN sebagai penyedia jasa, khususnya mengeliminasi pembatasan perdagangan dibidang Jasa antar anggota ASEAN dan meliberalisasi perdagangan jasa dengan memperluas tingkatan serta ruang lingkup dari liberalisasi melampaui yang telah ada di dalam GATS (</w:t>
      </w:r>
      <w:r w:rsidRPr="00F855D9">
        <w:rPr>
          <w:rFonts w:ascii="Times New Roman" w:eastAsia="PMingLiU" w:hAnsi="Times New Roman" w:cs="Times New Roman"/>
          <w:bCs/>
          <w:i/>
          <w:color w:val="000000"/>
          <w:kern w:val="2"/>
          <w:sz w:val="24"/>
          <w:szCs w:val="24"/>
          <w:lang w:eastAsia="zh-TW"/>
        </w:rPr>
        <w:t>General Agreement Trade in Service</w:t>
      </w:r>
      <w:r w:rsidRPr="00F855D9">
        <w:rPr>
          <w:rFonts w:ascii="Times New Roman" w:eastAsia="PMingLiU" w:hAnsi="Times New Roman" w:cs="Times New Roman"/>
          <w:bCs/>
          <w:color w:val="000000"/>
          <w:kern w:val="2"/>
          <w:sz w:val="24"/>
          <w:szCs w:val="24"/>
          <w:lang w:eastAsia="zh-TW"/>
        </w:rPr>
        <w:t>) dengan tujuan sebuah area perdagangan bebas dibidang jasa.</w:t>
      </w:r>
      <w:r w:rsidRPr="00F855D9">
        <w:rPr>
          <w:rFonts w:ascii="Times New Roman" w:eastAsia="PMingLiU" w:hAnsi="Times New Roman" w:cs="Times New Roman"/>
          <w:bCs/>
          <w:color w:val="000000"/>
          <w:kern w:val="2"/>
          <w:sz w:val="24"/>
          <w:szCs w:val="24"/>
          <w:vertAlign w:val="superscript"/>
          <w:lang w:eastAsia="zh-TW"/>
        </w:rPr>
        <w:footnoteReference w:id="60"/>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AFAS kemudian menjadi landasan dasar dari proses menuju liberalisasi perdagangan jasa di kawasan ASEAN. Seluruh isi kesepakatannya konsisten dengan kesepakatan internasional yang ditetapkan dalam GATS. AFAS juga mendorong negara-negara anggota ASEAN untuk menetapkan komitmen melebihi apa yang diberikan dalam GATS. Perjanjian ini bertujuan meningkatkan efesiensi dan tingkat kompetitif dari anggota ASEAN sebagai penyedia jasa. Negara anggota ASEAN diharuskan mengeliminasi substansi dan hambatan dibidang jasa </w:t>
      </w:r>
      <w:r w:rsidRPr="00F855D9">
        <w:rPr>
          <w:rFonts w:ascii="Times New Roman" w:eastAsia="PMingLiU" w:hAnsi="Times New Roman" w:cs="Times New Roman"/>
          <w:bCs/>
          <w:color w:val="000000"/>
          <w:kern w:val="2"/>
          <w:sz w:val="24"/>
          <w:szCs w:val="24"/>
          <w:lang w:eastAsia="zh-TW"/>
        </w:rPr>
        <w:lastRenderedPageBreak/>
        <w:t>antar anggota ASEAN, dan meliberalisasi perdagangan jasa dengan memperluas tingkatan dan jangkauan liberalisasi khususnya jasa dengan tujuan utama membentuk perdagangan bebas jasa.</w:t>
      </w:r>
      <w:r w:rsidRPr="00F855D9">
        <w:rPr>
          <w:rFonts w:ascii="Times New Roman" w:eastAsia="PMingLiU" w:hAnsi="Times New Roman" w:cs="Times New Roman"/>
          <w:bCs/>
          <w:color w:val="000000"/>
          <w:kern w:val="2"/>
          <w:sz w:val="24"/>
          <w:szCs w:val="24"/>
          <w:vertAlign w:val="superscript"/>
          <w:lang w:eastAsia="zh-TW"/>
        </w:rPr>
        <w:footnoteReference w:id="61"/>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2.Tujuan AFAS</w:t>
      </w:r>
    </w:p>
    <w:p w:rsidR="00F855D9" w:rsidRPr="00F855D9" w:rsidRDefault="00F855D9" w:rsidP="00915C1B">
      <w:pPr>
        <w:widowControl w:val="0"/>
        <w:spacing w:after="0" w:line="480" w:lineRule="auto"/>
        <w:ind w:left="338"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Tujuan AFAS dicantumkan dalam Pasal 1 AFAS, yaitu sebagai berikut :</w:t>
      </w:r>
      <w:r w:rsidRPr="00F855D9">
        <w:rPr>
          <w:rFonts w:ascii="Times New Roman" w:eastAsia="PMingLiU" w:hAnsi="Times New Roman" w:cs="Times New Roman"/>
          <w:bCs/>
          <w:color w:val="000000"/>
          <w:kern w:val="2"/>
          <w:sz w:val="24"/>
          <w:szCs w:val="24"/>
          <w:vertAlign w:val="superscript"/>
          <w:lang w:eastAsia="zh-TW"/>
        </w:rPr>
        <w:footnoteReference w:id="62"/>
      </w:r>
    </w:p>
    <w:p w:rsidR="00F855D9" w:rsidRPr="00F855D9" w:rsidRDefault="00F855D9" w:rsidP="003D7355">
      <w:pPr>
        <w:widowControl w:val="0"/>
        <w:numPr>
          <w:ilvl w:val="1"/>
          <w:numId w:val="56"/>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Untuk meningkatkan kerjasama di bidang jasa antara negara-negara anggota dalam rangka meningkatkan efisiensi dan daya saing, diversifikasikapasitas produksi, serta pemasokan distribusi jasa dari pemasok jasa di dalam dan di luar ASEAN.</w:t>
      </w:r>
    </w:p>
    <w:p w:rsidR="00F855D9" w:rsidRPr="00F855D9" w:rsidRDefault="00F855D9" w:rsidP="003D7355">
      <w:pPr>
        <w:widowControl w:val="0"/>
        <w:numPr>
          <w:ilvl w:val="0"/>
          <w:numId w:val="56"/>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Untuk menghilangkan secara substansial pembatasan perdagangan jasa antara negara-negara anggota ASEAN.</w:t>
      </w:r>
    </w:p>
    <w:p w:rsidR="00F855D9" w:rsidRPr="00F855D9" w:rsidRDefault="00F855D9" w:rsidP="003D7355">
      <w:pPr>
        <w:widowControl w:val="0"/>
        <w:numPr>
          <w:ilvl w:val="0"/>
          <w:numId w:val="56"/>
        </w:numPr>
        <w:spacing w:after="0" w:line="240" w:lineRule="auto"/>
        <w:ind w:left="141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Meliberalisasi perdagangan jasa dengan memperluas intensitas dan cakupan liberalisasi dari luar yang dilakukan oleh negara-negara anggota di bawah aturan GATS dengan tujuan untuk mewujudkan kawasan perdagangan bebas di bidang jasa.</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3. Prinsip – Prinsip AFAS</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Dalam perundingan liberalisasi bidang jasa, AFAS menerapkan prinsip-prinsip sebagaimana yang diterapkan dalam GATS/WTO. Prinsip-prinsip tersebut antara lain :</w:t>
      </w:r>
      <w:r w:rsidRPr="00F855D9">
        <w:rPr>
          <w:rFonts w:ascii="Times New Roman" w:eastAsia="PMingLiU" w:hAnsi="Times New Roman" w:cs="Times New Roman"/>
          <w:bCs/>
          <w:color w:val="000000"/>
          <w:kern w:val="2"/>
          <w:sz w:val="24"/>
          <w:szCs w:val="24"/>
          <w:vertAlign w:val="superscript"/>
          <w:lang w:eastAsia="zh-TW"/>
        </w:rPr>
        <w:footnoteReference w:id="63"/>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a. </w:t>
      </w:r>
      <w:r w:rsidRPr="00F855D9">
        <w:rPr>
          <w:rFonts w:ascii="Times New Roman" w:eastAsia="PMingLiU" w:hAnsi="Times New Roman" w:cs="Times New Roman"/>
          <w:bCs/>
          <w:i/>
          <w:color w:val="000000"/>
          <w:kern w:val="2"/>
          <w:sz w:val="24"/>
          <w:szCs w:val="24"/>
          <w:lang w:eastAsia="zh-TW"/>
        </w:rPr>
        <w:t>Most Favoured Nation (MFN) Treatment</w:t>
      </w:r>
      <w:r w:rsidRPr="00F855D9">
        <w:rPr>
          <w:rFonts w:ascii="Times New Roman" w:eastAsia="PMingLiU" w:hAnsi="Times New Roman" w:cs="Times New Roman"/>
          <w:bCs/>
          <w:color w:val="000000"/>
          <w:kern w:val="2"/>
          <w:sz w:val="24"/>
          <w:szCs w:val="24"/>
          <w:lang w:eastAsia="zh-TW"/>
        </w:rPr>
        <w:t>, yaitu perlakuan yang diberikan kepada suatu negara berlaku juga untuk semua negara lain. Prinsip MFN merupakan sebuah asas bahwa bila ada kemudahan yang diberikan kepada suatu negara, maka kemudahan tersebut juga harus di berikan kepada negara lainnya.MFN dikenal juga dengan prinsip “non- diskriminasi”.</w:t>
      </w:r>
      <w:r w:rsidRPr="00F855D9">
        <w:rPr>
          <w:rFonts w:ascii="Times New Roman" w:eastAsia="PMingLiU" w:hAnsi="Times New Roman" w:cs="Times New Roman"/>
          <w:bCs/>
          <w:color w:val="000000"/>
          <w:kern w:val="2"/>
          <w:sz w:val="24"/>
          <w:szCs w:val="24"/>
          <w:vertAlign w:val="superscript"/>
          <w:lang w:eastAsia="zh-TW"/>
        </w:rPr>
        <w:footnoteReference w:id="64"/>
      </w:r>
      <w:r w:rsidRPr="00F855D9">
        <w:rPr>
          <w:rFonts w:ascii="Times New Roman" w:eastAsia="PMingLiU" w:hAnsi="Times New Roman" w:cs="Times New Roman"/>
          <w:bCs/>
          <w:color w:val="000000"/>
          <w:kern w:val="2"/>
          <w:sz w:val="24"/>
          <w:szCs w:val="24"/>
          <w:lang w:eastAsia="zh-TW"/>
        </w:rPr>
        <w:t xml:space="preserve"> Dalam penerapan prinsip MFN, dikenal adanya dua perlakuan terhadap pemasok jasa yaitu </w:t>
      </w:r>
      <w:r w:rsidRPr="00F855D9">
        <w:rPr>
          <w:rFonts w:ascii="Times New Roman" w:eastAsia="PMingLiU" w:hAnsi="Times New Roman" w:cs="Times New Roman"/>
          <w:bCs/>
          <w:i/>
          <w:color w:val="000000"/>
          <w:kern w:val="2"/>
          <w:sz w:val="24"/>
          <w:szCs w:val="24"/>
          <w:lang w:eastAsia="zh-TW"/>
        </w:rPr>
        <w:t>treatment no less favourable</w:t>
      </w:r>
      <w:r w:rsidRPr="00F855D9">
        <w:rPr>
          <w:rFonts w:ascii="Times New Roman" w:eastAsia="PMingLiU" w:hAnsi="Times New Roman" w:cs="Times New Roman"/>
          <w:bCs/>
          <w:color w:val="000000"/>
          <w:kern w:val="2"/>
          <w:sz w:val="24"/>
          <w:szCs w:val="24"/>
          <w:lang w:eastAsia="zh-TW"/>
        </w:rPr>
        <w:t xml:space="preserve">, dimana yang dibandingkan adalah perlakuan yang diberikan terhadap </w:t>
      </w:r>
      <w:r w:rsidRPr="00F855D9">
        <w:rPr>
          <w:rFonts w:ascii="Times New Roman" w:eastAsia="PMingLiU" w:hAnsi="Times New Roman" w:cs="Times New Roman"/>
          <w:bCs/>
          <w:i/>
          <w:color w:val="000000"/>
          <w:kern w:val="2"/>
          <w:sz w:val="24"/>
          <w:szCs w:val="24"/>
          <w:lang w:eastAsia="zh-TW"/>
        </w:rPr>
        <w:t>service supplier</w:t>
      </w:r>
      <w:r w:rsidRPr="00F855D9">
        <w:rPr>
          <w:rFonts w:ascii="Times New Roman" w:eastAsia="PMingLiU" w:hAnsi="Times New Roman" w:cs="Times New Roman"/>
          <w:bCs/>
          <w:color w:val="000000"/>
          <w:kern w:val="2"/>
          <w:sz w:val="24"/>
          <w:szCs w:val="24"/>
          <w:lang w:eastAsia="zh-TW"/>
        </w:rPr>
        <w:t xml:space="preserve"> dari suatu negara dengan negara lainnya. Yang kedua adalah </w:t>
      </w:r>
      <w:r w:rsidRPr="00F855D9">
        <w:rPr>
          <w:rFonts w:ascii="Times New Roman" w:eastAsia="PMingLiU" w:hAnsi="Times New Roman" w:cs="Times New Roman"/>
          <w:bCs/>
          <w:i/>
          <w:color w:val="000000"/>
          <w:kern w:val="2"/>
          <w:sz w:val="24"/>
          <w:szCs w:val="24"/>
          <w:lang w:eastAsia="zh-TW"/>
        </w:rPr>
        <w:t>national treatment</w:t>
      </w:r>
      <w:r w:rsidRPr="00F855D9">
        <w:rPr>
          <w:rFonts w:ascii="Times New Roman" w:eastAsia="PMingLiU" w:hAnsi="Times New Roman" w:cs="Times New Roman"/>
          <w:bCs/>
          <w:color w:val="000000"/>
          <w:kern w:val="2"/>
          <w:sz w:val="24"/>
          <w:szCs w:val="24"/>
          <w:lang w:eastAsia="zh-TW"/>
        </w:rPr>
        <w:t xml:space="preserve">, yang dibandingkan adalah perlakuan yang </w:t>
      </w:r>
      <w:r w:rsidRPr="00F855D9">
        <w:rPr>
          <w:rFonts w:ascii="Times New Roman" w:eastAsia="PMingLiU" w:hAnsi="Times New Roman" w:cs="Times New Roman"/>
          <w:bCs/>
          <w:color w:val="000000"/>
          <w:kern w:val="2"/>
          <w:sz w:val="24"/>
          <w:szCs w:val="24"/>
          <w:lang w:eastAsia="zh-TW"/>
        </w:rPr>
        <w:lastRenderedPageBreak/>
        <w:t xml:space="preserve">diberikan terhadap </w:t>
      </w:r>
      <w:r w:rsidRPr="00F855D9">
        <w:rPr>
          <w:rFonts w:ascii="Times New Roman" w:eastAsia="PMingLiU" w:hAnsi="Times New Roman" w:cs="Times New Roman"/>
          <w:bCs/>
          <w:i/>
          <w:color w:val="000000"/>
          <w:kern w:val="2"/>
          <w:sz w:val="24"/>
          <w:szCs w:val="24"/>
          <w:lang w:eastAsia="zh-TW"/>
        </w:rPr>
        <w:t>domestic service supplier</w:t>
      </w:r>
      <w:r w:rsidRPr="00F855D9">
        <w:rPr>
          <w:rFonts w:ascii="Times New Roman" w:eastAsia="PMingLiU" w:hAnsi="Times New Roman" w:cs="Times New Roman"/>
          <w:bCs/>
          <w:color w:val="000000"/>
          <w:kern w:val="2"/>
          <w:sz w:val="24"/>
          <w:szCs w:val="24"/>
          <w:lang w:eastAsia="zh-TW"/>
        </w:rPr>
        <w:t xml:space="preserve"> dengan </w:t>
      </w:r>
      <w:r w:rsidRPr="00F855D9">
        <w:rPr>
          <w:rFonts w:ascii="Times New Roman" w:eastAsia="PMingLiU" w:hAnsi="Times New Roman" w:cs="Times New Roman"/>
          <w:bCs/>
          <w:i/>
          <w:color w:val="000000"/>
          <w:kern w:val="2"/>
          <w:sz w:val="24"/>
          <w:szCs w:val="24"/>
          <w:lang w:eastAsia="zh-TW"/>
        </w:rPr>
        <w:t>foreign service</w:t>
      </w:r>
      <w:r w:rsidRPr="00F855D9">
        <w:rPr>
          <w:rFonts w:ascii="Times New Roman" w:eastAsia="PMingLiU" w:hAnsi="Times New Roman" w:cs="Times New Roman"/>
          <w:bCs/>
          <w:color w:val="000000"/>
          <w:kern w:val="2"/>
          <w:sz w:val="24"/>
          <w:szCs w:val="24"/>
          <w:lang w:eastAsia="zh-TW"/>
        </w:rPr>
        <w:t xml:space="preserve"> </w:t>
      </w:r>
      <w:r w:rsidRPr="00F855D9">
        <w:rPr>
          <w:rFonts w:ascii="Times New Roman" w:eastAsia="PMingLiU" w:hAnsi="Times New Roman" w:cs="Times New Roman"/>
          <w:bCs/>
          <w:i/>
          <w:color w:val="000000"/>
          <w:kern w:val="2"/>
          <w:sz w:val="24"/>
          <w:szCs w:val="24"/>
          <w:lang w:eastAsia="zh-TW"/>
        </w:rPr>
        <w:t>supplier.</w:t>
      </w:r>
      <w:r w:rsidRPr="00F855D9">
        <w:rPr>
          <w:rFonts w:ascii="Times New Roman" w:eastAsia="PMingLiU" w:hAnsi="Times New Roman" w:cs="Times New Roman"/>
          <w:bCs/>
          <w:color w:val="000000"/>
          <w:kern w:val="2"/>
          <w:sz w:val="24"/>
          <w:szCs w:val="24"/>
          <w:vertAlign w:val="superscript"/>
          <w:lang w:eastAsia="zh-TW"/>
        </w:rPr>
        <w:footnoteReference w:id="65"/>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b. </w:t>
      </w:r>
      <w:r w:rsidRPr="00F855D9">
        <w:rPr>
          <w:rFonts w:ascii="Times New Roman" w:eastAsia="PMingLiU" w:hAnsi="Times New Roman" w:cs="Times New Roman"/>
          <w:bCs/>
          <w:i/>
          <w:color w:val="000000"/>
          <w:kern w:val="2"/>
          <w:sz w:val="24"/>
          <w:szCs w:val="24"/>
          <w:lang w:eastAsia="zh-TW"/>
        </w:rPr>
        <w:t>Transparancy</w:t>
      </w:r>
      <w:r w:rsidRPr="00F855D9">
        <w:rPr>
          <w:rFonts w:ascii="Times New Roman" w:eastAsia="PMingLiU" w:hAnsi="Times New Roman" w:cs="Times New Roman"/>
          <w:bCs/>
          <w:color w:val="000000"/>
          <w:kern w:val="2"/>
          <w:sz w:val="24"/>
          <w:szCs w:val="24"/>
          <w:lang w:eastAsia="zh-TW"/>
        </w:rPr>
        <w:t>, yaitu setiap negara wajib mempublikasikan semua peraturan, perundang-undangan, pedoman pelaksanaan dan semua keputusan/ketentuan yang berlaku secara umum yang dikeluarkan oleh pemerintah pusat maupun daerah. Selain itu setiap negara juga wajib memberitahukan atas adanya peraturan baru yang dapat mempengaruhi pelaksaan liberalisasi perdagangan jasa di kawasan negara anggota.</w:t>
      </w:r>
      <w:r w:rsidRPr="00F855D9">
        <w:rPr>
          <w:rFonts w:ascii="Times New Roman" w:eastAsia="PMingLiU" w:hAnsi="Times New Roman" w:cs="Times New Roman"/>
          <w:bCs/>
          <w:color w:val="000000"/>
          <w:kern w:val="2"/>
          <w:sz w:val="24"/>
          <w:szCs w:val="24"/>
          <w:vertAlign w:val="superscript"/>
          <w:lang w:eastAsia="zh-TW"/>
        </w:rPr>
        <w:footnoteReference w:id="66"/>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c. </w:t>
      </w:r>
      <w:r w:rsidRPr="00F855D9">
        <w:rPr>
          <w:rFonts w:ascii="Times New Roman" w:eastAsia="PMingLiU" w:hAnsi="Times New Roman" w:cs="Times New Roman"/>
          <w:bCs/>
          <w:i/>
          <w:color w:val="000000"/>
          <w:kern w:val="2"/>
          <w:sz w:val="24"/>
          <w:szCs w:val="24"/>
          <w:lang w:eastAsia="zh-TW"/>
        </w:rPr>
        <w:t>Progressive liberalization</w:t>
      </w:r>
      <w:r w:rsidRPr="00F855D9">
        <w:rPr>
          <w:rFonts w:ascii="Times New Roman" w:eastAsia="PMingLiU" w:hAnsi="Times New Roman" w:cs="Times New Roman"/>
          <w:bCs/>
          <w:color w:val="000000"/>
          <w:kern w:val="2"/>
          <w:sz w:val="24"/>
          <w:szCs w:val="24"/>
          <w:lang w:eastAsia="zh-TW"/>
        </w:rPr>
        <w:t>, yaitu liberalisasi secara bertahap sesuai dengan tinggat perkembangan ekonomi setiap negara anggota. Liberalisasi bertahap tersebut dilakukan dengan mewajibkan semua angota AFAS untuk melakukan putaran negosiasi yang berkesinambungan. Negosiasi tersebut harus dilakukan dengan mengurangi atau menghilangkan measures yang dapat berdampak buruk terhadap perdagangan Jasa. Meskipun demikian, proses liberalisasi harus dilakukan dengan tetap menghormati kepentingan nasional dan tingkat pembangunan masing-masing.</w:t>
      </w:r>
      <w:r w:rsidRPr="00F855D9">
        <w:rPr>
          <w:rFonts w:ascii="Times New Roman" w:eastAsia="PMingLiU" w:hAnsi="Times New Roman" w:cs="Times New Roman"/>
          <w:bCs/>
          <w:color w:val="000000"/>
          <w:kern w:val="2"/>
          <w:sz w:val="24"/>
          <w:szCs w:val="24"/>
          <w:vertAlign w:val="superscript"/>
          <w:lang w:eastAsia="zh-TW"/>
        </w:rPr>
        <w:footnoteReference w:id="67"/>
      </w:r>
    </w:p>
    <w:p w:rsidR="00F855D9" w:rsidRPr="00F855D9" w:rsidRDefault="00F855D9" w:rsidP="00F855D9">
      <w:pPr>
        <w:widowControl w:val="0"/>
        <w:spacing w:after="0" w:line="24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4. </w:t>
      </w:r>
      <w:r w:rsidRPr="00F855D9">
        <w:rPr>
          <w:rFonts w:ascii="Times New Roman" w:eastAsia="PMingLiU" w:hAnsi="Times New Roman" w:cs="Times New Roman"/>
          <w:bCs/>
          <w:i/>
          <w:color w:val="000000"/>
          <w:kern w:val="2"/>
          <w:sz w:val="24"/>
          <w:szCs w:val="24"/>
          <w:lang w:eastAsia="zh-TW"/>
        </w:rPr>
        <w:t>Mode Of Supply</w:t>
      </w:r>
      <w:r w:rsidRPr="00F855D9">
        <w:rPr>
          <w:rFonts w:ascii="Times New Roman" w:eastAsia="PMingLiU" w:hAnsi="Times New Roman" w:cs="Times New Roman"/>
          <w:bCs/>
          <w:color w:val="000000"/>
          <w:kern w:val="2"/>
          <w:sz w:val="24"/>
          <w:szCs w:val="24"/>
          <w:lang w:eastAsia="zh-TW"/>
        </w:rPr>
        <w:t xml:space="preserve"> AFAS</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Mode of supply</w:t>
      </w:r>
      <w:r w:rsidRPr="00F855D9">
        <w:rPr>
          <w:rFonts w:ascii="Times New Roman" w:eastAsia="PMingLiU" w:hAnsi="Times New Roman" w:cs="Times New Roman"/>
          <w:bCs/>
          <w:color w:val="000000"/>
          <w:kern w:val="2"/>
          <w:sz w:val="24"/>
          <w:szCs w:val="24"/>
          <w:lang w:eastAsia="zh-TW"/>
        </w:rPr>
        <w:t xml:space="preserve"> adalah cara untuk melakukan pengurangan atau penghilangan hambatan dalam perdagangan jasa adalah sebagai berikut :</w:t>
      </w:r>
      <w:r w:rsidRPr="00F855D9">
        <w:rPr>
          <w:rFonts w:ascii="Times New Roman" w:eastAsia="PMingLiU" w:hAnsi="Times New Roman" w:cs="Times New Roman"/>
          <w:bCs/>
          <w:color w:val="000000"/>
          <w:kern w:val="2"/>
          <w:sz w:val="24"/>
          <w:szCs w:val="24"/>
          <w:vertAlign w:val="superscript"/>
          <w:lang w:eastAsia="zh-TW"/>
        </w:rPr>
        <w:footnoteReference w:id="68"/>
      </w:r>
    </w:p>
    <w:p w:rsidR="00F855D9" w:rsidRPr="00F855D9" w:rsidRDefault="00F855D9" w:rsidP="003D7355">
      <w:pPr>
        <w:widowControl w:val="0"/>
        <w:numPr>
          <w:ilvl w:val="2"/>
          <w:numId w:val="57"/>
        </w:numPr>
        <w:spacing w:after="0" w:line="240" w:lineRule="auto"/>
        <w:ind w:left="1418" w:hanging="28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Mode I</w:t>
      </w:r>
      <w:r w:rsidRPr="00F855D9">
        <w:rPr>
          <w:rFonts w:ascii="Times New Roman" w:eastAsia="PMingLiU" w:hAnsi="Times New Roman" w:cs="Times New Roman"/>
          <w:bCs/>
          <w:i/>
          <w:color w:val="000000"/>
          <w:kern w:val="2"/>
          <w:sz w:val="24"/>
          <w:szCs w:val="24"/>
          <w:lang w:eastAsia="zh-TW"/>
        </w:rPr>
        <w:t xml:space="preserve"> (cross-border supply) </w:t>
      </w:r>
      <w:r w:rsidRPr="00F855D9">
        <w:rPr>
          <w:rFonts w:ascii="Times New Roman" w:eastAsia="PMingLiU" w:hAnsi="Times New Roman" w:cs="Times New Roman"/>
          <w:bCs/>
          <w:color w:val="000000"/>
          <w:kern w:val="2"/>
          <w:sz w:val="24"/>
          <w:szCs w:val="24"/>
          <w:lang w:eastAsia="zh-TW"/>
        </w:rPr>
        <w:t>merupakan jasa yang diberikan secara langsung oleh penyedia Jasa luar negeri dengan pengguna jasa didalam negeri. Contohnya pertimbangan hukum yang diberikan oleh pengacara di luar negeri lewat surat atau telepon.</w:t>
      </w:r>
    </w:p>
    <w:p w:rsidR="00F855D9" w:rsidRPr="00F855D9" w:rsidRDefault="00F855D9" w:rsidP="003D7355">
      <w:pPr>
        <w:widowControl w:val="0"/>
        <w:numPr>
          <w:ilvl w:val="2"/>
          <w:numId w:val="57"/>
        </w:numPr>
        <w:spacing w:after="0" w:line="240" w:lineRule="auto"/>
        <w:ind w:left="1418" w:hanging="28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Mode 2 </w:t>
      </w:r>
      <w:r w:rsidRPr="00F855D9">
        <w:rPr>
          <w:rFonts w:ascii="Times New Roman" w:eastAsia="PMingLiU" w:hAnsi="Times New Roman" w:cs="Times New Roman"/>
          <w:bCs/>
          <w:i/>
          <w:color w:val="000000"/>
          <w:kern w:val="2"/>
          <w:sz w:val="24"/>
          <w:szCs w:val="24"/>
          <w:lang w:eastAsia="zh-TW"/>
        </w:rPr>
        <w:t>(consumption abroad</w:t>
      </w:r>
      <w:r w:rsidRPr="00F855D9">
        <w:rPr>
          <w:rFonts w:ascii="Times New Roman" w:eastAsia="PMingLiU" w:hAnsi="Times New Roman" w:cs="Times New Roman"/>
          <w:bCs/>
          <w:color w:val="000000"/>
          <w:kern w:val="2"/>
          <w:sz w:val="24"/>
          <w:szCs w:val="24"/>
          <w:lang w:eastAsia="zh-TW"/>
        </w:rPr>
        <w:t>) merupakan jasa yang diberikan oleh penyedia Jasa diluar negeri kepada konsumen domestik setelah konsumen tersebut berpindah secara fisik ke negara penyedia Jasa. Contohnya mahasiswa yang berkuliah di Belanda.</w:t>
      </w:r>
    </w:p>
    <w:p w:rsidR="00F855D9" w:rsidRPr="00F855D9" w:rsidRDefault="00F855D9" w:rsidP="003D7355">
      <w:pPr>
        <w:widowControl w:val="0"/>
        <w:numPr>
          <w:ilvl w:val="2"/>
          <w:numId w:val="57"/>
        </w:numPr>
        <w:spacing w:after="0" w:line="240" w:lineRule="auto"/>
        <w:ind w:left="1418" w:hanging="28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Mode 3 </w:t>
      </w:r>
      <w:r w:rsidRPr="00F855D9">
        <w:rPr>
          <w:rFonts w:ascii="Times New Roman" w:eastAsia="PMingLiU" w:hAnsi="Times New Roman" w:cs="Times New Roman"/>
          <w:bCs/>
          <w:i/>
          <w:color w:val="000000"/>
          <w:kern w:val="2"/>
          <w:sz w:val="24"/>
          <w:szCs w:val="24"/>
          <w:lang w:eastAsia="zh-TW"/>
        </w:rPr>
        <w:t>(commercial presence)</w:t>
      </w:r>
      <w:r w:rsidRPr="00F855D9">
        <w:rPr>
          <w:rFonts w:ascii="Times New Roman" w:eastAsia="PMingLiU" w:hAnsi="Times New Roman" w:cs="Times New Roman"/>
          <w:bCs/>
          <w:color w:val="000000"/>
          <w:kern w:val="2"/>
          <w:sz w:val="24"/>
          <w:szCs w:val="24"/>
          <w:lang w:eastAsia="zh-TW"/>
        </w:rPr>
        <w:t xml:space="preserve"> merupakan jasa yang disediakan dengan kehadiran penyedia Jasa dari luar negeri kepada konsumen di negara konsumen. Contoh : pendirian rumah sakit milik Singapura di Indonesia.</w:t>
      </w:r>
    </w:p>
    <w:p w:rsidR="00F855D9" w:rsidRPr="00F855D9" w:rsidRDefault="00F855D9" w:rsidP="003D7355">
      <w:pPr>
        <w:widowControl w:val="0"/>
        <w:numPr>
          <w:ilvl w:val="2"/>
          <w:numId w:val="57"/>
        </w:numPr>
        <w:spacing w:after="0" w:line="240" w:lineRule="auto"/>
        <w:ind w:left="1418" w:hanging="28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Mode 4 </w:t>
      </w:r>
      <w:r w:rsidRPr="00F855D9">
        <w:rPr>
          <w:rFonts w:ascii="Times New Roman" w:eastAsia="PMingLiU" w:hAnsi="Times New Roman" w:cs="Times New Roman"/>
          <w:bCs/>
          <w:i/>
          <w:color w:val="000000"/>
          <w:kern w:val="2"/>
          <w:sz w:val="24"/>
          <w:szCs w:val="24"/>
          <w:lang w:eastAsia="zh-TW"/>
        </w:rPr>
        <w:t>(presence of natural person)</w:t>
      </w:r>
      <w:r w:rsidRPr="00F855D9">
        <w:rPr>
          <w:rFonts w:ascii="Times New Roman" w:eastAsia="PMingLiU" w:hAnsi="Times New Roman" w:cs="Times New Roman"/>
          <w:bCs/>
          <w:color w:val="000000"/>
          <w:kern w:val="2"/>
          <w:sz w:val="24"/>
          <w:szCs w:val="24"/>
          <w:lang w:eastAsia="zh-TW"/>
        </w:rPr>
        <w:t xml:space="preserve"> merupakan penyediaan jasa langsung berupa tenaga kerja asing yang memiliki keahlian tertentu kepada konsumen di negara konsumen. Contohnya dokter Singapura melakukan praktik di Indonesia.</w:t>
      </w:r>
    </w:p>
    <w:p w:rsidR="000A776B" w:rsidRDefault="000A776B" w:rsidP="00F855D9">
      <w:pPr>
        <w:widowControl w:val="0"/>
        <w:spacing w:after="0" w:line="480" w:lineRule="auto"/>
        <w:jc w:val="both"/>
        <w:rPr>
          <w:rFonts w:ascii="Times New Roman" w:eastAsia="PMingLiU" w:hAnsi="Times New Roman" w:cs="Times New Roman"/>
          <w:bCs/>
          <w:color w:val="000000"/>
          <w:kern w:val="2"/>
          <w:sz w:val="24"/>
          <w:szCs w:val="24"/>
          <w:lang w:eastAsia="zh-TW"/>
        </w:rPr>
      </w:pPr>
    </w:p>
    <w:p w:rsidR="00F52E6B" w:rsidRDefault="00F52E6B" w:rsidP="00F855D9">
      <w:pPr>
        <w:widowControl w:val="0"/>
        <w:spacing w:after="0" w:line="480" w:lineRule="auto"/>
        <w:jc w:val="center"/>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center"/>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lastRenderedPageBreak/>
        <w:t>BAB III</w:t>
      </w:r>
    </w:p>
    <w:p w:rsidR="00F855D9" w:rsidRPr="00F855D9" w:rsidRDefault="00F855D9" w:rsidP="00F855D9">
      <w:pPr>
        <w:widowControl w:val="0"/>
        <w:spacing w:after="0" w:line="480" w:lineRule="auto"/>
        <w:jc w:val="center"/>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HASIL PENELITIAN DAN PEMBAHASAN</w:t>
      </w:r>
    </w:p>
    <w:p w:rsidR="00F855D9" w:rsidRPr="00F855D9" w:rsidRDefault="00F855D9" w:rsidP="00F855D9">
      <w:pPr>
        <w:widowControl w:val="0"/>
        <w:spacing w:after="0" w:line="480" w:lineRule="auto"/>
        <w:jc w:val="center"/>
        <w:rPr>
          <w:rFonts w:ascii="Times New Roman" w:eastAsia="PMingLiU" w:hAnsi="Times New Roman" w:cs="Times New Roman"/>
          <w:bCs/>
          <w:color w:val="000000"/>
          <w:kern w:val="2"/>
          <w:sz w:val="24"/>
          <w:szCs w:val="24"/>
          <w:lang w:eastAsia="zh-TW"/>
        </w:rPr>
      </w:pPr>
    </w:p>
    <w:p w:rsidR="00F855D9" w:rsidRPr="00F855D9" w:rsidRDefault="00F855D9" w:rsidP="003D7355">
      <w:pPr>
        <w:widowControl w:val="0"/>
        <w:numPr>
          <w:ilvl w:val="0"/>
          <w:numId w:val="34"/>
        </w:numPr>
        <w:spacing w:after="0" w:line="480" w:lineRule="auto"/>
        <w:ind w:left="426"/>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Analisis dampak kebijakan pemerintah Indonesia terhadap persaingan perdagangan jasa di bidang konstruksi dalam rangka Masyarakat Ekonomi ASEAN</w:t>
      </w:r>
    </w:p>
    <w:p w:rsidR="00F855D9" w:rsidRPr="00F855D9" w:rsidRDefault="00F855D9" w:rsidP="003D7355">
      <w:pPr>
        <w:widowControl w:val="0"/>
        <w:numPr>
          <w:ilvl w:val="3"/>
          <w:numId w:val="49"/>
        </w:numPr>
        <w:spacing w:after="0" w:line="480" w:lineRule="auto"/>
        <w:ind w:left="85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Kebijakan pemerintah Indonesia terhadap persaingan perdagangan jasa di bidang konstruksi dalam rangka Masyarakat Ekonomi ASEAN</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Pemerintah telah menyiapkan beberapa kebijakan untuk meningkatkan kinerja jasa konstruksi nasional, diantaranya melalui beberapa peraturan perundang – undangan  yang bertujuan agar jasa konstruksi nasional memiliki nilai daya saing yang berkualitas dan mampu bersaing dengan negara ASEAN lainnya. </w:t>
      </w:r>
    </w:p>
    <w:p w:rsidR="00F855D9" w:rsidRPr="00915C1B" w:rsidRDefault="00F855D9" w:rsidP="003D7355">
      <w:pPr>
        <w:pStyle w:val="ListParagraph"/>
        <w:widowControl w:val="0"/>
        <w:numPr>
          <w:ilvl w:val="1"/>
          <w:numId w:val="103"/>
        </w:numPr>
        <w:spacing w:after="0" w:line="480" w:lineRule="auto"/>
        <w:ind w:left="1701"/>
        <w:jc w:val="both"/>
        <w:rPr>
          <w:rFonts w:ascii="Times New Roman" w:eastAsia="PMingLiU" w:hAnsi="Times New Roman" w:cs="Times New Roman"/>
          <w:bCs/>
          <w:color w:val="000000"/>
          <w:kern w:val="2"/>
          <w:sz w:val="24"/>
          <w:szCs w:val="24"/>
          <w:lang w:eastAsia="zh-TW"/>
        </w:rPr>
      </w:pPr>
      <w:r w:rsidRPr="00915C1B">
        <w:rPr>
          <w:rFonts w:ascii="Times New Roman" w:eastAsia="PMingLiU" w:hAnsi="Times New Roman" w:cs="Times New Roman"/>
          <w:bCs/>
          <w:color w:val="000000"/>
          <w:kern w:val="2"/>
          <w:sz w:val="24"/>
          <w:szCs w:val="24"/>
          <w:lang w:eastAsia="zh-TW"/>
        </w:rPr>
        <w:t>Undang – Undang Nomor 18 Tahun 1999 tentang Jasa Konstruksi</w:t>
      </w:r>
    </w:p>
    <w:p w:rsidR="00F855D9" w:rsidRPr="00F855D9" w:rsidRDefault="00F855D9" w:rsidP="00915C1B">
      <w:pPr>
        <w:widowControl w:val="0"/>
        <w:spacing w:after="0" w:line="480" w:lineRule="auto"/>
        <w:ind w:left="1341"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Kebijakan perdagangan jasa konstruksi pada undang – undang ini diatur sedemikian rupa terkait jenis, bentuk, bidang usaha, persyaratan usaha, keahlian, ketrampilan, tanggung jawab profesional, pengembangan usaha. Jenis jasa konstruksi dalam pasal 4 terbagi dalam :</w:t>
      </w:r>
      <w:r w:rsidRPr="00F855D9">
        <w:rPr>
          <w:rFonts w:ascii="Times New Roman" w:eastAsia="PMingLiU" w:hAnsi="Times New Roman" w:cs="Times New Roman"/>
          <w:bCs/>
          <w:color w:val="000000"/>
          <w:kern w:val="2"/>
          <w:sz w:val="24"/>
          <w:szCs w:val="24"/>
          <w:vertAlign w:val="superscript"/>
          <w:lang w:eastAsia="zh-TW"/>
        </w:rPr>
        <w:footnoteReference w:id="69"/>
      </w:r>
    </w:p>
    <w:p w:rsidR="00F855D9" w:rsidRPr="00F855D9" w:rsidRDefault="00F855D9" w:rsidP="003D7355">
      <w:pPr>
        <w:widowControl w:val="0"/>
        <w:numPr>
          <w:ilvl w:val="5"/>
          <w:numId w:val="60"/>
        </w:numPr>
        <w:tabs>
          <w:tab w:val="left" w:pos="2410"/>
        </w:tabs>
        <w:spacing w:after="0" w:line="240" w:lineRule="auto"/>
        <w:ind w:left="2127" w:hanging="322"/>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 Jenis usaha jasa konstruksi terdiri dari usaha perencanaan konstruksi, usaha pelaksanaan konstruksi, dan usaha pengawasan konstruksi yang masing-masing dilaksanakan oleh perencana konstruksi, pelaksana konstruksi, dan pengawas konstruksi.</w:t>
      </w:r>
    </w:p>
    <w:p w:rsidR="00F855D9" w:rsidRPr="00F855D9" w:rsidRDefault="00F855D9" w:rsidP="003D7355">
      <w:pPr>
        <w:widowControl w:val="0"/>
        <w:numPr>
          <w:ilvl w:val="5"/>
          <w:numId w:val="60"/>
        </w:numPr>
        <w:tabs>
          <w:tab w:val="left" w:pos="993"/>
          <w:tab w:val="left" w:pos="2410"/>
        </w:tabs>
        <w:spacing w:after="0" w:line="240" w:lineRule="auto"/>
        <w:ind w:left="2127" w:hanging="322"/>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Usaha perencanaan konstruksi memberikan layanan jasa </w:t>
      </w:r>
      <w:r w:rsidRPr="00F855D9">
        <w:rPr>
          <w:rFonts w:ascii="Times New Roman" w:eastAsia="PMingLiU" w:hAnsi="Times New Roman" w:cs="Times New Roman"/>
          <w:bCs/>
          <w:color w:val="000000"/>
          <w:kern w:val="2"/>
          <w:sz w:val="24"/>
          <w:szCs w:val="24"/>
          <w:lang w:eastAsia="zh-TW"/>
        </w:rPr>
        <w:lastRenderedPageBreak/>
        <w:t>perencanaan dalam pekerjaan konstruksi yang meliputi rangkaian kegiatan atau bagian-bagian dari kegiatan mulai dari studi pengembangan sampai dengan penyusunan dokumen kontrak kerja konstruksi.</w:t>
      </w:r>
    </w:p>
    <w:p w:rsidR="00F855D9" w:rsidRPr="00F855D9" w:rsidRDefault="00F855D9" w:rsidP="003D7355">
      <w:pPr>
        <w:widowControl w:val="0"/>
        <w:numPr>
          <w:ilvl w:val="5"/>
          <w:numId w:val="60"/>
        </w:numPr>
        <w:tabs>
          <w:tab w:val="left" w:pos="993"/>
          <w:tab w:val="left" w:pos="2410"/>
        </w:tabs>
        <w:spacing w:after="0" w:line="240" w:lineRule="auto"/>
        <w:ind w:left="2127" w:hanging="322"/>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Usaha pelaksanaan konstruksi memberikan layanan jasa pelaksanaan dalam pekerjaan konstruksi yang meliputi rangkaian kegiatan atau bagian-bagian dari kegiatan mulai dari penyiapan lapangan sampai dengan penyerahan akhir hasil pekerjaan konstruksi.</w:t>
      </w:r>
    </w:p>
    <w:p w:rsidR="00F855D9" w:rsidRPr="00F855D9" w:rsidRDefault="00F855D9" w:rsidP="003D7355">
      <w:pPr>
        <w:widowControl w:val="0"/>
        <w:numPr>
          <w:ilvl w:val="5"/>
          <w:numId w:val="60"/>
        </w:numPr>
        <w:tabs>
          <w:tab w:val="left" w:pos="993"/>
          <w:tab w:val="left" w:pos="2410"/>
        </w:tabs>
        <w:spacing w:after="0" w:line="240" w:lineRule="auto"/>
        <w:ind w:left="2127" w:hanging="322"/>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Usaha pengawasan konstruksi memberikan layanan jasa pengawasan baik keseluruhan maupun sebagian pekerjaan pelaksanaan konstruksi mulai dari penyiapan lapangan sampai dengan penyerahan akhir hasil konstruksi.</w:t>
      </w:r>
    </w:p>
    <w:p w:rsidR="00F855D9" w:rsidRPr="00F855D9" w:rsidRDefault="00F855D9" w:rsidP="00F855D9">
      <w:pPr>
        <w:widowControl w:val="0"/>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 </w:t>
      </w:r>
    </w:p>
    <w:p w:rsidR="00F855D9" w:rsidRPr="00F855D9" w:rsidRDefault="00F855D9" w:rsidP="00915C1B">
      <w:pPr>
        <w:widowControl w:val="0"/>
        <w:spacing w:after="0" w:line="480" w:lineRule="auto"/>
        <w:ind w:left="1276"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Jenis jasa konstruksi yang telah ditetapkan oleh Undang – undang Nomor 18 Tahun 1999 tentang Jasa Konstruksi merupakan kebijakan pemerintah Indonesia terkait jenis jasa yang diperbolehkan diliberalisasi oleh pemerintah Indonesia dalam rangka MEA. Jenis jasa konstruksi dalam Indonesia tidak jauh berbeda dengan standar MEA, standar MEA memiliki 4 standar yaitu perencanaan, pelaksanaan, pengawasan dan evaluasi konstruksi. Dalam bentuk jasa konstruksi sendiri, melalui Undang – undang Nomor 18 Tahun 1999 tentang Jasa Konstruksi, kebijakan pemerintah Indonesia dijelaskan melalui pasal 5 yaitu :</w:t>
      </w:r>
      <w:r w:rsidRPr="00F855D9">
        <w:rPr>
          <w:rFonts w:ascii="Times New Roman" w:eastAsia="PMingLiU" w:hAnsi="Times New Roman" w:cs="Times New Roman"/>
          <w:bCs/>
          <w:color w:val="000000"/>
          <w:kern w:val="2"/>
          <w:sz w:val="24"/>
          <w:szCs w:val="24"/>
          <w:vertAlign w:val="superscript"/>
          <w:lang w:eastAsia="zh-TW"/>
        </w:rPr>
        <w:footnoteReference w:id="70"/>
      </w:r>
      <w:r w:rsidRPr="00F855D9">
        <w:rPr>
          <w:rFonts w:ascii="Times New Roman" w:eastAsia="PMingLiU" w:hAnsi="Times New Roman" w:cs="Times New Roman"/>
          <w:bCs/>
          <w:color w:val="000000"/>
          <w:kern w:val="2"/>
          <w:sz w:val="24"/>
          <w:szCs w:val="24"/>
          <w:lang w:eastAsia="zh-TW"/>
        </w:rPr>
        <w:t xml:space="preserve"> </w:t>
      </w:r>
    </w:p>
    <w:p w:rsidR="00F855D9" w:rsidRPr="00F855D9" w:rsidRDefault="00F855D9" w:rsidP="003D7355">
      <w:pPr>
        <w:widowControl w:val="0"/>
        <w:numPr>
          <w:ilvl w:val="5"/>
          <w:numId w:val="61"/>
        </w:numPr>
        <w:spacing w:after="0" w:line="240" w:lineRule="auto"/>
        <w:ind w:left="2127" w:hanging="425"/>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Usaha jasa konstruksi dapat berbentuk orang perseorangan atau badan usaha.</w:t>
      </w:r>
    </w:p>
    <w:p w:rsidR="00F855D9" w:rsidRPr="00F855D9" w:rsidRDefault="00F855D9" w:rsidP="003D7355">
      <w:pPr>
        <w:widowControl w:val="0"/>
        <w:numPr>
          <w:ilvl w:val="5"/>
          <w:numId w:val="61"/>
        </w:numPr>
        <w:spacing w:after="0" w:line="240" w:lineRule="auto"/>
        <w:ind w:left="2127" w:hanging="425"/>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Bentuk usaha yang dilakukan oleh orang perseorangan sebagaimana dimaksud pada ayat (1) selaku pelaksana konstruksi hanya dapat melaksanakan pekerjaan konstruksi yang berisiko kecil, yang berteknologi sederhana, dan yang berbiaya kecil.</w:t>
      </w:r>
    </w:p>
    <w:p w:rsidR="00F855D9" w:rsidRPr="00F855D9" w:rsidRDefault="00F855D9" w:rsidP="003D7355">
      <w:pPr>
        <w:widowControl w:val="0"/>
        <w:numPr>
          <w:ilvl w:val="5"/>
          <w:numId w:val="61"/>
        </w:numPr>
        <w:spacing w:after="0" w:line="240" w:lineRule="auto"/>
        <w:ind w:left="2127" w:hanging="425"/>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Bentuk usaha yang dilakukan oleh orang perseorangan sebagaimana dimaksud pada ayat (1) selaku perencana konstruksi atau pengawas konstruksi hanya dapat melaksanakan pekerjaa yang sesuai dengan bidang </w:t>
      </w:r>
      <w:r w:rsidRPr="00F855D9">
        <w:rPr>
          <w:rFonts w:ascii="Times New Roman" w:eastAsia="PMingLiU" w:hAnsi="Times New Roman" w:cs="Times New Roman"/>
          <w:bCs/>
          <w:color w:val="000000"/>
          <w:kern w:val="2"/>
          <w:sz w:val="24"/>
          <w:szCs w:val="24"/>
          <w:lang w:eastAsia="zh-TW"/>
        </w:rPr>
        <w:lastRenderedPageBreak/>
        <w:t>keahliannya.</w:t>
      </w:r>
    </w:p>
    <w:p w:rsidR="00F855D9" w:rsidRPr="00F855D9" w:rsidRDefault="00F855D9" w:rsidP="003D7355">
      <w:pPr>
        <w:widowControl w:val="0"/>
        <w:numPr>
          <w:ilvl w:val="5"/>
          <w:numId w:val="61"/>
        </w:numPr>
        <w:spacing w:after="0" w:line="240" w:lineRule="auto"/>
        <w:ind w:left="2127" w:hanging="425"/>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Pekerjaan konstruksi yang berisiko besar dan/atau yang berteknologi tinggi dan/atau yang berbiaya besar hanya dapat dilakukan oleh badan usaha yang berbentuk perseroan terbatas atau badan usaha asing yang dipersamakan.</w:t>
      </w:r>
    </w:p>
    <w:p w:rsidR="00F855D9" w:rsidRPr="00F855D9" w:rsidRDefault="00F855D9" w:rsidP="00915C1B">
      <w:pPr>
        <w:widowControl w:val="0"/>
        <w:spacing w:after="0" w:line="240" w:lineRule="auto"/>
        <w:ind w:left="720"/>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1276"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Bidang usaha jasa konstruksi dalam pasal 6 undang – undang nomor 18 tahun 1999 tentang jasa konstruksi lebih mencakup pekerjaan arsitektural dan/atau sipil dan/atau mekanikal dan/atau elektrikal dan/atau tata lingkungan. Kebijakan dalam bidang usaha konstruksi ini sesuai dengan perdagangan jasa di bidang konstruksi yang telah disepakati dalam paket AFAS. Terdapat standarisasi perencana, pelaksana dan pengawas konstruksi yang telah dibuat oleh pemerintah Indonesia dalam undang – undang ini. Standarisasi dibuat untuk pelaku usaha Indonesia maupun pelaku usaha dari negara anggota ASEAN yang ingin melakukan jenis usaha konstruksi di Indonesia. Khusus standarisasi dari pelaku usaha dari negara anggota ASEAN, standarisasi dalam pasal 8,9 dan 10 ini berlaku apabila pelaku usaha dari negara anggota ASEAN telah memenuhi </w:t>
      </w:r>
      <w:r w:rsidRPr="00F855D9">
        <w:rPr>
          <w:rFonts w:ascii="Times New Roman" w:eastAsia="PMingLiU" w:hAnsi="Times New Roman" w:cs="Times New Roman"/>
          <w:bCs/>
          <w:i/>
          <w:color w:val="000000"/>
          <w:kern w:val="2"/>
          <w:sz w:val="24"/>
          <w:szCs w:val="24"/>
          <w:lang w:eastAsia="zh-TW"/>
        </w:rPr>
        <w:t>mutual recognition arrangement</w:t>
      </w:r>
      <w:r w:rsidRPr="00F855D9">
        <w:rPr>
          <w:rFonts w:ascii="Times New Roman" w:eastAsia="PMingLiU" w:hAnsi="Times New Roman" w:cs="Times New Roman"/>
          <w:bCs/>
          <w:color w:val="000000"/>
          <w:kern w:val="2"/>
          <w:sz w:val="24"/>
          <w:szCs w:val="24"/>
          <w:lang w:eastAsia="zh-TW"/>
        </w:rPr>
        <w:t xml:space="preserve"> (MRA) dari ASEAN. Pasal 8 menjelaskan mengenai ketentuan jenis usaha konstruksi harus memenuhi beberapa persyaratan, yaitu : </w:t>
      </w:r>
    </w:p>
    <w:p w:rsidR="00F855D9" w:rsidRPr="00F855D9" w:rsidRDefault="00F855D9" w:rsidP="00915C1B">
      <w:pPr>
        <w:widowControl w:val="0"/>
        <w:spacing w:after="0" w:line="480" w:lineRule="auto"/>
        <w:ind w:left="1276"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Perencana konstruksi, pelaksana konstruksi, dan pengawas konstruksi yang berbentuk badan usaha harus :</w:t>
      </w:r>
      <w:r w:rsidRPr="00F855D9">
        <w:rPr>
          <w:rFonts w:ascii="Times New Roman" w:eastAsia="PMingLiU" w:hAnsi="Times New Roman" w:cs="Times New Roman"/>
          <w:bCs/>
          <w:color w:val="000000"/>
          <w:kern w:val="2"/>
          <w:sz w:val="24"/>
          <w:szCs w:val="24"/>
          <w:vertAlign w:val="superscript"/>
          <w:lang w:eastAsia="zh-TW"/>
        </w:rPr>
        <w:footnoteReference w:id="71"/>
      </w:r>
    </w:p>
    <w:p w:rsidR="00F855D9" w:rsidRPr="00F855D9" w:rsidRDefault="00F855D9" w:rsidP="003D7355">
      <w:pPr>
        <w:widowControl w:val="0"/>
        <w:numPr>
          <w:ilvl w:val="1"/>
          <w:numId w:val="62"/>
        </w:numPr>
        <w:spacing w:after="0" w:line="48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memenuhi ketentuan tentang perizinan usaha di bidang jasa konstruksi;</w:t>
      </w:r>
    </w:p>
    <w:p w:rsidR="00F855D9" w:rsidRPr="00F855D9" w:rsidRDefault="00F855D9" w:rsidP="003D7355">
      <w:pPr>
        <w:widowControl w:val="0"/>
        <w:numPr>
          <w:ilvl w:val="1"/>
          <w:numId w:val="62"/>
        </w:numPr>
        <w:spacing w:after="0" w:line="48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memiliki sertifikat, klasifikasi, dan kualifikasi perusahaan jasa konstruksi.</w:t>
      </w:r>
    </w:p>
    <w:p w:rsidR="00F855D9" w:rsidRPr="00F855D9" w:rsidRDefault="00F855D9" w:rsidP="00915C1B">
      <w:pPr>
        <w:widowControl w:val="0"/>
        <w:spacing w:after="0" w:line="480" w:lineRule="auto"/>
        <w:ind w:left="1341"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Pasal 9 undang – undang ini mengatur kebijakan tentang diharuskannya pelaku usaha maupun orang perorangan memiliki sertifikat yang telah ditetapkan oleh pemerintah Indonesia, yaitu :</w:t>
      </w:r>
      <w:r w:rsidRPr="00F855D9">
        <w:rPr>
          <w:rFonts w:ascii="Times New Roman" w:eastAsia="PMingLiU" w:hAnsi="Times New Roman" w:cs="Times New Roman"/>
          <w:bCs/>
          <w:color w:val="000000"/>
          <w:kern w:val="2"/>
          <w:sz w:val="24"/>
          <w:szCs w:val="24"/>
          <w:vertAlign w:val="superscript"/>
          <w:lang w:eastAsia="zh-TW"/>
        </w:rPr>
        <w:footnoteReference w:id="72"/>
      </w:r>
    </w:p>
    <w:p w:rsidR="00F855D9" w:rsidRPr="00F855D9" w:rsidRDefault="00F855D9" w:rsidP="003D7355">
      <w:pPr>
        <w:widowControl w:val="0"/>
        <w:numPr>
          <w:ilvl w:val="1"/>
          <w:numId w:val="34"/>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Perencana konstruksi dan pengawas konstruksi orang perseorangan harus memiliki sertifikat keahlian.</w:t>
      </w:r>
    </w:p>
    <w:p w:rsidR="00F855D9" w:rsidRPr="00F855D9" w:rsidRDefault="00F855D9" w:rsidP="003D7355">
      <w:pPr>
        <w:widowControl w:val="0"/>
        <w:numPr>
          <w:ilvl w:val="1"/>
          <w:numId w:val="34"/>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Pelaksana konstruksi orang perseorangan harus memiliki sertifikat keterampilan kerja dan sertifikat keahlian kerja.</w:t>
      </w:r>
    </w:p>
    <w:p w:rsidR="00F855D9" w:rsidRPr="00F855D9" w:rsidRDefault="00F855D9" w:rsidP="003D7355">
      <w:pPr>
        <w:widowControl w:val="0"/>
        <w:numPr>
          <w:ilvl w:val="1"/>
          <w:numId w:val="34"/>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Orang perseorangan yang dipekerjakan oleh badan usaha sebagai perencana konstruksi atau pengawas konstruksi atau tenaga tertentu dalam badan usaha pelaksana konstruksi harus memiliki sertifikat keahlian.</w:t>
      </w:r>
    </w:p>
    <w:p w:rsidR="00F855D9" w:rsidRPr="00F855D9" w:rsidRDefault="00F855D9" w:rsidP="003D7355">
      <w:pPr>
        <w:widowControl w:val="0"/>
        <w:numPr>
          <w:ilvl w:val="1"/>
          <w:numId w:val="34"/>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Tenaga kerja yang melaksanakan pekerjaan keteknikan yang bekerja pada pelaksana konstruksi harus memiliki sertifikat keterampilan dan keahlian kerja.</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1341"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Kebijakan mengenai kerja sama pengembangan jasa konstruksi juga diatur oleh pemerintah Indonesia pada pasal 13 yaitu sebagai berikut : </w:t>
      </w:r>
    </w:p>
    <w:p w:rsidR="00F855D9" w:rsidRPr="00F855D9" w:rsidRDefault="00F855D9" w:rsidP="00915C1B">
      <w:pPr>
        <w:widowControl w:val="0"/>
        <w:spacing w:after="0" w:line="480" w:lineRule="auto"/>
        <w:ind w:left="1341"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Untuk mengembangkan usaha jasa konstruksi diperlukan dukungan dari mitra usaha melalui :</w:t>
      </w:r>
      <w:r w:rsidRPr="00F855D9">
        <w:rPr>
          <w:rFonts w:ascii="Times New Roman" w:eastAsia="PMingLiU" w:hAnsi="Times New Roman" w:cs="Times New Roman"/>
          <w:bCs/>
          <w:color w:val="000000"/>
          <w:kern w:val="2"/>
          <w:sz w:val="24"/>
          <w:szCs w:val="24"/>
          <w:vertAlign w:val="superscript"/>
          <w:lang w:eastAsia="zh-TW"/>
        </w:rPr>
        <w:footnoteReference w:id="73"/>
      </w:r>
    </w:p>
    <w:p w:rsidR="00F855D9" w:rsidRPr="00F855D9" w:rsidRDefault="00F855D9" w:rsidP="003D7355">
      <w:pPr>
        <w:widowControl w:val="0"/>
        <w:numPr>
          <w:ilvl w:val="0"/>
          <w:numId w:val="94"/>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perluasan dan peningkatan akses terhadap sumber pendanaan, serta kemudahan persyaratan dalam pendanaan,</w:t>
      </w:r>
    </w:p>
    <w:p w:rsidR="00F855D9" w:rsidRPr="00F855D9" w:rsidRDefault="00F855D9" w:rsidP="003D7355">
      <w:pPr>
        <w:widowControl w:val="0"/>
        <w:numPr>
          <w:ilvl w:val="0"/>
          <w:numId w:val="94"/>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pengembangan jenis usaha pertanggungan untuk mengatasi risiko yang timbul dan tanggung jawab hukum kepada pihak lain dalam pelaksanaan pekerjaan konstruksi atau akibat dari kegagalan bangunan.</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1341"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Kebijakan mengenai kerja sama pengembangan jasa konstruksi juga dikaitkan dengan hal penting dalam sebuah kerja sama yaitu kebijakan pengikatan tentang para pihak diatur dalam pasal 17, yaitu :</w:t>
      </w:r>
    </w:p>
    <w:p w:rsidR="00F855D9" w:rsidRPr="00F855D9" w:rsidRDefault="00F855D9" w:rsidP="003D7355">
      <w:pPr>
        <w:widowControl w:val="0"/>
        <w:numPr>
          <w:ilvl w:val="0"/>
          <w:numId w:val="63"/>
        </w:numPr>
        <w:tabs>
          <w:tab w:val="left" w:pos="851"/>
        </w:tabs>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Pengikatan dalam hubungan kerja jasa konstruksi dilakukan berdasarkan   prinsip persaingan yang sehat melalui pemilihan penyedia jasa dengan cara pelelangan umum atau terbatas.</w:t>
      </w:r>
    </w:p>
    <w:p w:rsidR="00F855D9" w:rsidRPr="00F855D9" w:rsidRDefault="00F855D9" w:rsidP="003D7355">
      <w:pPr>
        <w:widowControl w:val="0"/>
        <w:numPr>
          <w:ilvl w:val="0"/>
          <w:numId w:val="63"/>
        </w:numPr>
        <w:tabs>
          <w:tab w:val="left" w:pos="851"/>
        </w:tabs>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Pelelangan terbatas hanya boleh diikuti oleh penyedia jasa yang dinyatakan telah lulus prakualifikasi.</w:t>
      </w:r>
    </w:p>
    <w:p w:rsidR="00F855D9" w:rsidRPr="00F855D9" w:rsidRDefault="00F855D9" w:rsidP="003D7355">
      <w:pPr>
        <w:widowControl w:val="0"/>
        <w:numPr>
          <w:ilvl w:val="0"/>
          <w:numId w:val="63"/>
        </w:numPr>
        <w:tabs>
          <w:tab w:val="left" w:pos="851"/>
        </w:tabs>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Dalam keadaan tertentu, penetapan penyedia jasa dapat dilakukan dengan cara pemilihan langsung atau penunjukan langsung.</w:t>
      </w:r>
    </w:p>
    <w:p w:rsidR="00F855D9" w:rsidRPr="00F855D9" w:rsidRDefault="00F855D9" w:rsidP="003D7355">
      <w:pPr>
        <w:widowControl w:val="0"/>
        <w:numPr>
          <w:ilvl w:val="0"/>
          <w:numId w:val="63"/>
        </w:numPr>
        <w:tabs>
          <w:tab w:val="left" w:pos="851"/>
        </w:tabs>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Pemilihan penyedia jasa harus mempertimbangkan kesesuaian bidang, keseimbangan antara kemampuan dan beban kerja, serta kinerja penyedia jasa.</w:t>
      </w:r>
    </w:p>
    <w:p w:rsidR="00F855D9" w:rsidRPr="00F855D9" w:rsidRDefault="00F855D9" w:rsidP="003D7355">
      <w:pPr>
        <w:widowControl w:val="0"/>
        <w:numPr>
          <w:ilvl w:val="0"/>
          <w:numId w:val="63"/>
        </w:numPr>
        <w:tabs>
          <w:tab w:val="left" w:pos="851"/>
        </w:tabs>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Pemilihan penyedia jasa hanya boleh diikuti oleh penyedia jasa yang memenuhi persyaratan sebagaimana dimaksud dalam Pasal 8 dan Pasal 9.</w:t>
      </w:r>
    </w:p>
    <w:p w:rsidR="00F855D9" w:rsidRPr="00F855D9" w:rsidRDefault="00F855D9" w:rsidP="003D7355">
      <w:pPr>
        <w:widowControl w:val="0"/>
        <w:numPr>
          <w:ilvl w:val="0"/>
          <w:numId w:val="63"/>
        </w:numPr>
        <w:tabs>
          <w:tab w:val="left" w:pos="851"/>
        </w:tabs>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Badan-badan usaha yang dimiliki oleh satu atau kelompok orang yang sama atau berada pada kepengurusan yang sama tidak boleh mengikuti pelelangan untuk satu pekerjaan konstruksi secara bersamaan.</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Pengikatan para pihak juga harus diikuti dengan kewajiban dari pengguna jasa dan juga pengikat jasa yang tercermin dalam Pasal 18 yaitu : </w:t>
      </w:r>
      <w:r w:rsidRPr="00F855D9">
        <w:rPr>
          <w:rFonts w:ascii="Times New Roman" w:eastAsia="PMingLiU" w:hAnsi="Times New Roman" w:cs="Times New Roman"/>
          <w:bCs/>
          <w:color w:val="000000"/>
          <w:kern w:val="2"/>
          <w:sz w:val="24"/>
          <w:szCs w:val="24"/>
          <w:vertAlign w:val="superscript"/>
          <w:lang w:eastAsia="zh-TW"/>
        </w:rPr>
        <w:footnoteReference w:id="74"/>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 Kewajiban pengguna jasa dalam pengikatan mencakup :</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 menerbitkan dokumen tentang pemilihan penyedia jasa yang memuat ketentuanketentuan secara lengkap, jelas dan benar serta dapat dipahami;</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 menetapkan penyedia jasa secara tertulis sebagai hasil pelaksanaan pemilihan.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(2) Dalam pengikatan, penyedia jasa wajib menyusun dokumen penawaran berdasarkan prinsip keahlian untuk disampaikan kepada pengguna jasa.</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(3) Dokumen sebagaimana dimaksud pada ayat (1) dan ayat (2) bersifat mengikat bagi kedua pihak dan salah satu pihak tidak dapat mengubah dokumen tersebut secara sepihak sampai dengan penandatanganan kontrak kerja konstruksi.</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(4) Pengguna jasa dan penyedia jasa harus menindaklanjuti penetapan tertulis sebagaimana dimaksud pada ayat (1) huruf b dengan suatu kontrak kerja konstruksi untuk menjamin terpenuhinya hak dan kewajiban para pihak yang secara adil dan seimbang serta dilandasi dengan itikad baik dalam penyelenggaraan pekerjaan konstruksi.</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Pemerintah Indonesia juga membentuk kebijakan akan kontrak kerja konstruksi yang akan dilakukan untuk pekerjaan konstruksi di </w:t>
      </w:r>
      <w:r w:rsidRPr="00F855D9">
        <w:rPr>
          <w:rFonts w:ascii="Times New Roman" w:eastAsia="PMingLiU" w:hAnsi="Times New Roman" w:cs="Times New Roman"/>
          <w:bCs/>
          <w:color w:val="000000"/>
          <w:kern w:val="2"/>
          <w:sz w:val="24"/>
          <w:szCs w:val="24"/>
          <w:lang w:eastAsia="zh-TW"/>
        </w:rPr>
        <w:lastRenderedPageBreak/>
        <w:t>Indonesia pada pasal 22, kebijakan ini diambil dalam rangka standarisasi kontrak pekerjaan konstruksi yaitu sebagai berikut  :</w:t>
      </w:r>
      <w:r w:rsidRPr="00F855D9">
        <w:rPr>
          <w:rFonts w:ascii="Times New Roman" w:eastAsia="PMingLiU" w:hAnsi="Times New Roman" w:cs="Times New Roman"/>
          <w:bCs/>
          <w:color w:val="000000"/>
          <w:kern w:val="2"/>
          <w:sz w:val="24"/>
          <w:szCs w:val="24"/>
          <w:vertAlign w:val="superscript"/>
          <w:lang w:eastAsia="zh-TW"/>
        </w:rPr>
        <w:footnoteReference w:id="75"/>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(1) Pengaturan hubungan kerja berdasarkan hukum sebagaimana dimaksud dalam Pasal 18 ayat (3) harus dituangkan dalam kontrak kerja konstruksi.</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(2) Kontrak kerja konstruksi sekurang-kurangnya harus mencakup uraian mengenai :</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 para pihak, yang memuat secara jelas identitas para pihak;</w:t>
      </w:r>
    </w:p>
    <w:p w:rsidR="00F855D9" w:rsidRPr="00F855D9" w:rsidRDefault="00915C1B"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Pr>
          <w:rFonts w:ascii="Times New Roman" w:eastAsia="PMingLiU" w:hAnsi="Times New Roman" w:cs="Times New Roman"/>
          <w:bCs/>
          <w:color w:val="000000"/>
          <w:kern w:val="2"/>
          <w:sz w:val="24"/>
          <w:szCs w:val="24"/>
          <w:lang w:eastAsia="zh-TW"/>
        </w:rPr>
        <w:t xml:space="preserve">b. </w:t>
      </w:r>
      <w:r w:rsidR="00F855D9" w:rsidRPr="00F855D9">
        <w:rPr>
          <w:rFonts w:ascii="Times New Roman" w:eastAsia="PMingLiU" w:hAnsi="Times New Roman" w:cs="Times New Roman"/>
          <w:bCs/>
          <w:color w:val="000000"/>
          <w:kern w:val="2"/>
          <w:sz w:val="24"/>
          <w:szCs w:val="24"/>
          <w:lang w:eastAsia="zh-TW"/>
        </w:rPr>
        <w:t>rumusan pekerjaan, yang memuat uraian yang jelas dan rinci tentang lingkup kerja, nilai pekerjaan, dan batasan waktu pelaksanaan;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c. masa pertanggungan dan/atau pemeliharaan, yang memuat tentang jangka waktu</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pertanggungan dan/atau pemeliharaan yang menjadi tanggung jawab penyedia jasa;</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d. tenaga ahli, yang memuat ketentuan tentang jumlah, klasifikasi dan kualifikasi tenaga ahli untuk melaksanakan pekerjaan konstruksi.</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e. hak dan kewajiban, yang memuat hak pengguna jasa untuk memperoleh hasil pekerjaan konstruksi serta kewajibannya untuk memenuhi ketentuan yang diperjanjikan serta hak penyedia jasa untuk memperoleh informasi dan imbalan jasa serta kewajibannya melaksanakan pekerjaan konstruksi.</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f. cara pembayaran, yang memuat ketentuan tentang kewajiban pengguna jasa dalam melakukan pembayaran hasil pekerjaan konstruksi;</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g. cidera janji, yang memuat ketentuan tentang tanggung jawab dalam hal salah satu pihak tidak melaksanakan kewajiban sebagaimana diperjanjikan;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h. penyelesaian perselisihan, yang memuat ketentuan tentang tata cara penyelesaian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perselisihan akibat ketidaksepakatan;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i. pemutusan kontrak kerja konstruksi, yang memuat ketentuan tentang pemutusan kontrak kerja konstruksi yang timbul akibat tidak dapat dipenuhinya kewajiban salah satu pihak;</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j. keadaan memaksa (force majeure), yang memuat ketentuan tentang kejadian yang</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timbul di luar kemauan dan kemampuan para pihak, yang menimbulkan kerugian bagi salah satu pihak.</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 kegagalan bangunan, yang memuat ketentuan tentang kewajiban penyedia jasa dan/atau pengguna jasa atas kegagalan bangunan;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l. perlindungan pekerja, yang memuat ketentuan tentang kewajiban para pihak dalam pelaksanaan keselamatan dan kesehatan kerja serta jaminan sosial;m. aspek lingkungan, yang memuat kewajiban para pihak dalam pemenuhan ketentuan tentang lingkungan.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(3) Kontrak kerja konstruksi untuk pekerjaan perencanaan harus memuat ketentuan tentang hak atas kekayaan intelektual.</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(4) Kontrak kerja konstruksi dapat memuat kesepakatan para pihak tentang pemberian insentif.</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(5) Kontrak kerja konstruksi untuk kegiatan pelaksanaan dalam pekerjaan konstruksi, dapat memuat ketentuan tentang sub-penyedia jasa serta pemasok bahan dan atau komponen bangunan dan atau peralatan yang harus memenuhi standar yang berlaku.</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(6) Kontrak kerja konstruksi dibuat dalam bahasa Indonesia dan dalam hal kontrak kerja konstruksi dengan pihak asing, maka dapat dibuat dalam bahasa Indonesia dan bahasa Inggris.</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(7) Ketentuan mengenai kontrak kerja konstruksi sebagaimana dimaksud pada ayat (2) berlaku juga dalam kontrak kerja konstruksi antara penyedia jasa dengan subpenyedia jasa.</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(8) Ketentuan mengenai kontrak kerja konstruksi sebagaimana dimaksud pada ayat (2), hak atas kekayaan intelektual sebagaimana dimaksud pada ayat (3), pemberian insentif sebagaimana dimaksud pada ayat (4), dan mengenai pemasok dan/atau komponen bahan bangunan dan/atau peralatan sebagaimana dimaksud pada ayat (5) diatur lebih lanjut dengan Peraturan Pemerintah.</w:t>
      </w:r>
    </w:p>
    <w:p w:rsidR="00F855D9" w:rsidRPr="00F855D9" w:rsidRDefault="00F855D9" w:rsidP="00F855D9">
      <w:pPr>
        <w:widowControl w:val="0"/>
        <w:spacing w:after="0" w:line="24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Kebijakan pemerintah Indonesia terhadap persaingan perdagangan jasa di bidang konstruksi dalam rangka Masyarakat Ekonomi ASEAN selanjutnya adalah mengenai penyelesaian sengketa. Penyelesaian sengketa dapat ditempuh melalui dua cara yaitu bisa melalui pengadilan dan juga di luar pengadilan. Kebijakan penyelesaian sengketa ini dibuat agar mempermudah para penyedia jasa dan pengguna jasa konstruksi yang mengalami sengketa terkait jasa kosntruksi dalam menyelesaikan permasalahannya. Undang – undang nomor 18 tahun 1999 tentang jasa konstruksi pada bab IX membahas mengenai penyelesaian sengketa yang pada pasal 36 dan pasal 37 yaitu sebagai berikut : </w:t>
      </w:r>
    </w:p>
    <w:p w:rsidR="00F855D9" w:rsidRPr="00F855D9" w:rsidRDefault="00F855D9" w:rsidP="00F855D9">
      <w:pPr>
        <w:widowControl w:val="0"/>
        <w:spacing w:after="0" w:line="480" w:lineRule="auto"/>
        <w:jc w:val="center"/>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Pasal 36</w:t>
      </w:r>
    </w:p>
    <w:p w:rsidR="00F855D9" w:rsidRPr="00F855D9" w:rsidRDefault="00F855D9" w:rsidP="003D7355">
      <w:pPr>
        <w:widowControl w:val="0"/>
        <w:numPr>
          <w:ilvl w:val="2"/>
          <w:numId w:val="62"/>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Penyelesaian sengketa jasa konstruksi dapat ditempuh melalui pengadilan atau di luar pengadilan berdasarkan pilihan secara sukarela para pihak yang bersengketa.</w:t>
      </w:r>
    </w:p>
    <w:p w:rsidR="00F855D9" w:rsidRPr="00F855D9" w:rsidRDefault="00F855D9" w:rsidP="003D7355">
      <w:pPr>
        <w:widowControl w:val="0"/>
        <w:numPr>
          <w:ilvl w:val="2"/>
          <w:numId w:val="62"/>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Penyelesaian sengketa di luar pengadilan sebagaimana dimaksud pada ayat (1) tidak berlaku terhadap tindak pidana dalam penyelenggaraan pekerjaan konstruksi sebagaimana diatur dalam Kitab Undang-Undang Hukum Pidana.</w:t>
      </w:r>
    </w:p>
    <w:p w:rsidR="00F855D9" w:rsidRPr="00F855D9" w:rsidRDefault="00F855D9" w:rsidP="003D7355">
      <w:pPr>
        <w:widowControl w:val="0"/>
        <w:numPr>
          <w:ilvl w:val="2"/>
          <w:numId w:val="62"/>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Jika dipilih upaya penyelesaian sengketa di luar pengadilan, gugatan melalui pengadilan hanya dapat ditempuh apabila upaya </w:t>
      </w:r>
      <w:r w:rsidRPr="00F855D9">
        <w:rPr>
          <w:rFonts w:ascii="Times New Roman" w:eastAsia="PMingLiU" w:hAnsi="Times New Roman" w:cs="Times New Roman"/>
          <w:bCs/>
          <w:color w:val="000000"/>
          <w:kern w:val="2"/>
          <w:sz w:val="24"/>
          <w:szCs w:val="24"/>
          <w:lang w:eastAsia="zh-TW"/>
        </w:rPr>
        <w:lastRenderedPageBreak/>
        <w:t>tersebut dinyatakan tidak berhasil oleh salah satu atau para pihak yang bersengketa.</w:t>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center"/>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Pasal 37</w:t>
      </w:r>
    </w:p>
    <w:p w:rsidR="00915C1B" w:rsidRDefault="00F855D9" w:rsidP="003D7355">
      <w:pPr>
        <w:pStyle w:val="ListParagraph"/>
        <w:widowControl w:val="0"/>
        <w:numPr>
          <w:ilvl w:val="2"/>
          <w:numId w:val="94"/>
        </w:numPr>
        <w:spacing w:after="0" w:line="240" w:lineRule="auto"/>
        <w:ind w:left="1701"/>
        <w:jc w:val="both"/>
        <w:rPr>
          <w:rFonts w:ascii="Times New Roman" w:eastAsia="PMingLiU" w:hAnsi="Times New Roman" w:cs="Times New Roman"/>
          <w:bCs/>
          <w:color w:val="000000"/>
          <w:kern w:val="2"/>
          <w:sz w:val="24"/>
          <w:szCs w:val="24"/>
          <w:lang w:eastAsia="zh-TW"/>
        </w:rPr>
      </w:pPr>
      <w:r w:rsidRPr="00915C1B">
        <w:rPr>
          <w:rFonts w:ascii="Times New Roman" w:eastAsia="PMingLiU" w:hAnsi="Times New Roman" w:cs="Times New Roman"/>
          <w:bCs/>
          <w:color w:val="000000"/>
          <w:kern w:val="2"/>
          <w:sz w:val="24"/>
          <w:szCs w:val="24"/>
          <w:lang w:eastAsia="zh-TW"/>
        </w:rPr>
        <w:t>Penyelesaian sengketa jasa konstruksi di luar pengadilan dapat ditempuh untuk masalahmasalah yang timbul dalam kegiatan pengikatan dan penyelenggaraan pekerjaan konstruksi, serta dalam hal terjadi kegagalan bangunan.</w:t>
      </w:r>
    </w:p>
    <w:p w:rsidR="00915C1B" w:rsidRDefault="00F855D9" w:rsidP="003D7355">
      <w:pPr>
        <w:pStyle w:val="ListParagraph"/>
        <w:widowControl w:val="0"/>
        <w:numPr>
          <w:ilvl w:val="2"/>
          <w:numId w:val="94"/>
        </w:numPr>
        <w:spacing w:after="0" w:line="240" w:lineRule="auto"/>
        <w:ind w:left="1701"/>
        <w:jc w:val="both"/>
        <w:rPr>
          <w:rFonts w:ascii="Times New Roman" w:eastAsia="PMingLiU" w:hAnsi="Times New Roman" w:cs="Times New Roman"/>
          <w:bCs/>
          <w:color w:val="000000"/>
          <w:kern w:val="2"/>
          <w:sz w:val="24"/>
          <w:szCs w:val="24"/>
          <w:lang w:eastAsia="zh-TW"/>
        </w:rPr>
      </w:pPr>
      <w:r w:rsidRPr="00915C1B">
        <w:rPr>
          <w:rFonts w:ascii="Times New Roman" w:eastAsia="PMingLiU" w:hAnsi="Times New Roman" w:cs="Times New Roman"/>
          <w:bCs/>
          <w:color w:val="000000"/>
          <w:kern w:val="2"/>
          <w:sz w:val="24"/>
          <w:szCs w:val="24"/>
          <w:lang w:eastAsia="zh-TW"/>
        </w:rPr>
        <w:t>Penyelesaian sengketa jasa konstruksi sebagaimana dimaksud pada ayat (1) dapat menggunakan jasa pihak ketiga, yang disepakati oleh para pihak.</w:t>
      </w:r>
    </w:p>
    <w:p w:rsidR="00F855D9" w:rsidRPr="00915C1B" w:rsidRDefault="00F855D9" w:rsidP="003D7355">
      <w:pPr>
        <w:pStyle w:val="ListParagraph"/>
        <w:widowControl w:val="0"/>
        <w:numPr>
          <w:ilvl w:val="2"/>
          <w:numId w:val="94"/>
        </w:numPr>
        <w:spacing w:after="0" w:line="240" w:lineRule="auto"/>
        <w:ind w:left="1701"/>
        <w:jc w:val="both"/>
        <w:rPr>
          <w:rFonts w:ascii="Times New Roman" w:eastAsia="PMingLiU" w:hAnsi="Times New Roman" w:cs="Times New Roman"/>
          <w:bCs/>
          <w:color w:val="000000"/>
          <w:kern w:val="2"/>
          <w:sz w:val="24"/>
          <w:szCs w:val="24"/>
          <w:lang w:eastAsia="zh-TW"/>
        </w:rPr>
      </w:pPr>
      <w:r w:rsidRPr="00915C1B">
        <w:rPr>
          <w:rFonts w:ascii="Times New Roman" w:eastAsia="PMingLiU" w:hAnsi="Times New Roman" w:cs="Times New Roman"/>
          <w:bCs/>
          <w:color w:val="000000"/>
          <w:kern w:val="2"/>
          <w:sz w:val="24"/>
          <w:szCs w:val="24"/>
          <w:lang w:eastAsia="zh-TW"/>
        </w:rPr>
        <w:t>Pihak ketiga sebagaimana dimaksud pada ayat (2) dapat dibentuk oleh Pemerintah dan/atau masyarakat jasa konstruksi.</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Undang-Undang tentang Jasa Konstruksi Nomor 18 Tahun 1999 Tentang Jasa Konstruksi bersinggungan langsung dengan Peraturan Pemerintah Nomor 28 Tahun 2000 Tentang Usaha dan Peran Masyarakat Jasa Konstruksi,yaitu tentang  jenis usaha terbagi menjadi perencanaan, pelaksanaan, dan pengawasan yang sesungguhnya merupakan bagian dari siklus proyek. Penetapan bidang usaha didasarkan pada bidang pengetahuan atau pendidikan yaitu arsitektur, sipil, mekanikal, elektrikal, dan tata lingkungan (ASMET). ASMET ini lebih mencerminkan jenis pekerjaan atau profesi berdasarkan keilmuan bukan pembagian bidang usaha yang berkembang dalam praktek maupun standar yang ditetapkan oleh Persatuan Bangsa-Bangsa (PBB). Perkembangan saat ini, industri</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 xml:space="preserve">jasa konstruksi global mulai tumbuh dengan mengacu pada </w:t>
      </w:r>
      <w:r w:rsidRPr="00F855D9">
        <w:rPr>
          <w:rFonts w:ascii="Times New Roman" w:eastAsia="PMingLiU" w:hAnsi="Times New Roman" w:cs="Times New Roman"/>
          <w:bCs/>
          <w:i/>
          <w:color w:val="000000"/>
          <w:kern w:val="2"/>
          <w:sz w:val="24"/>
          <w:szCs w:val="24"/>
          <w:lang w:eastAsia="zh-TW"/>
        </w:rPr>
        <w:t>Central Product Clasification</w:t>
      </w:r>
      <w:r w:rsidRPr="00F855D9">
        <w:rPr>
          <w:rFonts w:ascii="Times New Roman" w:eastAsia="PMingLiU" w:hAnsi="Times New Roman" w:cs="Times New Roman"/>
          <w:bCs/>
          <w:color w:val="000000"/>
          <w:kern w:val="2"/>
          <w:sz w:val="24"/>
          <w:szCs w:val="24"/>
          <w:lang w:eastAsia="zh-TW"/>
        </w:rPr>
        <w:t xml:space="preserve"> (CPC) yang merupakan standar dari PBB untuk usaha jasa konstruksi. </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Pembagian sub-bidang usaha menjadi arsitektur bangunan, arsitektur lansekap, dalam praktek bisnis dan juga pendekatan proyek </w:t>
      </w:r>
      <w:r w:rsidRPr="00F855D9">
        <w:rPr>
          <w:rFonts w:ascii="Times New Roman" w:eastAsia="PMingLiU" w:hAnsi="Times New Roman" w:cs="Times New Roman"/>
          <w:bCs/>
          <w:color w:val="000000"/>
          <w:kern w:val="2"/>
          <w:sz w:val="24"/>
          <w:szCs w:val="24"/>
          <w:lang w:eastAsia="zh-TW"/>
        </w:rPr>
        <w:lastRenderedPageBreak/>
        <w:t xml:space="preserve">kurang memiliki fokus jika dikaitkan dengan </w:t>
      </w:r>
      <w:r w:rsidRPr="00F855D9">
        <w:rPr>
          <w:rFonts w:ascii="Times New Roman" w:eastAsia="PMingLiU" w:hAnsi="Times New Roman" w:cs="Times New Roman"/>
          <w:bCs/>
          <w:i/>
          <w:color w:val="000000"/>
          <w:kern w:val="2"/>
          <w:sz w:val="24"/>
          <w:szCs w:val="24"/>
          <w:lang w:eastAsia="zh-TW"/>
        </w:rPr>
        <w:t>playing field</w:t>
      </w:r>
      <w:r w:rsidRPr="00F855D9">
        <w:rPr>
          <w:rFonts w:ascii="Times New Roman" w:eastAsia="PMingLiU" w:hAnsi="Times New Roman" w:cs="Times New Roman"/>
          <w:bCs/>
          <w:color w:val="000000"/>
          <w:kern w:val="2"/>
          <w:sz w:val="24"/>
          <w:szCs w:val="24"/>
          <w:lang w:eastAsia="zh-TW"/>
        </w:rPr>
        <w:t xml:space="preserve">. Secara umum dari sisi proyek dan kebutuhan telah terjadi pengembangan berdasarkan </w:t>
      </w:r>
      <w:r w:rsidRPr="00F855D9">
        <w:rPr>
          <w:rFonts w:ascii="Times New Roman" w:eastAsia="PMingLiU" w:hAnsi="Times New Roman" w:cs="Times New Roman"/>
          <w:bCs/>
          <w:i/>
          <w:color w:val="000000"/>
          <w:kern w:val="2"/>
          <w:sz w:val="24"/>
          <w:szCs w:val="24"/>
          <w:lang w:eastAsia="zh-TW"/>
        </w:rPr>
        <w:t>product life cycle</w:t>
      </w:r>
      <w:r w:rsidRPr="00F855D9">
        <w:rPr>
          <w:rFonts w:ascii="Times New Roman" w:eastAsia="PMingLiU" w:hAnsi="Times New Roman" w:cs="Times New Roman"/>
          <w:bCs/>
          <w:color w:val="000000"/>
          <w:kern w:val="2"/>
          <w:sz w:val="24"/>
          <w:szCs w:val="24"/>
          <w:lang w:eastAsia="zh-TW"/>
        </w:rPr>
        <w:t xml:space="preserve"> atau siklus proyek konstruksi yang terbagi ke dalam </w:t>
      </w:r>
      <w:r w:rsidRPr="00F855D9">
        <w:rPr>
          <w:rFonts w:ascii="Times New Roman" w:eastAsia="PMingLiU" w:hAnsi="Times New Roman" w:cs="Times New Roman"/>
          <w:bCs/>
          <w:i/>
          <w:color w:val="000000"/>
          <w:kern w:val="2"/>
          <w:sz w:val="24"/>
          <w:szCs w:val="24"/>
          <w:lang w:eastAsia="zh-TW"/>
        </w:rPr>
        <w:t>development/ planning,  financing, Feasibility Study, Survey/Investigation, Design, procurement/Construction/supplier</w:t>
      </w:r>
      <w:r w:rsidRPr="00F855D9">
        <w:rPr>
          <w:rFonts w:ascii="Times New Roman" w:eastAsia="PMingLiU" w:hAnsi="Times New Roman" w:cs="Times New Roman"/>
          <w:bCs/>
          <w:color w:val="000000"/>
          <w:kern w:val="2"/>
          <w:sz w:val="24"/>
          <w:szCs w:val="24"/>
          <w:lang w:eastAsia="zh-TW"/>
        </w:rPr>
        <w:t>,</w:t>
      </w:r>
      <w:r w:rsidRPr="00F855D9">
        <w:rPr>
          <w:rFonts w:ascii="Times New Roman" w:eastAsia="PMingLiU" w:hAnsi="Times New Roman" w:cs="Times New Roman"/>
          <w:bCs/>
          <w:i/>
          <w:color w:val="000000"/>
          <w:kern w:val="2"/>
          <w:sz w:val="24"/>
          <w:szCs w:val="24"/>
          <w:lang w:eastAsia="zh-TW"/>
        </w:rPr>
        <w:t xml:space="preserve"> Supervision, start-up/operation/ maintenance dan</w:t>
      </w:r>
      <w:r w:rsidRPr="00F855D9">
        <w:rPr>
          <w:rFonts w:ascii="Times New Roman" w:eastAsia="PMingLiU" w:hAnsi="Times New Roman" w:cs="Times New Roman"/>
          <w:bCs/>
          <w:color w:val="000000"/>
          <w:kern w:val="2"/>
          <w:sz w:val="24"/>
          <w:szCs w:val="24"/>
          <w:lang w:eastAsia="zh-TW"/>
        </w:rPr>
        <w:t xml:space="preserve"> </w:t>
      </w:r>
      <w:r w:rsidRPr="00F855D9">
        <w:rPr>
          <w:rFonts w:ascii="Times New Roman" w:eastAsia="PMingLiU" w:hAnsi="Times New Roman" w:cs="Times New Roman"/>
          <w:bCs/>
          <w:i/>
          <w:color w:val="000000"/>
          <w:kern w:val="2"/>
          <w:sz w:val="24"/>
          <w:szCs w:val="24"/>
          <w:lang w:eastAsia="zh-TW"/>
        </w:rPr>
        <w:t xml:space="preserve">demolition. </w:t>
      </w:r>
      <w:r w:rsidRPr="00F855D9">
        <w:rPr>
          <w:rFonts w:ascii="Times New Roman" w:eastAsia="PMingLiU" w:hAnsi="Times New Roman" w:cs="Times New Roman"/>
          <w:bCs/>
          <w:color w:val="000000"/>
          <w:kern w:val="2"/>
          <w:sz w:val="24"/>
          <w:szCs w:val="24"/>
          <w:lang w:eastAsia="zh-TW"/>
        </w:rPr>
        <w:t xml:space="preserve">Pembagian sub-bidang usaha yang telah ditentukan membantu para pelaku usaha untuk melakukan usahanya sesuai dengan bidang konstruksi yang dikuasi. Selain pembagian sub bidang usaha, pengaturan hubugan kerja cukup detail diatur dalam undang – undang ini. Pemerintah Indonesia memberikan beberapa persyaratan mengenai kontrak kerja konstruksi untuk menghindari adanya wanprestasi atas suatu pekerjaan konstruksi. </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kern w:val="2"/>
          <w:sz w:val="24"/>
          <w:szCs w:val="24"/>
          <w:lang w:eastAsia="zh-TW"/>
        </w:rPr>
        <w:t xml:space="preserve">Pada prinsipnya, undang-undang tentang Jasa Konstruksi mengatur jenis, bentuk, dan bidang usaha jasa konstruksi, pengikatan kontrak, tanggungjawab penyedia dan pengguna jasa, penataan partisipasi masyarakat jasa konstruksi, kegagalan bangunan, peran masyarakat jasa konstruksi, pembinaan, penyelesaian sengketa dan ketentuan pidana. Secara kontekstual akibat perubahan yang terjadi di tingkat masyarakat dan iklim usaha, beberapa ketentuan di dalam undang-undang tentang jasa konstruksi perlu memperhatikan perkembangan usaha jasa konstuksi di tingkat global. Salah satunya terkait dengan aspek pembagian bidang usaha, dimana undang-undang tentang jasa konstruksi membagi bidang usaha ke dalam Arsitek, Sipil, Mekanikal, Elektrikal, dan Tata Lingkungan (ASMET). </w:t>
      </w:r>
      <w:r w:rsidR="000A776B">
        <w:rPr>
          <w:rFonts w:ascii="Times New Roman" w:eastAsia="PMingLiU" w:hAnsi="Times New Roman" w:cs="Times New Roman"/>
          <w:kern w:val="2"/>
          <w:sz w:val="24"/>
          <w:szCs w:val="24"/>
          <w:lang w:eastAsia="zh-TW"/>
        </w:rPr>
        <w:t>S</w:t>
      </w:r>
      <w:r w:rsidRPr="00F855D9">
        <w:rPr>
          <w:rFonts w:ascii="Times New Roman" w:eastAsia="PMingLiU" w:hAnsi="Times New Roman" w:cs="Times New Roman"/>
          <w:kern w:val="2"/>
          <w:sz w:val="24"/>
          <w:szCs w:val="24"/>
          <w:lang w:eastAsia="zh-TW"/>
        </w:rPr>
        <w:t xml:space="preserve">esuai dengan standar </w:t>
      </w:r>
      <w:r w:rsidR="000A776B">
        <w:rPr>
          <w:rFonts w:ascii="Times New Roman" w:eastAsia="PMingLiU" w:hAnsi="Times New Roman" w:cs="Times New Roman"/>
          <w:kern w:val="2"/>
          <w:sz w:val="24"/>
          <w:szCs w:val="24"/>
          <w:lang w:eastAsia="zh-TW"/>
        </w:rPr>
        <w:t>PBB</w:t>
      </w:r>
      <w:r w:rsidRPr="00F855D9">
        <w:rPr>
          <w:rFonts w:ascii="Times New Roman" w:eastAsia="PMingLiU" w:hAnsi="Times New Roman" w:cs="Times New Roman"/>
          <w:kern w:val="2"/>
          <w:sz w:val="24"/>
          <w:szCs w:val="24"/>
          <w:lang w:eastAsia="zh-TW"/>
        </w:rPr>
        <w:t xml:space="preserve"> usaha jasa konstruksi dibagi </w:t>
      </w:r>
      <w:r w:rsidRPr="00F855D9">
        <w:rPr>
          <w:rFonts w:ascii="Times New Roman" w:eastAsia="PMingLiU" w:hAnsi="Times New Roman" w:cs="Times New Roman"/>
          <w:kern w:val="2"/>
          <w:sz w:val="24"/>
          <w:szCs w:val="24"/>
          <w:lang w:eastAsia="zh-TW"/>
        </w:rPr>
        <w:lastRenderedPageBreak/>
        <w:t xml:space="preserve">berdasarkan </w:t>
      </w:r>
      <w:r w:rsidRPr="00F855D9">
        <w:rPr>
          <w:rFonts w:ascii="Times New Roman" w:eastAsia="PMingLiU" w:hAnsi="Times New Roman" w:cs="Times New Roman"/>
          <w:i/>
          <w:kern w:val="2"/>
          <w:sz w:val="24"/>
          <w:szCs w:val="24"/>
          <w:lang w:eastAsia="zh-TW"/>
        </w:rPr>
        <w:t>Central Product Classification</w:t>
      </w:r>
      <w:r w:rsidRPr="00F855D9">
        <w:rPr>
          <w:rFonts w:ascii="Times New Roman" w:eastAsia="PMingLiU" w:hAnsi="Times New Roman" w:cs="Times New Roman"/>
          <w:kern w:val="2"/>
          <w:sz w:val="24"/>
          <w:szCs w:val="24"/>
          <w:lang w:eastAsia="zh-TW"/>
        </w:rPr>
        <w:t xml:space="preserve"> (CPC). CPC menganut bidang usaha berdasarkan produk bukan ilmu yang dikembangkan di perguruan tinggi yang lebih cocok untuk pembagian dunia profesi. </w:t>
      </w:r>
      <w:r w:rsidRPr="00F855D9">
        <w:rPr>
          <w:rFonts w:ascii="Times New Roman" w:eastAsia="PMingLiU" w:hAnsi="Times New Roman" w:cs="Times New Roman"/>
          <w:bCs/>
          <w:color w:val="000000"/>
          <w:kern w:val="2"/>
          <w:sz w:val="24"/>
          <w:szCs w:val="24"/>
          <w:lang w:eastAsia="zh-TW"/>
        </w:rPr>
        <w:t>Dari sisi penataan kelembagaan pengembangan jasa konstruksi yang menempatkan proses sertifikasi sebagai instrumen mengontrol kualitas pelayanan penyedia jasa konstruksi masih memerlukan penyesuaian terkait dengan aspek pengembangan prosedur, terutama dalam memperjelas kualitas akuntabilitas dan pembagian peran diantara para pemangku kepentingan di jasa konstruksi. Prosedur yang perlu ditata kembali terkait dengan prosedur registrasi, sertifikasi ataupun lisensi yang mulai banyak dipertanyakan fungsinya dalam pengembangan usaha jasa konstruksi.</w:t>
      </w:r>
      <w:r w:rsidRPr="00F855D9">
        <w:rPr>
          <w:rFonts w:ascii="Times New Roman" w:eastAsia="PMingLiU" w:hAnsi="Times New Roman" w:cs="Times New Roman"/>
          <w:kern w:val="2"/>
          <w:sz w:val="24"/>
          <w:szCs w:val="24"/>
          <w:lang w:eastAsia="zh-TW"/>
        </w:rPr>
        <w:t xml:space="preserve"> </w:t>
      </w:r>
      <w:r w:rsidRPr="00F855D9">
        <w:rPr>
          <w:rFonts w:ascii="Times New Roman" w:eastAsia="PMingLiU" w:hAnsi="Times New Roman" w:cs="Times New Roman"/>
          <w:bCs/>
          <w:color w:val="000000"/>
          <w:kern w:val="2"/>
          <w:sz w:val="24"/>
          <w:szCs w:val="24"/>
          <w:lang w:eastAsia="zh-TW"/>
        </w:rPr>
        <w:t>Peningkatan jumlah peristiwa kegagalan bangunan atau konstruksi akhir-akhir ini baik diakibatkan oleh kesalahan proses maupun keadaan di luar kekuasaan manusia antara lain bencana alam, menyisakan persoalan terkait dengan kualitas dan tanggung jawab penyedia dan penggunanya. Aspek ini dipertegas terkait dengan tanggung jawab, serta proses pengawasan dan penilaian, pada saat proses penyelenggaraan konstruksi berlangsung ataupun saat ditemukan atau terjadi kegagalan konstruksi.</w:t>
      </w:r>
    </w:p>
    <w:p w:rsid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Pemerintah Indonesia melalui Undang – Undang nomor 18 Tahun 1999 tentang Jasa Konstruksi telah memberikan berbagai macam kebijakan terhadap pelaku usaha dalam negeri maupun pelaku usaha dari negara anggota ASEAN untuk dapat bersaing secara sehat dalam memperebutkan pangsa pasar jasa di bidang konstruksi dalam rangka MEA, kebijakan pemerintah Indonesia dibuat untuk menciptakan </w:t>
      </w:r>
      <w:r w:rsidRPr="00F855D9">
        <w:rPr>
          <w:rFonts w:ascii="Times New Roman" w:eastAsia="PMingLiU" w:hAnsi="Times New Roman" w:cs="Times New Roman"/>
          <w:bCs/>
          <w:color w:val="000000"/>
          <w:kern w:val="2"/>
          <w:sz w:val="24"/>
          <w:szCs w:val="24"/>
          <w:lang w:eastAsia="zh-TW"/>
        </w:rPr>
        <w:lastRenderedPageBreak/>
        <w:t xml:space="preserve">standarisasi bagi pelaku usaha dalam negeri maupun luar negeri dalam melakukan perdagangan jasa di bidang konstruksi sesuai dengan hukum yang berlaku di Indonesia. </w:t>
      </w:r>
    </w:p>
    <w:p w:rsidR="000A776B" w:rsidRPr="00F855D9" w:rsidRDefault="000A776B"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p>
    <w:p w:rsidR="00F855D9" w:rsidRPr="00915C1B" w:rsidRDefault="00F855D9" w:rsidP="003D7355">
      <w:pPr>
        <w:pStyle w:val="ListParagraph"/>
        <w:widowControl w:val="0"/>
        <w:numPr>
          <w:ilvl w:val="2"/>
          <w:numId w:val="103"/>
        </w:numPr>
        <w:tabs>
          <w:tab w:val="left" w:pos="567"/>
          <w:tab w:val="left" w:pos="1418"/>
        </w:tabs>
        <w:spacing w:after="0" w:line="480" w:lineRule="auto"/>
        <w:ind w:left="709"/>
        <w:jc w:val="both"/>
        <w:rPr>
          <w:rFonts w:ascii="Times New Roman" w:eastAsia="PMingLiU" w:hAnsi="Times New Roman" w:cs="Times New Roman"/>
          <w:bCs/>
          <w:color w:val="000000"/>
          <w:kern w:val="2"/>
          <w:sz w:val="24"/>
          <w:szCs w:val="24"/>
          <w:lang w:eastAsia="zh-TW"/>
        </w:rPr>
      </w:pPr>
      <w:r w:rsidRPr="00915C1B">
        <w:rPr>
          <w:rFonts w:ascii="Times New Roman" w:eastAsia="PMingLiU" w:hAnsi="Times New Roman" w:cs="Times New Roman"/>
          <w:bCs/>
          <w:color w:val="000000"/>
          <w:kern w:val="2"/>
          <w:sz w:val="24"/>
          <w:szCs w:val="24"/>
          <w:lang w:eastAsia="zh-TW"/>
        </w:rPr>
        <w:t xml:space="preserve">Peraturan Menteri Pekerjaan Umum Nomor 8 Tahun 2011 tentang Pembagian subklasifikasi dan subkualifikasi usaha jasa konstruksi </w:t>
      </w:r>
    </w:p>
    <w:p w:rsidR="00F855D9" w:rsidRPr="00F855D9" w:rsidRDefault="00F855D9" w:rsidP="00915C1B">
      <w:pPr>
        <w:widowControl w:val="0"/>
        <w:spacing w:after="0" w:line="480" w:lineRule="auto"/>
        <w:ind w:left="698"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Peraturan menteri ini </w:t>
      </w:r>
      <w:r w:rsidR="00967E1A">
        <w:rPr>
          <w:rFonts w:ascii="Times New Roman" w:eastAsia="PMingLiU" w:hAnsi="Times New Roman" w:cs="Times New Roman"/>
          <w:bCs/>
          <w:color w:val="000000"/>
          <w:kern w:val="2"/>
          <w:sz w:val="24"/>
          <w:szCs w:val="24"/>
          <w:lang w:eastAsia="zh-TW"/>
        </w:rPr>
        <w:t xml:space="preserve"> mendorong agar usaha jasa kons</w:t>
      </w:r>
      <w:r w:rsidRPr="00F855D9">
        <w:rPr>
          <w:rFonts w:ascii="Times New Roman" w:eastAsia="PMingLiU" w:hAnsi="Times New Roman" w:cs="Times New Roman"/>
          <w:bCs/>
          <w:color w:val="000000"/>
          <w:kern w:val="2"/>
          <w:sz w:val="24"/>
          <w:szCs w:val="24"/>
          <w:lang w:eastAsia="zh-TW"/>
        </w:rPr>
        <w:t>truksi nasional memiliki spesialisasi melalui persyaratan penanggung jawab subklasifikasi tenaga ahli tetap dengan bidang keahlian yang sesuai. Sesuai jenis konstruksi terdapat 3 klasifikasi bidang usaha jasa yatu perencanaan, pelaksanaan dan pengawasan. Pasal 5 dalam peraturan menteri ini membagi klasifikasi bidang usaha jasa konstruksi dari perencanaan, pelaksanaan dan pengawasan, yaitu :</w:t>
      </w:r>
      <w:r w:rsidRPr="00F855D9">
        <w:rPr>
          <w:rFonts w:ascii="Times New Roman" w:eastAsia="PMingLiU" w:hAnsi="Times New Roman" w:cs="Times New Roman"/>
          <w:bCs/>
          <w:color w:val="000000"/>
          <w:kern w:val="2"/>
          <w:sz w:val="24"/>
          <w:szCs w:val="24"/>
          <w:vertAlign w:val="superscript"/>
          <w:lang w:eastAsia="zh-TW"/>
        </w:rPr>
        <w:footnoteReference w:id="76"/>
      </w:r>
    </w:p>
    <w:p w:rsidR="00F855D9" w:rsidRPr="00915C1B" w:rsidRDefault="00F855D9" w:rsidP="003D7355">
      <w:pPr>
        <w:pStyle w:val="ListParagraph"/>
        <w:widowControl w:val="0"/>
        <w:numPr>
          <w:ilvl w:val="7"/>
          <w:numId w:val="52"/>
        </w:numPr>
        <w:spacing w:after="0" w:line="480" w:lineRule="auto"/>
        <w:ind w:left="1134"/>
        <w:jc w:val="both"/>
        <w:rPr>
          <w:rFonts w:ascii="Times New Roman" w:eastAsia="PMingLiU" w:hAnsi="Times New Roman" w:cs="Times New Roman"/>
          <w:bCs/>
          <w:color w:val="000000"/>
          <w:kern w:val="2"/>
          <w:sz w:val="24"/>
          <w:szCs w:val="24"/>
          <w:lang w:eastAsia="zh-TW"/>
        </w:rPr>
      </w:pPr>
      <w:r w:rsidRPr="00915C1B">
        <w:rPr>
          <w:rFonts w:ascii="Times New Roman" w:eastAsia="PMingLiU" w:hAnsi="Times New Roman" w:cs="Times New Roman"/>
          <w:bCs/>
          <w:color w:val="000000"/>
          <w:kern w:val="2"/>
          <w:sz w:val="24"/>
          <w:szCs w:val="24"/>
          <w:lang w:eastAsia="zh-TW"/>
        </w:rPr>
        <w:t>Klasifikasi bidang usaha jasa perencanaan dan pengawasan konstruksi meliputi:</w:t>
      </w:r>
    </w:p>
    <w:p w:rsidR="00F855D9" w:rsidRPr="00F855D9" w:rsidRDefault="00F855D9" w:rsidP="003D7355">
      <w:pPr>
        <w:widowControl w:val="0"/>
        <w:numPr>
          <w:ilvl w:val="1"/>
          <w:numId w:val="30"/>
        </w:numPr>
        <w:spacing w:after="0" w:line="48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arsitektur;</w:t>
      </w:r>
    </w:p>
    <w:p w:rsidR="00F855D9" w:rsidRPr="00F855D9" w:rsidRDefault="00F855D9" w:rsidP="003D7355">
      <w:pPr>
        <w:widowControl w:val="0"/>
        <w:numPr>
          <w:ilvl w:val="1"/>
          <w:numId w:val="30"/>
        </w:numPr>
        <w:spacing w:after="0" w:line="48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rekayasa (</w:t>
      </w:r>
      <w:r w:rsidRPr="00F855D9">
        <w:rPr>
          <w:rFonts w:ascii="Times New Roman" w:eastAsia="PMingLiU" w:hAnsi="Times New Roman" w:cs="Times New Roman"/>
          <w:bCs/>
          <w:i/>
          <w:color w:val="000000"/>
          <w:kern w:val="2"/>
          <w:sz w:val="24"/>
          <w:szCs w:val="24"/>
          <w:lang w:eastAsia="zh-TW"/>
        </w:rPr>
        <w:t>engineering</w:t>
      </w:r>
      <w:r w:rsidRPr="00F855D9">
        <w:rPr>
          <w:rFonts w:ascii="Times New Roman" w:eastAsia="PMingLiU" w:hAnsi="Times New Roman" w:cs="Times New Roman"/>
          <w:bCs/>
          <w:color w:val="000000"/>
          <w:kern w:val="2"/>
          <w:sz w:val="24"/>
          <w:szCs w:val="24"/>
          <w:lang w:eastAsia="zh-TW"/>
        </w:rPr>
        <w:t>);</w:t>
      </w:r>
    </w:p>
    <w:p w:rsidR="00F855D9" w:rsidRPr="00F855D9" w:rsidRDefault="00F855D9" w:rsidP="003D7355">
      <w:pPr>
        <w:widowControl w:val="0"/>
        <w:numPr>
          <w:ilvl w:val="1"/>
          <w:numId w:val="30"/>
        </w:numPr>
        <w:spacing w:after="0" w:line="48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penataan ruang; dan</w:t>
      </w:r>
    </w:p>
    <w:p w:rsidR="00F855D9" w:rsidRPr="00F855D9" w:rsidRDefault="00F855D9" w:rsidP="003D7355">
      <w:pPr>
        <w:widowControl w:val="0"/>
        <w:numPr>
          <w:ilvl w:val="1"/>
          <w:numId w:val="30"/>
        </w:numPr>
        <w:spacing w:after="0" w:line="48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jasa konsultansi lainnya.</w:t>
      </w:r>
    </w:p>
    <w:p w:rsidR="00F855D9" w:rsidRPr="00F855D9" w:rsidRDefault="00F855D9" w:rsidP="00915C1B">
      <w:pPr>
        <w:widowControl w:val="0"/>
        <w:spacing w:after="0" w:line="480" w:lineRule="auto"/>
        <w:ind w:left="851"/>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(2) Klasifikasi bidang usaha jasa pelaksanaan konstruksi meliputi :</w:t>
      </w:r>
    </w:p>
    <w:p w:rsidR="00F855D9" w:rsidRPr="00F855D9" w:rsidRDefault="00F855D9" w:rsidP="003D7355">
      <w:pPr>
        <w:widowControl w:val="0"/>
        <w:numPr>
          <w:ilvl w:val="1"/>
          <w:numId w:val="72"/>
        </w:numPr>
        <w:spacing w:after="0" w:line="48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bangunan gedung;</w:t>
      </w:r>
    </w:p>
    <w:p w:rsidR="00F855D9" w:rsidRPr="00F855D9" w:rsidRDefault="00F855D9" w:rsidP="003D7355">
      <w:pPr>
        <w:widowControl w:val="0"/>
        <w:numPr>
          <w:ilvl w:val="1"/>
          <w:numId w:val="72"/>
        </w:numPr>
        <w:spacing w:after="0" w:line="48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bangunan sipil;</w:t>
      </w:r>
    </w:p>
    <w:p w:rsidR="00F855D9" w:rsidRPr="00F855D9" w:rsidRDefault="00F855D9" w:rsidP="003D7355">
      <w:pPr>
        <w:widowControl w:val="0"/>
        <w:numPr>
          <w:ilvl w:val="1"/>
          <w:numId w:val="72"/>
        </w:numPr>
        <w:spacing w:after="0" w:line="48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instalasi mekanikal dan elektrikal; dan</w:t>
      </w:r>
    </w:p>
    <w:p w:rsidR="00F855D9" w:rsidRPr="00F855D9" w:rsidRDefault="00F855D9" w:rsidP="003D7355">
      <w:pPr>
        <w:widowControl w:val="0"/>
        <w:numPr>
          <w:ilvl w:val="1"/>
          <w:numId w:val="72"/>
        </w:numPr>
        <w:spacing w:after="0" w:line="48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jasa pelaksanaan lainnya.</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Peraturan menteri pekerjaan umum ini juga telah membagi kualifikasi usaha konstruksi sebagai upaya pembeda bagi pelaku usaha jasa konstruksi untuk klasifikasi usaha besar, menengah dan kecil. Usaha jasa konstruksi dapat berbentuk orang perseorangan atau badan usaha merupakan kebijakan dalam pasal 15. Sedangkan lebih lanjut pasal 16 menjelaskan bahwa :</w:t>
      </w:r>
    </w:p>
    <w:p w:rsidR="00F855D9" w:rsidRPr="00F855D9" w:rsidRDefault="00F855D9" w:rsidP="003D7355">
      <w:pPr>
        <w:widowControl w:val="0"/>
        <w:numPr>
          <w:ilvl w:val="0"/>
          <w:numId w:val="74"/>
        </w:numPr>
        <w:spacing w:after="0" w:line="240" w:lineRule="auto"/>
        <w:ind w:left="2268" w:hanging="425"/>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Bentuk usaha yang dilakukan oleh orang perseorangan sebagaimana dimaksud dalam Pasal 15 selaku pelaksana konstruksi hanya dapat melaksanakan pekerjaan konstruksi beresiko kecil, berteknologi sederhana, dan berbiaya kecil.</w:t>
      </w:r>
    </w:p>
    <w:p w:rsidR="00F855D9" w:rsidRPr="00F855D9" w:rsidRDefault="00F855D9" w:rsidP="003D7355">
      <w:pPr>
        <w:widowControl w:val="0"/>
        <w:numPr>
          <w:ilvl w:val="0"/>
          <w:numId w:val="74"/>
        </w:numPr>
        <w:spacing w:after="0" w:line="240" w:lineRule="auto"/>
        <w:ind w:left="2268" w:hanging="425"/>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Bentuk usaha yang dilakukan oleh orang perseorangan sebagaimana dimaksud dalam Pasal 15 selaku perencana konstruksi atau pengawas konstruksi hanya dapat melaksanakan pekerjaan konstruksi yang sesuai dengan bidang keahliannya.</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698"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Klasifikasi bidang usaha dalam peraturan menteri ini merupakan turunan dari undang – undang nomor 18 tahun 1999 tentang jasa konstruksi yang lebih dispesifikasikan untuk pengaturan klasifikasi jenis jasa konstruksi. Klasifikasi usaha jasa konstruksi di Indonesia juga dibagi kedalam 3 klasifikasi yang dipergunakan untuk mempermudah lelang jasa konstruksi nantinya. Klasifikasi yang sudah ada merupakan bentuk kebijakan pemerintah Indonesia agar tidak adanya tumpang tindih pekerjaan konstruksi berdasarkan klasifikasi yang telah ditentukan.</w:t>
      </w:r>
    </w:p>
    <w:p w:rsidR="00F855D9" w:rsidRPr="00915C1B" w:rsidRDefault="00F855D9" w:rsidP="003D7355">
      <w:pPr>
        <w:pStyle w:val="ListParagraph"/>
        <w:widowControl w:val="0"/>
        <w:numPr>
          <w:ilvl w:val="2"/>
          <w:numId w:val="104"/>
        </w:numPr>
        <w:spacing w:after="0" w:line="480" w:lineRule="auto"/>
        <w:ind w:left="709"/>
        <w:jc w:val="both"/>
        <w:rPr>
          <w:rFonts w:ascii="Times New Roman" w:eastAsia="PMingLiU" w:hAnsi="Times New Roman" w:cs="Times New Roman"/>
          <w:bCs/>
          <w:color w:val="000000"/>
          <w:kern w:val="2"/>
          <w:sz w:val="24"/>
          <w:szCs w:val="24"/>
          <w:lang w:eastAsia="zh-TW"/>
        </w:rPr>
      </w:pPr>
      <w:r w:rsidRPr="00915C1B">
        <w:rPr>
          <w:rFonts w:ascii="Times New Roman" w:eastAsia="PMingLiU" w:hAnsi="Times New Roman" w:cs="Times New Roman"/>
          <w:bCs/>
          <w:color w:val="000000"/>
          <w:kern w:val="2"/>
          <w:sz w:val="24"/>
          <w:szCs w:val="24"/>
          <w:lang w:eastAsia="zh-TW"/>
        </w:rPr>
        <w:t xml:space="preserve">Peraturan Menteri Pekerjaan Umum, Nomor : 09/PRT/M/2013 Tentang : Persyaratan Kompetensi Untuk Subkualifikasi Tenaga Ahli dan Tenaga Terampil Bidang Jasa Konstruksi. </w:t>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Kebijakan yang dituangkan dalam peraturan menteri ini merupakan </w:t>
      </w:r>
      <w:r w:rsidRPr="00F855D9">
        <w:rPr>
          <w:rFonts w:ascii="Times New Roman" w:eastAsia="PMingLiU" w:hAnsi="Times New Roman" w:cs="Times New Roman"/>
          <w:bCs/>
          <w:color w:val="000000"/>
          <w:kern w:val="2"/>
          <w:sz w:val="24"/>
          <w:szCs w:val="24"/>
          <w:lang w:eastAsia="zh-TW"/>
        </w:rPr>
        <w:lastRenderedPageBreak/>
        <w:t>jenis kualifikasi penyedia jasa konstruksi yang akan melakukan pekerjaan konstruksi di Indonesia, pada padal 4 disebutkan bahwa :</w:t>
      </w:r>
      <w:r w:rsidRPr="00F855D9">
        <w:rPr>
          <w:rFonts w:ascii="Times New Roman" w:eastAsia="PMingLiU" w:hAnsi="Times New Roman" w:cs="Times New Roman"/>
          <w:bCs/>
          <w:color w:val="000000"/>
          <w:kern w:val="2"/>
          <w:sz w:val="24"/>
          <w:szCs w:val="24"/>
          <w:vertAlign w:val="superscript"/>
          <w:lang w:eastAsia="zh-TW"/>
        </w:rPr>
        <w:footnoteReference w:id="77"/>
      </w:r>
    </w:p>
    <w:p w:rsidR="00F855D9" w:rsidRPr="00F855D9" w:rsidRDefault="00F855D9" w:rsidP="003D7355">
      <w:pPr>
        <w:widowControl w:val="0"/>
        <w:numPr>
          <w:ilvl w:val="7"/>
          <w:numId w:val="52"/>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Orang perseorangan yang memberikan layanan jasa konstruksi atau orang perseorangan yang dipekerjakan oleh badan usaha yang memberikan layanan jasa konstruksi harus memiliki sertifikat sesuai jenjang kualifikasi.</w:t>
      </w:r>
    </w:p>
    <w:p w:rsidR="00F855D9" w:rsidRPr="00F855D9" w:rsidRDefault="00F855D9" w:rsidP="003D7355">
      <w:pPr>
        <w:widowControl w:val="0"/>
        <w:numPr>
          <w:ilvl w:val="7"/>
          <w:numId w:val="52"/>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Jenjang Kualifikasi sebagaimana dimaksud pada ayat (1) meliputi:</w:t>
      </w:r>
    </w:p>
    <w:p w:rsidR="00F855D9" w:rsidRPr="00F855D9" w:rsidRDefault="00F855D9" w:rsidP="003D7355">
      <w:pPr>
        <w:widowControl w:val="0"/>
        <w:numPr>
          <w:ilvl w:val="0"/>
          <w:numId w:val="75"/>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tenaga ahli; dan</w:t>
      </w:r>
    </w:p>
    <w:p w:rsidR="00F855D9" w:rsidRPr="00F855D9" w:rsidRDefault="00F855D9" w:rsidP="003D7355">
      <w:pPr>
        <w:widowControl w:val="0"/>
        <w:numPr>
          <w:ilvl w:val="0"/>
          <w:numId w:val="75"/>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tenaga terampil.</w:t>
      </w:r>
    </w:p>
    <w:p w:rsidR="00F855D9" w:rsidRPr="00F855D9" w:rsidRDefault="00F855D9" w:rsidP="003D7355">
      <w:pPr>
        <w:widowControl w:val="0"/>
        <w:numPr>
          <w:ilvl w:val="7"/>
          <w:numId w:val="52"/>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Kualifikasi tenaga ahli sebagaimana dimaksud pada ayat (2) huruf a terdiri atas:</w:t>
      </w:r>
    </w:p>
    <w:p w:rsidR="00F855D9" w:rsidRPr="00F855D9" w:rsidRDefault="00F855D9" w:rsidP="003D7355">
      <w:pPr>
        <w:widowControl w:val="0"/>
        <w:numPr>
          <w:ilvl w:val="0"/>
          <w:numId w:val="76"/>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muda;</w:t>
      </w:r>
    </w:p>
    <w:p w:rsidR="00F855D9" w:rsidRPr="00F855D9" w:rsidRDefault="00F855D9" w:rsidP="003D7355">
      <w:pPr>
        <w:widowControl w:val="0"/>
        <w:numPr>
          <w:ilvl w:val="0"/>
          <w:numId w:val="76"/>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madya; dan</w:t>
      </w:r>
    </w:p>
    <w:p w:rsidR="00F855D9" w:rsidRPr="00F855D9" w:rsidRDefault="00F855D9" w:rsidP="003D7355">
      <w:pPr>
        <w:widowControl w:val="0"/>
        <w:numPr>
          <w:ilvl w:val="0"/>
          <w:numId w:val="76"/>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utama.</w:t>
      </w:r>
    </w:p>
    <w:p w:rsidR="00F855D9" w:rsidRPr="00F855D9" w:rsidRDefault="00F855D9" w:rsidP="003D7355">
      <w:pPr>
        <w:widowControl w:val="0"/>
        <w:numPr>
          <w:ilvl w:val="7"/>
          <w:numId w:val="52"/>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Kualifikasi tenaga terampil sebagaimana dimaksud pada ayat (2) huruf b terdiri atas:</w:t>
      </w:r>
    </w:p>
    <w:p w:rsidR="00F855D9" w:rsidRPr="00F855D9" w:rsidRDefault="00F855D9" w:rsidP="003D7355">
      <w:pPr>
        <w:widowControl w:val="0"/>
        <w:numPr>
          <w:ilvl w:val="0"/>
          <w:numId w:val="77"/>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kelas tiga;</w:t>
      </w:r>
    </w:p>
    <w:p w:rsidR="00F855D9" w:rsidRPr="00F855D9" w:rsidRDefault="00F855D9" w:rsidP="003D7355">
      <w:pPr>
        <w:widowControl w:val="0"/>
        <w:numPr>
          <w:ilvl w:val="0"/>
          <w:numId w:val="77"/>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kelas dua; dan</w:t>
      </w:r>
    </w:p>
    <w:p w:rsidR="00F855D9" w:rsidRPr="00F855D9" w:rsidRDefault="00F855D9" w:rsidP="003D7355">
      <w:pPr>
        <w:widowControl w:val="0"/>
        <w:numPr>
          <w:ilvl w:val="0"/>
          <w:numId w:val="77"/>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kelas satu.</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Peraturan menteri ini merupakan persyaratan kompetensi untuk subkualifikasi tenaga ahli dan tenaga terampil bidang jasa konstruksi yang merupakan penjelasan tambahan dari undang – undang nomor 18 tahun 1999 tentang jasa konstruksi. Persyaratan kompetensi untuk subkualifikasi tenaga ahli dan tenaga terampil bidang jasa konstruksi dibentuk karena banyaknya permintaan dari berbagai negara baik didalam maupun di luar ASEAN yang sangat tinggi terhadap tenaga ahli dan tenaga terampil dari tenaga kerja Indonesia. Pemerintah Indonesia membuat peraturan ini untuk memudahkan para tenaga ahli dan tenaga terampil dalam sistem upah kerja mereka nantinya dengan kualifikasi yang telah ditentukan oleh pemerintah. Walaupun sama – sama tenaga ahli akan tetapi beban kerja tenaga ahli maupun tenaga terampil berbeda – beda sesuai dengan tingkat </w:t>
      </w:r>
      <w:r w:rsidRPr="00F855D9">
        <w:rPr>
          <w:rFonts w:ascii="Times New Roman" w:eastAsia="PMingLiU" w:hAnsi="Times New Roman" w:cs="Times New Roman"/>
          <w:bCs/>
          <w:color w:val="000000"/>
          <w:kern w:val="2"/>
          <w:sz w:val="24"/>
          <w:szCs w:val="24"/>
          <w:lang w:eastAsia="zh-TW"/>
        </w:rPr>
        <w:lastRenderedPageBreak/>
        <w:t>sertifikasi yang mereka dapatkan. Pemerintah Indonesia memperinci kualifikasi dari tenaga ahli dan tenaga terampil dengan maksud untuk memberikan standar bagi para pelaku usaha dalam memberikan upah yang sesuai dengan klasifikasi para tenaga kerja.</w:t>
      </w:r>
    </w:p>
    <w:p w:rsidR="00F855D9" w:rsidRPr="00915C1B" w:rsidRDefault="00F855D9" w:rsidP="003D7355">
      <w:pPr>
        <w:pStyle w:val="ListParagraph"/>
        <w:widowControl w:val="0"/>
        <w:numPr>
          <w:ilvl w:val="1"/>
          <w:numId w:val="104"/>
        </w:numPr>
        <w:spacing w:after="0" w:line="480" w:lineRule="auto"/>
        <w:ind w:left="709"/>
        <w:jc w:val="both"/>
        <w:rPr>
          <w:rFonts w:ascii="Times New Roman" w:eastAsia="PMingLiU" w:hAnsi="Times New Roman" w:cs="Times New Roman"/>
          <w:bCs/>
          <w:color w:val="000000"/>
          <w:kern w:val="2"/>
          <w:sz w:val="24"/>
          <w:szCs w:val="24"/>
          <w:lang w:eastAsia="zh-TW"/>
        </w:rPr>
      </w:pPr>
      <w:r w:rsidRPr="00915C1B">
        <w:rPr>
          <w:rFonts w:ascii="Times New Roman" w:eastAsia="PMingLiU" w:hAnsi="Times New Roman" w:cs="Times New Roman"/>
          <w:bCs/>
          <w:color w:val="000000"/>
          <w:kern w:val="2"/>
          <w:sz w:val="24"/>
          <w:szCs w:val="24"/>
          <w:lang w:eastAsia="zh-TW"/>
        </w:rPr>
        <w:t>Undang – Undang Nomor 25 Tahun 2007 Tentang Penanaman Modal</w:t>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Penyelenggaraan penanaman modal dapat tercapai apabila faktor penunjang yang menghambat iklim penanaman modal dapat diatasi, antara lain melalui perbaikan koordinasi antarinstansi pemerintah pusat dan daerah, penciptaan birokrasi yang efesien, kepastian hukum di bidang penanaman modal, biaya ekonomi yang berdaya saing tinggi, serta iklim usaha yang kondusif di bidang ketenagakerjaan dan keamanan berusaha. Melalui Undang – undang Nomor 25 Tahun 2007 Tentang Penanaman Modal pemerintah Indonesia menerapkan penyelenggaraan penanaan modal usaha di Indonesia sebagai bagian dari salah satu kebijakan pemerintah Indonesia dalam persaingan perdagangan jasa di bidang konstruksi dalam rangka MEA. Kebijakan atas penanaman  modal yang diatur undang – undang ini  adalah sebagai sebagai berikut :</w:t>
      </w:r>
    </w:p>
    <w:p w:rsidR="00F855D9" w:rsidRPr="00F855D9" w:rsidRDefault="00F855D9" w:rsidP="00F855D9">
      <w:pPr>
        <w:widowControl w:val="0"/>
        <w:spacing w:after="0" w:line="480" w:lineRule="auto"/>
        <w:jc w:val="center"/>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Tabel 3.1 : Kebijakan penanaman modal pemerintah Indonesia dalam Undang – Undang Nomor 25 Tahun 2007 Tentang Penanaman Modal</w:t>
      </w:r>
    </w:p>
    <w:p w:rsidR="00F855D9" w:rsidRPr="00F855D9" w:rsidRDefault="00F855D9" w:rsidP="00F855D9">
      <w:pPr>
        <w:widowControl w:val="0"/>
        <w:spacing w:after="0" w:line="480" w:lineRule="auto"/>
        <w:jc w:val="center"/>
        <w:rPr>
          <w:rFonts w:ascii="Times New Roman" w:eastAsia="PMingLiU" w:hAnsi="Times New Roman" w:cs="Times New Roman"/>
          <w:bCs/>
          <w:color w:val="000000"/>
          <w:kern w:val="2"/>
          <w:sz w:val="24"/>
          <w:szCs w:val="24"/>
          <w:lang w:eastAsia="zh-TW"/>
        </w:rPr>
      </w:pPr>
    </w:p>
    <w:tbl>
      <w:tblPr>
        <w:tblStyle w:val="TableGrid"/>
        <w:tblW w:w="0" w:type="auto"/>
        <w:tblLook w:val="04A0" w:firstRow="1" w:lastRow="0" w:firstColumn="1" w:lastColumn="0" w:noHBand="0" w:noVBand="1"/>
      </w:tblPr>
      <w:tblGrid>
        <w:gridCol w:w="1902"/>
        <w:gridCol w:w="6251"/>
      </w:tblGrid>
      <w:tr w:rsidR="00F855D9" w:rsidRPr="00F855D9" w:rsidTr="00F855D9">
        <w:tc>
          <w:tcPr>
            <w:tcW w:w="1951" w:type="dxa"/>
          </w:tcPr>
          <w:p w:rsidR="00F855D9" w:rsidRPr="00F855D9" w:rsidRDefault="00F855D9" w:rsidP="00F855D9">
            <w:pPr>
              <w:widowControl w:val="0"/>
              <w:spacing w:line="480" w:lineRule="auto"/>
              <w:jc w:val="center"/>
              <w:rPr>
                <w:rFonts w:ascii="Times New Roman" w:hAnsi="Times New Roman" w:cs="Times New Roman"/>
                <w:b/>
                <w:bCs/>
                <w:color w:val="000000"/>
                <w:kern w:val="2"/>
                <w:sz w:val="24"/>
                <w:szCs w:val="24"/>
                <w:lang w:eastAsia="zh-TW"/>
              </w:rPr>
            </w:pPr>
            <w:r w:rsidRPr="00F855D9">
              <w:rPr>
                <w:rFonts w:ascii="Times New Roman" w:hAnsi="Times New Roman" w:cs="Times New Roman"/>
                <w:b/>
                <w:bCs/>
                <w:color w:val="000000"/>
                <w:kern w:val="2"/>
                <w:sz w:val="24"/>
                <w:szCs w:val="24"/>
                <w:lang w:eastAsia="zh-TW"/>
              </w:rPr>
              <w:t>Pasal</w:t>
            </w:r>
          </w:p>
        </w:tc>
        <w:tc>
          <w:tcPr>
            <w:tcW w:w="6344" w:type="dxa"/>
          </w:tcPr>
          <w:p w:rsidR="00F855D9" w:rsidRPr="00F855D9" w:rsidRDefault="00F855D9" w:rsidP="00F855D9">
            <w:pPr>
              <w:widowControl w:val="0"/>
              <w:spacing w:line="480" w:lineRule="auto"/>
              <w:jc w:val="center"/>
              <w:rPr>
                <w:rFonts w:ascii="Times New Roman" w:hAnsi="Times New Roman" w:cs="Times New Roman"/>
                <w:b/>
                <w:bCs/>
                <w:color w:val="000000"/>
                <w:kern w:val="2"/>
                <w:sz w:val="24"/>
                <w:szCs w:val="24"/>
                <w:lang w:eastAsia="zh-TW"/>
              </w:rPr>
            </w:pPr>
            <w:r w:rsidRPr="00F855D9">
              <w:rPr>
                <w:rFonts w:ascii="Times New Roman" w:hAnsi="Times New Roman" w:cs="Times New Roman"/>
                <w:b/>
                <w:bCs/>
                <w:color w:val="000000"/>
                <w:kern w:val="2"/>
                <w:sz w:val="24"/>
                <w:szCs w:val="24"/>
                <w:lang w:eastAsia="zh-TW"/>
              </w:rPr>
              <w:t>Isi</w:t>
            </w:r>
          </w:p>
        </w:tc>
      </w:tr>
      <w:tr w:rsidR="00F855D9" w:rsidRPr="00F855D9" w:rsidTr="00F855D9">
        <w:tc>
          <w:tcPr>
            <w:tcW w:w="1951"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Pasal 5</w:t>
            </w:r>
          </w:p>
        </w:tc>
        <w:tc>
          <w:tcPr>
            <w:tcW w:w="6344" w:type="dxa"/>
          </w:tcPr>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 Penanaman modal dalam negeri dapat dilakukan dalam bentuk badan usaha yang berbentuk badan hukum, tidak berbadan hukum atau usaha perseorangan, sesuai dengan ketentuan peraturan perundang-undangan.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 xml:space="preserve">(2) Penanaman modal asing wajib dalam bentuk perseroan terbatas berdasarkan hukum Indonesia dan berkedudukan di </w:t>
            </w:r>
            <w:r w:rsidRPr="00F855D9">
              <w:rPr>
                <w:rFonts w:ascii="Times New Roman" w:hAnsi="Times New Roman" w:cs="Times New Roman"/>
                <w:bCs/>
                <w:color w:val="000000"/>
                <w:kern w:val="2"/>
                <w:sz w:val="24"/>
                <w:szCs w:val="24"/>
                <w:lang w:eastAsia="zh-TW"/>
              </w:rPr>
              <w:lastRenderedPageBreak/>
              <w:t>dalam wilayah negara Republik Indonesia, kecuali ditentukan lain oleh undang-undang.</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(3) Penanam modal dalam negeri dan asing yang melakukan penanaman modal dalam bentuk perseoran terbatas dilakukan dengan: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a. mengambil bagian saham pada saat pendirian perseroan terbatas;</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b. membeli saham; dan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c. melakukan cara lain sesuai dengan ketentuan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peraturan perundang-undangan.</w:t>
            </w:r>
          </w:p>
        </w:tc>
      </w:tr>
      <w:tr w:rsidR="00F855D9" w:rsidRPr="00F855D9" w:rsidTr="00F855D9">
        <w:tc>
          <w:tcPr>
            <w:tcW w:w="1951"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lastRenderedPageBreak/>
              <w:t>Pasal 6</w:t>
            </w:r>
          </w:p>
        </w:tc>
        <w:tc>
          <w:tcPr>
            <w:tcW w:w="6344" w:type="dxa"/>
          </w:tcPr>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 Pemerintah memberikan perlakuan yang sama kepada semua penanam modal yang berasal dari negara mana pun yang melakukan kegiatan penanaman modal di Indonesia sesuai dengan ketentuan peraturan perundang-undangan.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 Perlakuan sebagaimana dimaksud pada ayat (1) tidak berlaku bagi penanam modal dari suatu negara yang memperoleh hak istimewa berdasarkan perjanjian dengan Indonesia.</w:t>
            </w:r>
          </w:p>
        </w:tc>
      </w:tr>
      <w:tr w:rsidR="00F855D9" w:rsidRPr="00F855D9" w:rsidTr="00F855D9">
        <w:tc>
          <w:tcPr>
            <w:tcW w:w="1951"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Pasal 7</w:t>
            </w:r>
          </w:p>
        </w:tc>
        <w:tc>
          <w:tcPr>
            <w:tcW w:w="6344" w:type="dxa"/>
          </w:tcPr>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  Pemerintah tidak akan melakukan tindakan nasionalisasi atau pengambilalihan hak kepemilikan penanam modal, kecuali dengan undang-undang.</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  Dalam hal Pemerintah melakukan tindakan nasionalisasi atau pengambilalihan hak kepemilikan sebagaimana dimaksud pada ayat (1), Pemerintah akan memberikan kompensasi yang jumlahnya ditetapkan berdasarkan harga pasar.</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(3)   Jika di antara kedua belah pihak tidak tercapai kesepakatan tentang kompensasi atau ganti rugi sebagaimana dimaksud pada ayat (2), penyelesaiannya dilakukan melalui arbitrase.</w:t>
            </w:r>
          </w:p>
        </w:tc>
      </w:tr>
      <w:tr w:rsidR="00F855D9" w:rsidRPr="00F855D9" w:rsidTr="00F855D9">
        <w:tc>
          <w:tcPr>
            <w:tcW w:w="1951"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Pasal 8</w:t>
            </w:r>
          </w:p>
        </w:tc>
        <w:tc>
          <w:tcPr>
            <w:tcW w:w="6344" w:type="dxa"/>
          </w:tcPr>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 xml:space="preserve">(1)  Penanam modal dapat mengalihkan aset yang dimilikinya kepada pihak yang diinginkan oleh penanam modal sesuai dengan ketentuan peraturan perundangundangan. </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  Aset yang tidak termasuk aset sebagaimana dimaksud pada ayat (1) merupakan aset yang ditetapkan oleh undang-undang sebagai aset yang dikuasai oleh negara.</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(3)  Penanam modal diberi hak untuk melakukan transfer dan repatriasi dalam valuta asing, antara lain terhadap:</w:t>
            </w:r>
          </w:p>
          <w:p w:rsidR="00F855D9" w:rsidRPr="00F855D9" w:rsidRDefault="00F855D9" w:rsidP="00F855D9">
            <w:pPr>
              <w:widowControl w:val="0"/>
              <w:tabs>
                <w:tab w:val="left" w:pos="4762"/>
              </w:tabs>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a. modal;</w:t>
            </w:r>
            <w:r w:rsidRPr="00F855D9">
              <w:rPr>
                <w:rFonts w:ascii="Times New Roman" w:hAnsi="Times New Roman" w:cs="Times New Roman"/>
                <w:bCs/>
                <w:color w:val="000000"/>
                <w:kern w:val="2"/>
                <w:sz w:val="24"/>
                <w:szCs w:val="24"/>
                <w:lang w:eastAsia="zh-TW"/>
              </w:rPr>
              <w:tab/>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b. keuntungan, bunga bank, deviden, dan pendapatan lain;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c. dana yang diperlukan untuk:</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  pembelian bahan baku dan penolong, barang setengah jadi, atau barang jadi; atau</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  penggantian barang modal dalam rangka melindungi kelangsungan hidup penanaman modal;</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d. tambahan dana yang diperlukan bagi pembiayaan penanaman modal;</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e. dana untuk pembayaran kembali pinjaman;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f. royalti atau biaya yang harus dibayar;</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lastRenderedPageBreak/>
              <w:t>g. pendapatan dari perseorangan warga negara asing yang   bekerja dalam perusahaan penanaman modal;</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h. hasil penjualan atau likuidasi penanaman modal;</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i. kompensasi atas kerugian;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j. kompensasi atas pengambilalihan;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k. pembayaran yang dilakukan dalam rangka bantuan teknis, biaya yang harus dibayar untuk jasa teknik dan manajemen, pembayaran yang dilakukan di bawah kontrak proyek, dan pembayaran hak atas kekayaan intelektual; dan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l. hasil penjualan aset sebagaimana dimaksud pada ayat (1).</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(4) Hak untuk melakukan transfer dan repatriasi sebagaimana dimaksud pada ayat (3) dilakukan sesuai dengan ketentuan peraturan perundang-undangan.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(5) Ketentuan sebagaimana dimaksud pada ayat (1) tidak mengurangi:</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a. kewenangan Pemerintah untuk memberlakukan ketentuan peraturan perundang-undangan yang mewajibkan pelaporan pelaksanaan transfer dana;</w:t>
            </w:r>
          </w:p>
          <w:p w:rsidR="00F855D9" w:rsidRPr="00F855D9" w:rsidRDefault="00F855D9" w:rsidP="00F855D9">
            <w:pPr>
              <w:widowControl w:val="0"/>
              <w:rPr>
                <w:rFonts w:ascii="Times New Roman" w:hAnsi="Times New Roman" w:cs="Times New Roman"/>
                <w:kern w:val="2"/>
                <w:sz w:val="24"/>
                <w:szCs w:val="24"/>
                <w:lang w:val="en-US" w:eastAsia="zh-TW"/>
              </w:rPr>
            </w:pPr>
            <w:r w:rsidRPr="00F855D9">
              <w:rPr>
                <w:rFonts w:ascii="Times New Roman" w:hAnsi="Times New Roman" w:cs="Times New Roman"/>
                <w:bCs/>
                <w:color w:val="000000"/>
                <w:kern w:val="2"/>
                <w:sz w:val="24"/>
                <w:szCs w:val="24"/>
                <w:lang w:eastAsia="zh-TW"/>
              </w:rPr>
              <w:t>b.   hak Pemerintah untuk mendapatkan pajak dan/atau royalti dan/atau pendapatan Pemerintah lainnya dari penanaman modal sesuai dengan ketentuan peraturan perundang-undangan;</w:t>
            </w:r>
            <w:r w:rsidRPr="00F855D9">
              <w:rPr>
                <w:rFonts w:ascii="Times New Roman" w:hAnsi="Times New Roman" w:cs="Times New Roman"/>
                <w:kern w:val="2"/>
                <w:sz w:val="24"/>
                <w:szCs w:val="24"/>
                <w:lang w:val="en-US" w:eastAsia="zh-TW"/>
              </w:rPr>
              <w:t xml:space="preserve"> </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c.   pelaksanaan hukum yang melindungi hak kreditor; dan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d.  pelaksanaan hukum untuk menghindari kerugian negara</w:t>
            </w:r>
          </w:p>
        </w:tc>
      </w:tr>
      <w:tr w:rsidR="00F855D9" w:rsidRPr="00F855D9" w:rsidTr="00F855D9">
        <w:tc>
          <w:tcPr>
            <w:tcW w:w="1951"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lastRenderedPageBreak/>
              <w:t>Pasal 10</w:t>
            </w:r>
          </w:p>
        </w:tc>
        <w:tc>
          <w:tcPr>
            <w:tcW w:w="6344" w:type="dxa"/>
          </w:tcPr>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  Perusahaan penanaman modal dalam memenuhi kebutuhan tenaga kerja harus mengutamakan tenaga kerja warga negara Indonesia.</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  Perusahaan penanaman modal berhak menggunakan tenaga ahli warga negara asing untuk jabatan dan keahlian tertentu sesuai dengan ketentuan peraturan perundang-undangan.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(3) Perusahaan penanaman modal wajib meningkatkan kompetensi tenaga kerja warga negara Indonesia melalui pelatihan kerja sesuai dengan ketentuan peraturan perundang-undangan.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(4)  Perusahaan penanaman modal yang mempekerjakan tenaga kerja asing diwajibkan menyelenggarakan pelatihan dan melakukan alih teknologi kepada tenaga kerja warga negara Indonesia sesuai dengan ketentuan peraturan perundang-undangan.</w:t>
            </w:r>
          </w:p>
        </w:tc>
      </w:tr>
      <w:tr w:rsidR="00F855D9" w:rsidRPr="00F855D9" w:rsidTr="00F855D9">
        <w:tc>
          <w:tcPr>
            <w:tcW w:w="1951"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Pasal 12</w:t>
            </w:r>
          </w:p>
        </w:tc>
        <w:tc>
          <w:tcPr>
            <w:tcW w:w="6344" w:type="dxa"/>
          </w:tcPr>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  Semua bidang usaha atau jenis usaha terbuka bagi kegiatan  penanaman modal, kecuali bidang usaha atau jenis usaha yang dinyatakan tertutup dan terbuka dengan persyaratan.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 Bidang usaha yang tertutup bagi penanam modal asing adalah:</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a. produksi senjata, mesiu, alat peledak, dan peralatan perang; dan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lastRenderedPageBreak/>
              <w:t>b. bidang usaha yang secara eksplisit dinyatakan tertutup berdasarkan undang-undang.</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(3) Pemerintah berdasarkan Peraturan Presiden menetapkan bidang usaha yang tertutup untuk penanaman modal, baik asing maupun dalam negeri, dengan berdasarkan kriteria kesehatan, moral, kebudayaan, lingkungan hidup, pertahanan dan keamanan nasional, serta kepentingan nasional lainnya.</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(4)  Kriteria dan persyaratan bidang usaha yang tertutup dan yang terbuka dengan persyaratan serta daftar bidang usaha yang tertutup dan yang terbuka dengan persyaratan masing-masing akan diatur dengan Peraturan Presiden.</w:t>
            </w:r>
          </w:p>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(5)  Pemerintah menetapkan bidang usaha yang terbuka dengan persyaratan berdasarkan kriteria kepentingan nasional, yaitu perlindungan sumber daya alam, perlindungan, pengembangan usaha mikro, kecil, menengah, dan koperasi, pengawasan produksi dan distribusi, peningkatan kapasitas teknologi, partisipasi modal dalam negeri, serta kerja sama dengan badan usaha yang ditunjuk Pemerintah.</w:t>
            </w:r>
          </w:p>
        </w:tc>
      </w:tr>
      <w:tr w:rsidR="00F855D9" w:rsidRPr="00F855D9" w:rsidTr="00F855D9">
        <w:tc>
          <w:tcPr>
            <w:tcW w:w="1951"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lastRenderedPageBreak/>
              <w:t>Pasal 14</w:t>
            </w:r>
          </w:p>
        </w:tc>
        <w:tc>
          <w:tcPr>
            <w:tcW w:w="6344" w:type="dxa"/>
          </w:tcPr>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Setiap penanam modal berhak mendapat:</w:t>
            </w:r>
          </w:p>
          <w:p w:rsidR="00F855D9" w:rsidRPr="00F855D9" w:rsidRDefault="00F855D9" w:rsidP="003D7355">
            <w:pPr>
              <w:widowControl w:val="0"/>
              <w:numPr>
                <w:ilvl w:val="1"/>
                <w:numId w:val="64"/>
              </w:numPr>
              <w:ind w:left="1026"/>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kepastian hak, hukum, dan perlindungan</w:t>
            </w:r>
          </w:p>
          <w:p w:rsidR="00F855D9" w:rsidRPr="00F855D9" w:rsidRDefault="00F855D9" w:rsidP="003D7355">
            <w:pPr>
              <w:widowControl w:val="0"/>
              <w:numPr>
                <w:ilvl w:val="1"/>
                <w:numId w:val="64"/>
              </w:numPr>
              <w:ind w:left="1026"/>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informasi yang terbuka mengenai bidang usaha yang  dijalankannya;</w:t>
            </w:r>
          </w:p>
          <w:p w:rsidR="00F855D9" w:rsidRPr="00F855D9" w:rsidRDefault="00F855D9" w:rsidP="003D7355">
            <w:pPr>
              <w:widowControl w:val="0"/>
              <w:numPr>
                <w:ilvl w:val="1"/>
                <w:numId w:val="64"/>
              </w:numPr>
              <w:ind w:left="1026"/>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hak pelayanan; dan</w:t>
            </w:r>
          </w:p>
          <w:p w:rsidR="00F855D9" w:rsidRPr="00F855D9" w:rsidRDefault="00F855D9" w:rsidP="003D7355">
            <w:pPr>
              <w:widowControl w:val="0"/>
              <w:numPr>
                <w:ilvl w:val="1"/>
                <w:numId w:val="64"/>
              </w:numPr>
              <w:ind w:left="1026"/>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berbagai bentuk fasilitas kemudahan sesuai dengan ketentuan peraturan perundang-undangan.</w:t>
            </w:r>
          </w:p>
        </w:tc>
      </w:tr>
      <w:tr w:rsidR="00F855D9" w:rsidRPr="00F855D9" w:rsidTr="00F855D9">
        <w:tc>
          <w:tcPr>
            <w:tcW w:w="1951"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Pasal 15</w:t>
            </w:r>
          </w:p>
        </w:tc>
        <w:tc>
          <w:tcPr>
            <w:tcW w:w="6344" w:type="dxa"/>
          </w:tcPr>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Setiap penanam modal berkewajiban:</w:t>
            </w:r>
          </w:p>
          <w:p w:rsidR="00F855D9" w:rsidRPr="00F855D9" w:rsidRDefault="00F855D9" w:rsidP="003D7355">
            <w:pPr>
              <w:widowControl w:val="0"/>
              <w:numPr>
                <w:ilvl w:val="1"/>
                <w:numId w:val="65"/>
              </w:numPr>
              <w:ind w:left="1026"/>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menerapkan prinsip tata kelola perusahaan yang baik;</w:t>
            </w:r>
          </w:p>
          <w:p w:rsidR="00F855D9" w:rsidRPr="00F855D9" w:rsidRDefault="00F855D9" w:rsidP="003D7355">
            <w:pPr>
              <w:widowControl w:val="0"/>
              <w:numPr>
                <w:ilvl w:val="1"/>
                <w:numId w:val="65"/>
              </w:numPr>
              <w:ind w:left="1026"/>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melaksanakan tanggung jawab sosial perusahaan;</w:t>
            </w:r>
          </w:p>
          <w:p w:rsidR="00F855D9" w:rsidRPr="00F855D9" w:rsidRDefault="00F855D9" w:rsidP="003D7355">
            <w:pPr>
              <w:widowControl w:val="0"/>
              <w:numPr>
                <w:ilvl w:val="1"/>
                <w:numId w:val="65"/>
              </w:numPr>
              <w:ind w:left="1026"/>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membuat laporan tentang kegiatan penanaman modal dan menyampaikannya kepada Badan Koordinasi   Penanaman Modal;</w:t>
            </w:r>
          </w:p>
          <w:p w:rsidR="00F855D9" w:rsidRPr="00F855D9" w:rsidRDefault="00F855D9" w:rsidP="003D7355">
            <w:pPr>
              <w:widowControl w:val="0"/>
              <w:numPr>
                <w:ilvl w:val="1"/>
                <w:numId w:val="65"/>
              </w:numPr>
              <w:ind w:left="1026"/>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menghormati tradisi budaya masyarakat sekitar lokasi kegiatan usaha penanaman modal; dan</w:t>
            </w:r>
          </w:p>
          <w:p w:rsidR="00F855D9" w:rsidRPr="00F855D9" w:rsidRDefault="00F855D9" w:rsidP="003D7355">
            <w:pPr>
              <w:widowControl w:val="0"/>
              <w:numPr>
                <w:ilvl w:val="1"/>
                <w:numId w:val="65"/>
              </w:numPr>
              <w:ind w:left="1026"/>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mematuhi semua ketentuan peraturan perundang-  undangan.</w:t>
            </w:r>
          </w:p>
        </w:tc>
      </w:tr>
      <w:tr w:rsidR="00F855D9" w:rsidRPr="00F855D9" w:rsidTr="00F855D9">
        <w:tc>
          <w:tcPr>
            <w:tcW w:w="1951"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Pasal 16</w:t>
            </w:r>
          </w:p>
        </w:tc>
        <w:tc>
          <w:tcPr>
            <w:tcW w:w="6344" w:type="dxa"/>
          </w:tcPr>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Setiap penanam modal bertanggung jawab:</w:t>
            </w:r>
          </w:p>
          <w:p w:rsidR="00F855D9" w:rsidRPr="00F855D9" w:rsidRDefault="00F855D9" w:rsidP="003D7355">
            <w:pPr>
              <w:widowControl w:val="0"/>
              <w:numPr>
                <w:ilvl w:val="1"/>
                <w:numId w:val="66"/>
              </w:numPr>
              <w:ind w:left="1026"/>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menjamin tersedianya modal yang berasal dari sumber yang tidak bertentangan dengan ketentuan peraturan perundang-undangan;</w:t>
            </w:r>
          </w:p>
          <w:p w:rsidR="00F855D9" w:rsidRPr="00F855D9" w:rsidRDefault="00F855D9" w:rsidP="003D7355">
            <w:pPr>
              <w:widowControl w:val="0"/>
              <w:numPr>
                <w:ilvl w:val="0"/>
                <w:numId w:val="66"/>
              </w:numPr>
              <w:ind w:left="1026"/>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menanggung dan menyelesaikan segala kewajiban dan kerugian jika penanam modal menghentikan atau meninggalkan atau menelantarkan kegiatan usahanya secara sepihak sesuai dengan ketentuan peraturan perundang-undangan;</w:t>
            </w:r>
          </w:p>
          <w:p w:rsidR="00F855D9" w:rsidRPr="00F855D9" w:rsidRDefault="00F855D9" w:rsidP="003D7355">
            <w:pPr>
              <w:widowControl w:val="0"/>
              <w:numPr>
                <w:ilvl w:val="0"/>
                <w:numId w:val="66"/>
              </w:numPr>
              <w:ind w:left="1026"/>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menciptakan iklim usaha persaingan yang sehat, mencegah praktik monopoli, dan hal lain yang merugikan negara;</w:t>
            </w:r>
          </w:p>
          <w:p w:rsidR="00F855D9" w:rsidRPr="00F855D9" w:rsidRDefault="00F855D9" w:rsidP="003D7355">
            <w:pPr>
              <w:widowControl w:val="0"/>
              <w:numPr>
                <w:ilvl w:val="0"/>
                <w:numId w:val="66"/>
              </w:numPr>
              <w:ind w:left="1026"/>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lastRenderedPageBreak/>
              <w:t>menjaga kelestarian lingkungan hidup;</w:t>
            </w:r>
          </w:p>
          <w:p w:rsidR="00F855D9" w:rsidRPr="00F855D9" w:rsidRDefault="00F855D9" w:rsidP="003D7355">
            <w:pPr>
              <w:widowControl w:val="0"/>
              <w:numPr>
                <w:ilvl w:val="0"/>
                <w:numId w:val="66"/>
              </w:numPr>
              <w:ind w:left="1026"/>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menciptakan keselamatan, kesehatan, kenyamanan, dan kesejahteraan pekerja; dan</w:t>
            </w:r>
          </w:p>
          <w:p w:rsidR="00F855D9" w:rsidRPr="00F855D9" w:rsidRDefault="00F855D9" w:rsidP="003D7355">
            <w:pPr>
              <w:widowControl w:val="0"/>
              <w:numPr>
                <w:ilvl w:val="0"/>
                <w:numId w:val="66"/>
              </w:numPr>
              <w:ind w:left="1026"/>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mematuhi semua ketentuan peraturan perundang-undangan.</w:t>
            </w:r>
          </w:p>
        </w:tc>
      </w:tr>
      <w:tr w:rsidR="00F855D9" w:rsidRPr="00F855D9" w:rsidTr="00F855D9">
        <w:tc>
          <w:tcPr>
            <w:tcW w:w="1951"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lastRenderedPageBreak/>
              <w:t>Pasal 18</w:t>
            </w:r>
          </w:p>
        </w:tc>
        <w:tc>
          <w:tcPr>
            <w:tcW w:w="6344" w:type="dxa"/>
          </w:tcPr>
          <w:p w:rsidR="00F855D9" w:rsidRPr="00F855D9" w:rsidRDefault="00F855D9" w:rsidP="003D7355">
            <w:pPr>
              <w:widowControl w:val="0"/>
              <w:numPr>
                <w:ilvl w:val="0"/>
                <w:numId w:val="67"/>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Pemerintah memberikan fasilitas kepada penanam modal yang melakukan penanaman modal.</w:t>
            </w:r>
          </w:p>
          <w:p w:rsidR="00F855D9" w:rsidRPr="00F855D9" w:rsidRDefault="00F855D9" w:rsidP="003D7355">
            <w:pPr>
              <w:widowControl w:val="0"/>
              <w:numPr>
                <w:ilvl w:val="0"/>
                <w:numId w:val="67"/>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Fasilitas penanaman modal sebagaimana dimaksud pada ayat (1) dapat diberikan kepada penanaman modal yang :</w:t>
            </w:r>
          </w:p>
          <w:p w:rsidR="00F855D9" w:rsidRPr="00F855D9" w:rsidRDefault="00F855D9" w:rsidP="003D7355">
            <w:pPr>
              <w:widowControl w:val="0"/>
              <w:numPr>
                <w:ilvl w:val="1"/>
                <w:numId w:val="68"/>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melakukan peluasan usaha; atau</w:t>
            </w:r>
          </w:p>
          <w:p w:rsidR="00F855D9" w:rsidRPr="00F855D9" w:rsidRDefault="00F855D9" w:rsidP="003D7355">
            <w:pPr>
              <w:widowControl w:val="0"/>
              <w:numPr>
                <w:ilvl w:val="1"/>
                <w:numId w:val="68"/>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melakukan penanaman modal baru.</w:t>
            </w:r>
          </w:p>
          <w:p w:rsidR="00F855D9" w:rsidRPr="00F855D9" w:rsidRDefault="00F855D9" w:rsidP="003D7355">
            <w:pPr>
              <w:widowControl w:val="0"/>
              <w:numPr>
                <w:ilvl w:val="0"/>
                <w:numId w:val="67"/>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Penanaman modal yang mendapat fasilitas sebagaimana dimaksud pada ayat (2) adalah yang sekurang-kurangnya memenuhi salah satu kriteria berikut ini:</w:t>
            </w:r>
          </w:p>
          <w:p w:rsidR="00F855D9" w:rsidRPr="00F855D9" w:rsidRDefault="00F855D9" w:rsidP="003D7355">
            <w:pPr>
              <w:widowControl w:val="0"/>
              <w:numPr>
                <w:ilvl w:val="1"/>
                <w:numId w:val="66"/>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menyerap banyak tenaga kerja;</w:t>
            </w:r>
          </w:p>
          <w:p w:rsidR="00F855D9" w:rsidRPr="00F855D9" w:rsidRDefault="00F855D9" w:rsidP="003D7355">
            <w:pPr>
              <w:widowControl w:val="0"/>
              <w:numPr>
                <w:ilvl w:val="1"/>
                <w:numId w:val="66"/>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termasuk skala prioritas tinggi;</w:t>
            </w:r>
          </w:p>
          <w:p w:rsidR="00F855D9" w:rsidRPr="00F855D9" w:rsidRDefault="00F855D9" w:rsidP="003D7355">
            <w:pPr>
              <w:widowControl w:val="0"/>
              <w:numPr>
                <w:ilvl w:val="1"/>
                <w:numId w:val="66"/>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termasuk pembangunan infrastruktur;</w:t>
            </w:r>
          </w:p>
          <w:p w:rsidR="00F855D9" w:rsidRPr="00F855D9" w:rsidRDefault="00F855D9" w:rsidP="003D7355">
            <w:pPr>
              <w:widowControl w:val="0"/>
              <w:numPr>
                <w:ilvl w:val="1"/>
                <w:numId w:val="66"/>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melakukan alih teknologi;</w:t>
            </w:r>
          </w:p>
          <w:p w:rsidR="00F855D9" w:rsidRPr="00F855D9" w:rsidRDefault="00F855D9" w:rsidP="003D7355">
            <w:pPr>
              <w:widowControl w:val="0"/>
              <w:numPr>
                <w:ilvl w:val="1"/>
                <w:numId w:val="66"/>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melakukan industri pionir;</w:t>
            </w:r>
          </w:p>
          <w:p w:rsidR="00F855D9" w:rsidRPr="00F855D9" w:rsidRDefault="00F855D9" w:rsidP="003D7355">
            <w:pPr>
              <w:widowControl w:val="0"/>
              <w:numPr>
                <w:ilvl w:val="0"/>
                <w:numId w:val="66"/>
              </w:numPr>
              <w:ind w:left="1451"/>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berada di daerah terpencil, daerah tertinggal, daerah perbatasan, atau daerah lain yang dianggap perlu;</w:t>
            </w:r>
          </w:p>
          <w:p w:rsidR="00F855D9" w:rsidRPr="00F855D9" w:rsidRDefault="00F855D9" w:rsidP="003D7355">
            <w:pPr>
              <w:widowControl w:val="0"/>
              <w:numPr>
                <w:ilvl w:val="0"/>
                <w:numId w:val="66"/>
              </w:numPr>
              <w:ind w:left="1451"/>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menjaga kelestarian lingkungan hidup; melaksanakan kegiatan penelitian, pengembangan, dan inovasi;</w:t>
            </w:r>
          </w:p>
          <w:p w:rsidR="00F855D9" w:rsidRPr="00F855D9" w:rsidRDefault="00F855D9" w:rsidP="003D7355">
            <w:pPr>
              <w:widowControl w:val="0"/>
              <w:numPr>
                <w:ilvl w:val="0"/>
                <w:numId w:val="66"/>
              </w:numPr>
              <w:ind w:left="1451"/>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bermitra dengan usaha mikro, kecil, menengah atau koperasi; atau</w:t>
            </w:r>
          </w:p>
          <w:p w:rsidR="00F855D9" w:rsidRPr="00F855D9" w:rsidRDefault="00F855D9" w:rsidP="003D7355">
            <w:pPr>
              <w:widowControl w:val="0"/>
              <w:numPr>
                <w:ilvl w:val="0"/>
                <w:numId w:val="66"/>
              </w:numPr>
              <w:ind w:left="1451"/>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 xml:space="preserve"> industri yang menggunakan barang modal atau mesin atau peralatan yang diproduksi di dalam negeri.</w:t>
            </w:r>
          </w:p>
          <w:p w:rsidR="00F855D9" w:rsidRPr="00F855D9" w:rsidRDefault="00F855D9" w:rsidP="003D7355">
            <w:pPr>
              <w:widowControl w:val="0"/>
              <w:numPr>
                <w:ilvl w:val="0"/>
                <w:numId w:val="67"/>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Bentuk fasilitas yang diberikan kepada penanaman modal sebagaimana dimaksud pada ayat (2) dan ayat (3) dapat berupa:</w:t>
            </w:r>
          </w:p>
          <w:p w:rsidR="00F855D9" w:rsidRPr="00F855D9" w:rsidRDefault="00F855D9" w:rsidP="003D7355">
            <w:pPr>
              <w:widowControl w:val="0"/>
              <w:numPr>
                <w:ilvl w:val="1"/>
                <w:numId w:val="66"/>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pajak penghasilan melalui pengurangan penghasilan neto sampai tingkat tertentu terhadap jumlah penanaman modal yang dilakukan dalam waktu tertentu;</w:t>
            </w:r>
          </w:p>
          <w:p w:rsidR="00F855D9" w:rsidRPr="00F855D9" w:rsidRDefault="00F855D9" w:rsidP="003D7355">
            <w:pPr>
              <w:widowControl w:val="0"/>
              <w:numPr>
                <w:ilvl w:val="1"/>
                <w:numId w:val="66"/>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pembebasan atau keringanan bea masuk atas impor barang modal, mesin, atau peralatan untuk keperluan produksi yang belum dapat diproduksi di dalam negeri;</w:t>
            </w:r>
          </w:p>
          <w:p w:rsidR="00F855D9" w:rsidRPr="00F855D9" w:rsidRDefault="00F855D9" w:rsidP="003D7355">
            <w:pPr>
              <w:widowControl w:val="0"/>
              <w:numPr>
                <w:ilvl w:val="1"/>
                <w:numId w:val="66"/>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pembebasan atau keringanan bea masuk bahan baku atau bahan penolong untuk keperluan produksi untuk jangka waktu tertentu dan persyaratan tertentu;</w:t>
            </w:r>
          </w:p>
          <w:p w:rsidR="00F855D9" w:rsidRPr="00F855D9" w:rsidRDefault="00F855D9" w:rsidP="003D7355">
            <w:pPr>
              <w:widowControl w:val="0"/>
              <w:numPr>
                <w:ilvl w:val="1"/>
                <w:numId w:val="66"/>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 xml:space="preserve">pembebasan atau penangguhan Pajak </w:t>
            </w:r>
            <w:r w:rsidRPr="00F855D9">
              <w:rPr>
                <w:rFonts w:ascii="Times New Roman" w:hAnsi="Times New Roman" w:cs="Times New Roman"/>
                <w:bCs/>
                <w:color w:val="000000"/>
                <w:kern w:val="2"/>
                <w:sz w:val="24"/>
                <w:szCs w:val="24"/>
                <w:lang w:eastAsia="zh-TW"/>
              </w:rPr>
              <w:lastRenderedPageBreak/>
              <w:t>Pertambahan Nilai atas impor barang modal atau mesin atau peralatan untuk keperluan produksi yang belum dapat diproduksi di dalam negeri selama jangka waktu tertentu;</w:t>
            </w:r>
          </w:p>
          <w:p w:rsidR="00F855D9" w:rsidRPr="00F855D9" w:rsidRDefault="00F855D9" w:rsidP="003D7355">
            <w:pPr>
              <w:widowControl w:val="0"/>
              <w:numPr>
                <w:ilvl w:val="1"/>
                <w:numId w:val="66"/>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penyusutan atau amortisasi yang dipercepat; dan</w:t>
            </w:r>
          </w:p>
          <w:p w:rsidR="00F855D9" w:rsidRPr="00F855D9" w:rsidRDefault="00F855D9" w:rsidP="003D7355">
            <w:pPr>
              <w:widowControl w:val="0"/>
              <w:numPr>
                <w:ilvl w:val="1"/>
                <w:numId w:val="66"/>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keringanan Pajak Bumi dan Bangunan, khususnya untuk bidang usaha tertentu, pada wilayah atau daerah atau kawasan tertentu.</w:t>
            </w:r>
          </w:p>
          <w:p w:rsidR="00F855D9" w:rsidRPr="00F855D9" w:rsidRDefault="00F855D9" w:rsidP="003D7355">
            <w:pPr>
              <w:widowControl w:val="0"/>
              <w:numPr>
                <w:ilvl w:val="0"/>
                <w:numId w:val="67"/>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Pembebasan atau pengurangan pajak penghasilan badan dalam jumlah dan waktu tertentu hanya dapat diberikan kepada penanaman modal baru yang merupakan industri pionir, yaitu industri yang memiliki keterkaitan yang luas, memberi nilai tambah dan eksternalitas yang tinggi, memperkenalkan teknologi baru, serta memiliki nilai strategis bagi perekonomian nasional.</w:t>
            </w:r>
          </w:p>
          <w:p w:rsidR="00F855D9" w:rsidRPr="00F855D9" w:rsidRDefault="00F855D9" w:rsidP="003D7355">
            <w:pPr>
              <w:widowControl w:val="0"/>
              <w:numPr>
                <w:ilvl w:val="0"/>
                <w:numId w:val="67"/>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Bagi penanaman modal yang sedang berlangsung yang melakukan penggantian mesin atau barang modal lainnya, dapat diberikan fasilitas berupa keringanan atau pembebasan bea masuk.</w:t>
            </w:r>
          </w:p>
          <w:p w:rsidR="00F855D9" w:rsidRPr="00F855D9" w:rsidRDefault="00F855D9" w:rsidP="003D7355">
            <w:pPr>
              <w:widowControl w:val="0"/>
              <w:numPr>
                <w:ilvl w:val="0"/>
                <w:numId w:val="67"/>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Ketentuan lebih lanjut mengenai pemberian fasilitas fiskal sebagaimana dimaksud pada ayat (4) sampai dengan ayat (6) diatur dengan Peraturan Menteri Keuangan.</w:t>
            </w:r>
          </w:p>
        </w:tc>
      </w:tr>
      <w:tr w:rsidR="00F855D9" w:rsidRPr="00F855D9" w:rsidTr="00F855D9">
        <w:tc>
          <w:tcPr>
            <w:tcW w:w="1951"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lastRenderedPageBreak/>
              <w:t>Pasal 21</w:t>
            </w:r>
          </w:p>
        </w:tc>
        <w:tc>
          <w:tcPr>
            <w:tcW w:w="6344" w:type="dxa"/>
          </w:tcPr>
          <w:p w:rsidR="00F855D9" w:rsidRPr="00F855D9" w:rsidRDefault="00F855D9" w:rsidP="00F855D9">
            <w:pPr>
              <w:widowControl w:val="0"/>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Selain fasilitas sebagaimana dimaksud dalam Pasal 18, Pemerintah memberikan kemudahan pelayanan dan/atau perizinan kepada perusahaan penanaman modal untuk memperoleh:</w:t>
            </w:r>
          </w:p>
          <w:p w:rsidR="00F855D9" w:rsidRPr="00F855D9" w:rsidRDefault="00F855D9" w:rsidP="003D7355">
            <w:pPr>
              <w:widowControl w:val="0"/>
              <w:numPr>
                <w:ilvl w:val="1"/>
                <w:numId w:val="69"/>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hak atas tanah;</w:t>
            </w:r>
          </w:p>
          <w:p w:rsidR="00F855D9" w:rsidRPr="00F855D9" w:rsidRDefault="00F855D9" w:rsidP="003D7355">
            <w:pPr>
              <w:widowControl w:val="0"/>
              <w:numPr>
                <w:ilvl w:val="1"/>
                <w:numId w:val="69"/>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fasilitas pelayanan keimigrasian; dan</w:t>
            </w:r>
          </w:p>
          <w:p w:rsidR="00F855D9" w:rsidRPr="00F855D9" w:rsidRDefault="00F855D9" w:rsidP="003D7355">
            <w:pPr>
              <w:widowControl w:val="0"/>
              <w:numPr>
                <w:ilvl w:val="1"/>
                <w:numId w:val="69"/>
              </w:numPr>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fasilitas perizinan impor.</w:t>
            </w:r>
          </w:p>
        </w:tc>
      </w:tr>
      <w:tr w:rsidR="00F855D9" w:rsidRPr="00F855D9" w:rsidTr="00F855D9">
        <w:tc>
          <w:tcPr>
            <w:tcW w:w="1951"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Pasal 22</w:t>
            </w:r>
          </w:p>
        </w:tc>
        <w:tc>
          <w:tcPr>
            <w:tcW w:w="6344" w:type="dxa"/>
          </w:tcPr>
          <w:p w:rsidR="00F855D9" w:rsidRPr="00F855D9" w:rsidRDefault="00F855D9" w:rsidP="003D7355">
            <w:pPr>
              <w:widowControl w:val="0"/>
              <w:numPr>
                <w:ilvl w:val="2"/>
                <w:numId w:val="69"/>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Kemudahan pelayanan dan/atau perizinan hak atas tanah sebagaimana dimaksud dalam Pasal 21 huruf a dapat diberikan dan diperpanjang di muka sekaligus dan dapat diperbarui kembali atas permohonan penanam modal, berupa:</w:t>
            </w:r>
          </w:p>
          <w:p w:rsidR="00F855D9" w:rsidRPr="00F855D9" w:rsidRDefault="00F855D9" w:rsidP="003D7355">
            <w:pPr>
              <w:widowControl w:val="0"/>
              <w:numPr>
                <w:ilvl w:val="1"/>
                <w:numId w:val="70"/>
              </w:numPr>
              <w:ind w:left="601"/>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Hak Guna Usaha dapat diberikan dengan jumlah 95 (sembilan puluh lima) tahun dengan cara dapat diberikan dan diperpanjang di muka sekaligus selama 60 (enam puluh) tahun dan dapat diperbarui selama 35 (tiga puluh lima) tahun;</w:t>
            </w:r>
          </w:p>
          <w:p w:rsidR="00F855D9" w:rsidRPr="00F855D9" w:rsidRDefault="00F855D9" w:rsidP="003D7355">
            <w:pPr>
              <w:widowControl w:val="0"/>
              <w:numPr>
                <w:ilvl w:val="1"/>
                <w:numId w:val="70"/>
              </w:numPr>
              <w:ind w:left="601"/>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Hak Guna Bangunan dapat diberikan dengan jumlah 80 (delapan puluh) tahun dengan cara dapat diberikan dan diperpanjang di muka sekaligus selama 50 (lima puluh) tahun dan dapat diperbarui selama 30 (tiga puluh) tahun; dan</w:t>
            </w:r>
          </w:p>
          <w:p w:rsidR="00F855D9" w:rsidRPr="00F855D9" w:rsidRDefault="00F855D9" w:rsidP="003D7355">
            <w:pPr>
              <w:widowControl w:val="0"/>
              <w:numPr>
                <w:ilvl w:val="1"/>
                <w:numId w:val="70"/>
              </w:numPr>
              <w:ind w:left="601"/>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 xml:space="preserve">Hak Pakai dapat diberikan dengan jumlah 70 (tujuh </w:t>
            </w:r>
            <w:r w:rsidRPr="00F855D9">
              <w:rPr>
                <w:rFonts w:ascii="Times New Roman" w:hAnsi="Times New Roman" w:cs="Times New Roman"/>
                <w:bCs/>
                <w:color w:val="000000"/>
                <w:kern w:val="2"/>
                <w:sz w:val="24"/>
                <w:szCs w:val="24"/>
                <w:lang w:eastAsia="zh-TW"/>
              </w:rPr>
              <w:lastRenderedPageBreak/>
              <w:t>puluh) tahun dengan cara dapat diberikan dan diperpanjang di muka sekaligus selama 45 (empat puluh lima) tahun dan dapat diperbarui selama 25 (dua puluh lima) tahun.</w:t>
            </w:r>
          </w:p>
          <w:p w:rsidR="00F855D9" w:rsidRPr="00F855D9" w:rsidRDefault="00F855D9" w:rsidP="003D7355">
            <w:pPr>
              <w:widowControl w:val="0"/>
              <w:numPr>
                <w:ilvl w:val="2"/>
                <w:numId w:val="69"/>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Hak atas tanah sebagaimana dimaksud pada ayat (1) dapat diberikan dan diperpanjang di muka sekaligus untuk kegiatan penanaman modal, dengan persyaratan antara lain:</w:t>
            </w:r>
          </w:p>
          <w:p w:rsidR="00F855D9" w:rsidRPr="00F855D9" w:rsidRDefault="00F855D9" w:rsidP="003D7355">
            <w:pPr>
              <w:widowControl w:val="0"/>
              <w:numPr>
                <w:ilvl w:val="3"/>
                <w:numId w:val="70"/>
              </w:numPr>
              <w:ind w:left="884"/>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penanaman modal yang dilakukan dalam jangka panjang dan terkait dengan perubahan struktur perekenomian Indonesia yang lebih berdaya saing;</w:t>
            </w:r>
          </w:p>
          <w:p w:rsidR="00F855D9" w:rsidRPr="00F855D9" w:rsidRDefault="00F855D9" w:rsidP="003D7355">
            <w:pPr>
              <w:widowControl w:val="0"/>
              <w:numPr>
                <w:ilvl w:val="3"/>
                <w:numId w:val="70"/>
              </w:numPr>
              <w:ind w:left="884"/>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penanaman modal dengan tingkat risiko penanaman modal yang memerlukan pengembalian modal dalam jangka panjang sesuai dengan jenis kegiatan penanaman modal yang dilakukan;</w:t>
            </w:r>
          </w:p>
          <w:p w:rsidR="00F855D9" w:rsidRPr="00F855D9" w:rsidRDefault="00F855D9" w:rsidP="003D7355">
            <w:pPr>
              <w:widowControl w:val="0"/>
              <w:numPr>
                <w:ilvl w:val="1"/>
                <w:numId w:val="70"/>
              </w:numPr>
              <w:ind w:left="884"/>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penanaman modal yang tidak memerlukan area yang luas;</w:t>
            </w:r>
          </w:p>
          <w:p w:rsidR="00F855D9" w:rsidRPr="00F855D9" w:rsidRDefault="00F855D9" w:rsidP="003D7355">
            <w:pPr>
              <w:widowControl w:val="0"/>
              <w:numPr>
                <w:ilvl w:val="1"/>
                <w:numId w:val="70"/>
              </w:numPr>
              <w:ind w:left="884"/>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penanaman modal dengan menggunakan hak atas tanah negara; dan</w:t>
            </w:r>
          </w:p>
          <w:p w:rsidR="00F855D9" w:rsidRPr="00F855D9" w:rsidRDefault="00F855D9" w:rsidP="003D7355">
            <w:pPr>
              <w:widowControl w:val="0"/>
              <w:numPr>
                <w:ilvl w:val="1"/>
                <w:numId w:val="70"/>
              </w:numPr>
              <w:ind w:left="884"/>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penanaman modal yang tidak mengganggu rasa keadilan masyarakat dan tidak merugikan kepentingan umum.</w:t>
            </w:r>
          </w:p>
          <w:p w:rsidR="00F855D9" w:rsidRPr="00F855D9" w:rsidRDefault="00F855D9" w:rsidP="003D7355">
            <w:pPr>
              <w:widowControl w:val="0"/>
              <w:numPr>
                <w:ilvl w:val="2"/>
                <w:numId w:val="69"/>
              </w:numPr>
              <w:ind w:left="459"/>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Hak atas tanah dapat diperbarui setelah dilakukan evaluasi bahwa tanahnya masih digunakan dan diusahakan dengan baik sesuai dengan keadaan, sifat, dan tujuan pemberian hak.</w:t>
            </w:r>
          </w:p>
          <w:p w:rsidR="00F855D9" w:rsidRPr="00F855D9" w:rsidRDefault="00F855D9" w:rsidP="003D7355">
            <w:pPr>
              <w:widowControl w:val="0"/>
              <w:numPr>
                <w:ilvl w:val="2"/>
                <w:numId w:val="69"/>
              </w:numPr>
              <w:ind w:left="459"/>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Pemberian dan perpanjangan hak atas tanah yang diberikan sekaligus di muka dan yang dapat diperbarui sebagaimana dimaksud pada ayat (1) dan ayat (2) dapat dihentikan atau dibatalkan oleh Pemerintah jika perusahaan penanaman modal menelantarkan tanah, merugikan kepentingan umum, menggunakan atau memanfaatkan tanah tidak sesuai dengan maksud dan tujuan pemberian hak atas tanahnya, serta melanggar ketentuan peraturan perundang-undangan di bidang pertanahan.</w:t>
            </w:r>
          </w:p>
        </w:tc>
      </w:tr>
      <w:tr w:rsidR="00F855D9" w:rsidRPr="00F855D9" w:rsidTr="00F855D9">
        <w:tc>
          <w:tcPr>
            <w:tcW w:w="1951"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lastRenderedPageBreak/>
              <w:t>Pasal 23</w:t>
            </w:r>
          </w:p>
        </w:tc>
        <w:tc>
          <w:tcPr>
            <w:tcW w:w="6344" w:type="dxa"/>
          </w:tcPr>
          <w:p w:rsidR="00F855D9" w:rsidRPr="00F855D9" w:rsidRDefault="00F855D9" w:rsidP="003D7355">
            <w:pPr>
              <w:widowControl w:val="0"/>
              <w:numPr>
                <w:ilvl w:val="0"/>
                <w:numId w:val="71"/>
              </w:numPr>
              <w:ind w:left="459"/>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Kemudahan pelayanan dan/atau perizinan atas fasilitas keimigrasian sebagaimana dimaksud dalam Pasal 21 huruf b dapat diberikan untuk:</w:t>
            </w:r>
          </w:p>
          <w:p w:rsidR="00F855D9" w:rsidRPr="00F855D9" w:rsidRDefault="00F855D9" w:rsidP="003D7355">
            <w:pPr>
              <w:widowControl w:val="0"/>
              <w:numPr>
                <w:ilvl w:val="3"/>
                <w:numId w:val="70"/>
              </w:numPr>
              <w:ind w:left="1168"/>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penanaman modal yang membutuhkan tenaga kerja asing dalam merealisasikan penanaman modal;</w:t>
            </w:r>
          </w:p>
          <w:p w:rsidR="00F855D9" w:rsidRPr="00F855D9" w:rsidRDefault="00F855D9" w:rsidP="003D7355">
            <w:pPr>
              <w:widowControl w:val="0"/>
              <w:numPr>
                <w:ilvl w:val="3"/>
                <w:numId w:val="70"/>
              </w:numPr>
              <w:ind w:left="1168"/>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penanaman modal yang membutuhkan tenaga kerja asing yang bersifat sementara dalam rangka perbaikan mesin, alat bantu produksi lainnya, dan pelayanan purnajual; dan</w:t>
            </w:r>
          </w:p>
          <w:p w:rsidR="00F855D9" w:rsidRPr="00F855D9" w:rsidRDefault="00F855D9" w:rsidP="003D7355">
            <w:pPr>
              <w:widowControl w:val="0"/>
              <w:numPr>
                <w:ilvl w:val="3"/>
                <w:numId w:val="70"/>
              </w:numPr>
              <w:ind w:left="1168"/>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calon penanam modal yang akan melakukan penjajakan penanaman modal.</w:t>
            </w:r>
          </w:p>
          <w:p w:rsidR="00F855D9" w:rsidRPr="00F855D9" w:rsidRDefault="00F855D9" w:rsidP="003D7355">
            <w:pPr>
              <w:widowControl w:val="0"/>
              <w:numPr>
                <w:ilvl w:val="0"/>
                <w:numId w:val="71"/>
              </w:numPr>
              <w:ind w:left="459"/>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lastRenderedPageBreak/>
              <w:t>Kemudahan pelayanan dan/atau perizinan atas fasilitas keimigrasian yang diberikan kepada penanaman modal sebagaimana dimaksud pada ayat (1) huruf a dan huruf b diberikan setelah penanam modal mendapat rekomendasi dari Badan Koordinasi Penanaman Modal.</w:t>
            </w:r>
          </w:p>
          <w:p w:rsidR="00F855D9" w:rsidRPr="00F855D9" w:rsidRDefault="00F855D9" w:rsidP="003D7355">
            <w:pPr>
              <w:widowControl w:val="0"/>
              <w:numPr>
                <w:ilvl w:val="0"/>
                <w:numId w:val="71"/>
              </w:numPr>
              <w:ind w:left="459"/>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Untuk penanam modal asing diberikan fasilitas, yaitu:</w:t>
            </w:r>
          </w:p>
          <w:p w:rsidR="00F855D9" w:rsidRPr="00F855D9" w:rsidRDefault="00F855D9" w:rsidP="003D7355">
            <w:pPr>
              <w:widowControl w:val="0"/>
              <w:numPr>
                <w:ilvl w:val="1"/>
                <w:numId w:val="104"/>
              </w:numPr>
              <w:ind w:left="602"/>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pemberian izin tinggal terbatas bagi penanam modal asing selama 2 (dua) tahun;</w:t>
            </w:r>
          </w:p>
          <w:p w:rsidR="00F855D9" w:rsidRPr="00F855D9" w:rsidRDefault="00F855D9" w:rsidP="003D7355">
            <w:pPr>
              <w:widowControl w:val="0"/>
              <w:numPr>
                <w:ilvl w:val="1"/>
                <w:numId w:val="104"/>
              </w:numPr>
              <w:ind w:left="602"/>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pemberian alih status izin tinggal terbatas bagi penanam modal menjadi izin tinggal tetap dapat dilakukan setelah tinggal di Indonesia selama 2 (dua) tahun berturut-turut;</w:t>
            </w:r>
          </w:p>
          <w:p w:rsidR="00F855D9" w:rsidRPr="00F855D9" w:rsidRDefault="00F855D9" w:rsidP="003D7355">
            <w:pPr>
              <w:widowControl w:val="0"/>
              <w:numPr>
                <w:ilvl w:val="1"/>
                <w:numId w:val="104"/>
              </w:numPr>
              <w:ind w:left="602"/>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pemberian izin masuk kembali untuk beberapa kali perjalanan bagi pemegang izin tinggal terbatas dan dengan masa berlaku 1 (satu) tahun diberikan untuk jangka waktu paling lama 12 (dua belas) bulan terhitung sejak izin tinggal terbatas diberikan;</w:t>
            </w:r>
          </w:p>
          <w:p w:rsidR="00F855D9" w:rsidRPr="00F855D9" w:rsidRDefault="00F855D9" w:rsidP="003D7355">
            <w:pPr>
              <w:widowControl w:val="0"/>
              <w:numPr>
                <w:ilvl w:val="1"/>
                <w:numId w:val="104"/>
              </w:numPr>
              <w:ind w:left="602"/>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pemberian izin masuk kembali untuk beberapa kali perjalanan bagi pemegang izin tinggal terbatas dan dengan masa berlaku 2 (dua) tahun diberikan untuk jangka waktu paling lama 24 (dua puluh empat) bulan terhitung sejak izin tinggal terbatas diberikan; dan</w:t>
            </w:r>
          </w:p>
          <w:p w:rsidR="00F855D9" w:rsidRPr="00F855D9" w:rsidRDefault="00F855D9" w:rsidP="003D7355">
            <w:pPr>
              <w:widowControl w:val="0"/>
              <w:numPr>
                <w:ilvl w:val="1"/>
                <w:numId w:val="104"/>
              </w:numPr>
              <w:ind w:left="602"/>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pemberian izin masuk kembali untuk beberapa kali perjalanan bagi pemegang izin tinggal tetap diberikan untuk jangka waktu paling lama 24 (dua puluh empat) bulan terhitung sejak izin tinggal tetap diberikan.</w:t>
            </w:r>
          </w:p>
          <w:p w:rsidR="00F855D9" w:rsidRPr="00F855D9" w:rsidRDefault="00F855D9" w:rsidP="003D7355">
            <w:pPr>
              <w:widowControl w:val="0"/>
              <w:numPr>
                <w:ilvl w:val="0"/>
                <w:numId w:val="71"/>
              </w:numPr>
              <w:ind w:left="459"/>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Pemberian izin tinggal terbatas bagi penanam modal asing sebagaimana dimaksud pada ayat (3) huruf a dan huruf b dilakukan oleh Direktorat Jenderal Imigrasi atas dasar rekomendasi dari Badan Koordinasi Penanaman Modal.</w:t>
            </w:r>
          </w:p>
        </w:tc>
      </w:tr>
      <w:tr w:rsidR="00F855D9" w:rsidRPr="00F855D9" w:rsidTr="00F855D9">
        <w:tc>
          <w:tcPr>
            <w:tcW w:w="1951"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lastRenderedPageBreak/>
              <w:t>Pasal 26</w:t>
            </w:r>
          </w:p>
        </w:tc>
        <w:tc>
          <w:tcPr>
            <w:tcW w:w="6344" w:type="dxa"/>
          </w:tcPr>
          <w:p w:rsidR="00F855D9" w:rsidRPr="00F855D9" w:rsidRDefault="00F855D9" w:rsidP="003D7355">
            <w:pPr>
              <w:widowControl w:val="0"/>
              <w:numPr>
                <w:ilvl w:val="0"/>
                <w:numId w:val="72"/>
              </w:numPr>
              <w:ind w:left="459"/>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Pelayanan terpadu satu pintu bertujuan membantu penanam modal dalam memperoleh kemudahan pelayanan, fasilitas fiskal, dan informasi mengenai penanaman modal.</w:t>
            </w:r>
          </w:p>
          <w:p w:rsidR="00F855D9" w:rsidRPr="00F855D9" w:rsidRDefault="00F855D9" w:rsidP="003D7355">
            <w:pPr>
              <w:widowControl w:val="0"/>
              <w:numPr>
                <w:ilvl w:val="0"/>
                <w:numId w:val="72"/>
              </w:numPr>
              <w:ind w:left="459"/>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Pelayanan terpadu satu pintu dilakukan oleh lembaga atau instansi yang berwenang di bidang penanaman modal yang mendapat pendelegasian atau pelimpahan wewenang dari lembaga atau instansi yang memiliki kewenangan perizinan dan nonperizinan di tingkat pusat atau lembaga atau instansi yang berwenang mengeluarkan perizinan dan nonperizinan di provinsi atau kabupaten/kota.</w:t>
            </w:r>
          </w:p>
        </w:tc>
      </w:tr>
      <w:tr w:rsidR="00F855D9" w:rsidRPr="00F855D9" w:rsidTr="00F855D9">
        <w:tc>
          <w:tcPr>
            <w:tcW w:w="1951"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 xml:space="preserve">Pasal 32 </w:t>
            </w:r>
          </w:p>
        </w:tc>
        <w:tc>
          <w:tcPr>
            <w:tcW w:w="6344" w:type="dxa"/>
          </w:tcPr>
          <w:p w:rsidR="00F855D9" w:rsidRPr="00F855D9" w:rsidRDefault="00F855D9" w:rsidP="003D7355">
            <w:pPr>
              <w:widowControl w:val="0"/>
              <w:numPr>
                <w:ilvl w:val="7"/>
                <w:numId w:val="104"/>
              </w:numPr>
              <w:ind w:left="495"/>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Dalam hal terjadi sengketa di bidang penanaman modal antara Pemerintah dengan penanam modal, para pihak terlebih dahulu menyelesaikan sengketa tersebut melalui musyawarah dan mufakat.</w:t>
            </w:r>
          </w:p>
          <w:p w:rsidR="00F855D9" w:rsidRPr="00F855D9" w:rsidRDefault="00F855D9" w:rsidP="003D7355">
            <w:pPr>
              <w:widowControl w:val="0"/>
              <w:numPr>
                <w:ilvl w:val="7"/>
                <w:numId w:val="104"/>
              </w:numPr>
              <w:ind w:left="459"/>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 xml:space="preserve">Dalam hal penyelesaian sengketa sebagaimana dimaksud pada ayat (1) tidak tercapai, penyelesaian sengketa </w:t>
            </w:r>
            <w:r w:rsidRPr="00F855D9">
              <w:rPr>
                <w:rFonts w:ascii="Times New Roman" w:hAnsi="Times New Roman" w:cs="Times New Roman"/>
                <w:bCs/>
                <w:color w:val="000000"/>
                <w:kern w:val="2"/>
                <w:sz w:val="24"/>
                <w:szCs w:val="24"/>
                <w:lang w:eastAsia="zh-TW"/>
              </w:rPr>
              <w:lastRenderedPageBreak/>
              <w:t>tersebut dapat dilakukan melalui arbitrase atau alternatif penyelesaian sengketa atau pengadilan sesuai dengan ketentuan peraturan perundang-undangan.</w:t>
            </w:r>
          </w:p>
          <w:p w:rsidR="00F855D9" w:rsidRPr="00F855D9" w:rsidRDefault="00F855D9" w:rsidP="003D7355">
            <w:pPr>
              <w:widowControl w:val="0"/>
              <w:numPr>
                <w:ilvl w:val="7"/>
                <w:numId w:val="104"/>
              </w:numPr>
              <w:ind w:left="459"/>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Dalam hal terjadi sengketa di bidang penanaman modal antara Pemerintah dengan penanam modal dalam negeri, para pihak dapat menyelesaikan sengketa tersebut melalui arbitrase berdasarkan kesepakatan para pihak, dan jika penyelesaian sengketa melalui arbitrase tidak disepakati, penyelesaian sengketa tersebut akan dilakukan di pengadilan.</w:t>
            </w:r>
          </w:p>
          <w:p w:rsidR="00F855D9" w:rsidRPr="00F855D9" w:rsidRDefault="00F855D9" w:rsidP="003D7355">
            <w:pPr>
              <w:widowControl w:val="0"/>
              <w:numPr>
                <w:ilvl w:val="7"/>
                <w:numId w:val="104"/>
              </w:numPr>
              <w:ind w:left="459"/>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Dalam hal terjadi sengketa di bidang penanaman modal antara Pemerintah dengan penanam modal asing, para pihak akan menyelesaikan sengketa tersebut melalui arbitrase internasional yang harus disepakati oleh para pihak.</w:t>
            </w:r>
          </w:p>
        </w:tc>
      </w:tr>
    </w:tbl>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Penanaman modal merupakan bagian dari penyelenggaraan perekonomian nasional dan ditempatkan sebagai upaya untuk meningkatkan pertumbuhan ekonomi nasional, menciptakan lapangan kerja, meningkatkan pembangunan ekonomi berkelanjutan, meningkatkan kapasitas dan kemampuan teknologi nasional, mendorong pembangunan ekonomi kerakyatan, serta mewujudkan kesejahteraan masyarakat dalam suatu sistem perekonomian yang berdaya saing. Peningkatan peran penanaman modal tersebut tetap dalam koridor kebijakan pembangunan nasional yang direncanakan dengan tahap memperhatian kestabilan makroekonomi dan keseimbangan ekonomi antarwilayah, sektor, pelaku usaha, dan kelompok masyarakat, mendukung peran usaha nasional, serta memenuhi kaidah tata kelola perusahaan yang baik (</w:t>
      </w:r>
      <w:r w:rsidRPr="00F855D9">
        <w:rPr>
          <w:rFonts w:ascii="Times New Roman" w:eastAsia="PMingLiU" w:hAnsi="Times New Roman" w:cs="Times New Roman"/>
          <w:bCs/>
          <w:i/>
          <w:color w:val="000000"/>
          <w:kern w:val="2"/>
          <w:sz w:val="24"/>
          <w:szCs w:val="24"/>
          <w:lang w:eastAsia="zh-TW"/>
        </w:rPr>
        <w:t>good corporate governance</w:t>
      </w:r>
      <w:r w:rsidRPr="00F855D9">
        <w:rPr>
          <w:rFonts w:ascii="Times New Roman" w:eastAsia="PMingLiU" w:hAnsi="Times New Roman" w:cs="Times New Roman"/>
          <w:bCs/>
          <w:color w:val="000000"/>
          <w:kern w:val="2"/>
          <w:sz w:val="24"/>
          <w:szCs w:val="24"/>
          <w:lang w:eastAsia="zh-TW"/>
        </w:rPr>
        <w:t>).</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Undang – undang nomor 25 tahun 2007 tentang penanaman modal ini memberikan fasilitas penanaman modal dengan mempertimbangkan tingkat daya saing perekonomian dan kondisi keuangan negara dan </w:t>
      </w:r>
      <w:r w:rsidRPr="00F855D9">
        <w:rPr>
          <w:rFonts w:ascii="Times New Roman" w:eastAsia="PMingLiU" w:hAnsi="Times New Roman" w:cs="Times New Roman"/>
          <w:bCs/>
          <w:color w:val="000000"/>
          <w:kern w:val="2"/>
          <w:sz w:val="24"/>
          <w:szCs w:val="24"/>
          <w:lang w:eastAsia="zh-TW"/>
        </w:rPr>
        <w:lastRenderedPageBreak/>
        <w:t>promotif dibandingkan dengan fasilitas yang diberikan negara lain. Pentingnya kepastian fasilitas penanaman modal ini mendorong pengaturan secara lebih detail terhadap bentuk fasilitas fiskal, fasilitas hak atas tanah, imigrasi, dan fasilitas perizinan impor. Pemberian fasilitas penanaman modal diberikan sebagai upaya mendorong penyerapan tenaga kerja, keterkaitan pembangunan ekonomi dengan pelaku ekonomi kerakyatan, orientasi ekspor dan insentif yang lebih menguntungkan kepada penanam modal yang menggunakan barang modal atau mesin atau peralatan produksi dalam negeri, serta fasilitas terkait dengan lokasi penanaman modal di daerah tertinggal dan di daerah dengan infrastruktur.</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Keperluan investasi yang besar mendorong pemerintah Indonesia untuk membuat serangkaian kebijakan baik dalam menghadapi persaingan di sektor jasa konstruksi dengan negara ASEAN lainnya maupun untuk mendapatkan investasi guna meningkatkan infrastruktur.  Keterbukaan penanaman modal sektor jasa konstruksi nasional telah diatur dan ditetapkan dalam Peraturan Presiden Nomor 44 Tahun 2016 tentang Daftar Bidang Usaha yang Tertutup dan Bidang Usaha yang Terbuka dengan Persyaratan di Bidang Penanaman Modal. Perpres ini mengatur tentang 3 (tiga) kelompok bidang usaha, yaitu bidang usaha tertutup, bidang usaha terbuka dengan persyaratan yaitu bidang usaha yang dicadangkan untuk Usaha Kecil Menengah dan Koperasi, bidang usaha yang dipersyaratkan dengan kemitraan, dan bidang usaha yang yang dipersyaratkan dengan kepemilikan modal, lokasi tertentu dan perizinan khusus; serta bidang usaha yang terbuka.</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 xml:space="preserve"> Adapun kepemilikan modal asing untuk bidang usaha yang termasuk sektor jasa konstruksi telah ditetapkan sebagai berikut :</w:t>
      </w:r>
      <w:r w:rsidRPr="00F855D9">
        <w:rPr>
          <w:rFonts w:ascii="Times New Roman" w:eastAsia="PMingLiU" w:hAnsi="Times New Roman" w:cs="Times New Roman"/>
          <w:bCs/>
          <w:color w:val="000000"/>
          <w:kern w:val="2"/>
          <w:sz w:val="24"/>
          <w:szCs w:val="24"/>
          <w:vertAlign w:val="superscript"/>
          <w:lang w:eastAsia="zh-TW"/>
        </w:rPr>
        <w:footnoteReference w:id="78"/>
      </w:r>
    </w:p>
    <w:p w:rsidR="00F855D9" w:rsidRPr="00F855D9" w:rsidRDefault="00F855D9" w:rsidP="003D7355">
      <w:pPr>
        <w:widowControl w:val="0"/>
        <w:numPr>
          <w:ilvl w:val="1"/>
          <w:numId w:val="37"/>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Bidang Usaha Jasa Konstruksi (Jasa Pelaksanaan Konstruksi) yang menggunakan teknologi sederhana dan/atau Resiko Rendah dan/atau Nilai Pekerjaan s/d Rp. 1.000.000.000,- dicadangkan untuk Usaha Mikro, Kecil, Menengah dan Koperasi;</w:t>
      </w:r>
    </w:p>
    <w:p w:rsidR="00F855D9" w:rsidRPr="00F855D9" w:rsidRDefault="00F855D9" w:rsidP="003D7355">
      <w:pPr>
        <w:widowControl w:val="0"/>
        <w:numPr>
          <w:ilvl w:val="1"/>
          <w:numId w:val="37"/>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Kepemilikan modal asing (FEP) Bidang Usaha Pengusahaan Air Minum dibatasi maksimal sebesar 95%;</w:t>
      </w:r>
    </w:p>
    <w:p w:rsidR="00F855D9" w:rsidRPr="00F855D9" w:rsidRDefault="00F855D9" w:rsidP="003D7355">
      <w:pPr>
        <w:widowControl w:val="0"/>
        <w:numPr>
          <w:ilvl w:val="1"/>
          <w:numId w:val="37"/>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Kepemilikan modal asing (FEP) Bidang Usaha Pengusahaan Jalan Tol dibatasi sebesar 95%;</w:t>
      </w:r>
    </w:p>
    <w:p w:rsidR="00F855D9" w:rsidRPr="00F855D9" w:rsidRDefault="00F855D9" w:rsidP="003D7355">
      <w:pPr>
        <w:widowControl w:val="0"/>
        <w:numPr>
          <w:ilvl w:val="1"/>
          <w:numId w:val="37"/>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Kepemilikan modal asing (FEP) Bidang Usaha Jasa Konstruksi (Jasan Pelaksanaan Konstruksi) yang menggunakan Teknologi Tinggi dan/atau Resiko Tinggi dan/atau Nilai Pekerjaan lebih dari Rp. 1.000.000.000,- dibatasi maksimal sebesar 67%;</w:t>
      </w:r>
    </w:p>
    <w:p w:rsidR="00F855D9" w:rsidRPr="00F855D9" w:rsidRDefault="00F855D9" w:rsidP="003D7355">
      <w:pPr>
        <w:widowControl w:val="0"/>
        <w:numPr>
          <w:ilvl w:val="1"/>
          <w:numId w:val="37"/>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Kepemilikan modal asing (FEP) Bidang Usaha Jasa Bisnis/Jasa Konsultansi Konstruksi : Jasa Arsitektur Pertamanan dibatasi maksimal sebesar 55%;</w:t>
      </w:r>
    </w:p>
    <w:p w:rsidR="00F855D9" w:rsidRPr="00F855D9" w:rsidRDefault="00F855D9" w:rsidP="003D7355">
      <w:pPr>
        <w:widowControl w:val="0"/>
        <w:numPr>
          <w:ilvl w:val="1"/>
          <w:numId w:val="37"/>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Kepemilikan modal asing (FEP) Bidang Usaha Jasa Bisnis/Jasa Konsultansi Konstruksi dibatasi maksimal sebesar 55%.</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Batasan kepemilikan modal dalam kerangka kerjasama </w:t>
      </w:r>
      <w:r w:rsidRPr="00F855D9">
        <w:rPr>
          <w:rFonts w:ascii="Times New Roman" w:eastAsia="PMingLiU" w:hAnsi="Times New Roman" w:cs="Times New Roman"/>
          <w:bCs/>
          <w:i/>
          <w:color w:val="000000"/>
          <w:kern w:val="2"/>
          <w:sz w:val="24"/>
          <w:szCs w:val="24"/>
          <w:lang w:eastAsia="zh-TW"/>
        </w:rPr>
        <w:t>Association of Southeast Asian Nations</w:t>
      </w:r>
      <w:r w:rsidRPr="00F855D9">
        <w:rPr>
          <w:rFonts w:ascii="Times New Roman" w:eastAsia="PMingLiU" w:hAnsi="Times New Roman" w:cs="Times New Roman"/>
          <w:bCs/>
          <w:color w:val="000000"/>
          <w:kern w:val="2"/>
          <w:sz w:val="24"/>
          <w:szCs w:val="24"/>
          <w:lang w:eastAsia="zh-TW"/>
        </w:rPr>
        <w:t xml:space="preserve"> (ASEAN)  dalam era MEA  ini merupakan langkah pemerintah Indonesia dalam membatasi kepemilikan modal asing di Indonesia. Sektor jasa konstruksi Indonesia merupakan sektor yang cukup menjanjikan dalam perdagangan jasa pada era MEA, oleh karena itu melalui peraturan ini pemerintah Indonesia juga bermaksud dapat menarik para investor. Kepemilikan modal asing untuk konsultasi konstruksi, jasa arsitektur pertamanan dan konstruksi memang sengaja dibatasi oleh pemerintah sebesar 55% saja, hal ini dikarenakan pemerintah Indonesia ingin melindungi perusahaan konsultan konstruksi Indonesia, selama ini konsultan konstruksi Indonesia cukup terpuruk karena banyaknya perusahaan  konsultan konstruksi asing yang mendominasi jasa konsultasi </w:t>
      </w:r>
      <w:r w:rsidRPr="00F855D9">
        <w:rPr>
          <w:rFonts w:ascii="Times New Roman" w:eastAsia="PMingLiU" w:hAnsi="Times New Roman" w:cs="Times New Roman"/>
          <w:bCs/>
          <w:color w:val="000000"/>
          <w:kern w:val="2"/>
          <w:sz w:val="24"/>
          <w:szCs w:val="24"/>
          <w:lang w:eastAsia="zh-TW"/>
        </w:rPr>
        <w:lastRenderedPageBreak/>
        <w:t>konstruksi Indonesia. Dengan memperhatikan kondisi para perusahaan jasa konsultan konstruksi yang kurang berkembang maka pemerintah Indonesia sengaja membatasi kepemilikan modal asing hanya sebatas 55% dan kebijakan tersebut dituangkan dalam peraturan presiden ini.</w:t>
      </w:r>
    </w:p>
    <w:p w:rsidR="00F855D9" w:rsidRPr="00F855D9" w:rsidRDefault="00F855D9" w:rsidP="003D7355">
      <w:pPr>
        <w:widowControl w:val="0"/>
        <w:numPr>
          <w:ilvl w:val="1"/>
          <w:numId w:val="95"/>
        </w:numPr>
        <w:spacing w:after="0" w:line="48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Undang – Undang Nomor 7 Tahun 2014 Tentang Perdagangan</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Jasa konstruksi merupakan salah satu dari 12 lingkup jasa yang diperdagangan yang diatur dalam undang – undang nomor 7 tahun 2014 tentang perdagangan. Kebijakan pemerintah Indonesia melalui undang – undang ini  diterapkan dalam rangka persaingan perdagangan jasa di sektor konstruksi dimulai dari pasal 24 tentang perizinan perdagangan jasa khususnya jasa konstruksi sebagai berikut :</w:t>
      </w:r>
    </w:p>
    <w:p w:rsidR="00F855D9" w:rsidRPr="00F855D9" w:rsidRDefault="00F855D9" w:rsidP="003D7355">
      <w:pPr>
        <w:widowControl w:val="0"/>
        <w:numPr>
          <w:ilvl w:val="5"/>
          <w:numId w:val="71"/>
        </w:numPr>
        <w:spacing w:after="0" w:line="240" w:lineRule="auto"/>
        <w:ind w:left="156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Pelaku Usaha yang melakukan kegiatan usaha Perdagangan wajib memiliki perizinan di bidang Perdagangan yang diberikan oleh Menteri.</w:t>
      </w:r>
    </w:p>
    <w:p w:rsidR="00F855D9" w:rsidRPr="00F855D9" w:rsidRDefault="00F855D9" w:rsidP="003D7355">
      <w:pPr>
        <w:widowControl w:val="0"/>
        <w:numPr>
          <w:ilvl w:val="5"/>
          <w:numId w:val="71"/>
        </w:numPr>
        <w:spacing w:after="0" w:line="240" w:lineRule="auto"/>
        <w:ind w:left="156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Menteri dapat melimpahkan atau mendelegasikan pemberian perizinan kepada Pemerintah Daerah atau instansi teknis tertentu.</w:t>
      </w:r>
    </w:p>
    <w:p w:rsidR="00F855D9" w:rsidRPr="00F855D9" w:rsidRDefault="00F855D9" w:rsidP="003D7355">
      <w:pPr>
        <w:widowControl w:val="0"/>
        <w:numPr>
          <w:ilvl w:val="5"/>
          <w:numId w:val="71"/>
        </w:numPr>
        <w:spacing w:after="0" w:line="240" w:lineRule="auto"/>
        <w:ind w:left="156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Menteri dapat memberikan pengecualian terhadap kewajiban memiliki perizinan di bidang Perdagangan sebagaimana dimaksud pada ayat (1).</w:t>
      </w:r>
    </w:p>
    <w:p w:rsidR="00F855D9" w:rsidRPr="00F855D9" w:rsidRDefault="00F855D9" w:rsidP="003D7355">
      <w:pPr>
        <w:widowControl w:val="0"/>
        <w:numPr>
          <w:ilvl w:val="5"/>
          <w:numId w:val="71"/>
        </w:numPr>
        <w:spacing w:after="0" w:line="240" w:lineRule="auto"/>
        <w:ind w:left="156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Ketentuan lebih lanjut mengenai perizinan di bidang Perdagangan sebagaimana pada ayat (1) dan pengecualiannya sebagaimana dimaksud pada ayat (3) diatur dengan Peraturan Menteri</w:t>
      </w:r>
    </w:p>
    <w:p w:rsidR="00F855D9" w:rsidRPr="00F855D9" w:rsidRDefault="00F855D9" w:rsidP="00F855D9">
      <w:pPr>
        <w:widowControl w:val="0"/>
        <w:spacing w:after="0" w:line="48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Pelaku usaha yang ingin melakukan kegiatan perdagangan jasa di Indonesia harus memenuhi persyaratan perizinan yang telah ditentukan, hal ini dilakukan agar tidak adanya pelaku usaha ilegal yang beroperasi di Indonesia. Sedangkan perdagangan jasa untuk pelaku usaha konstruksi Indonesia yang akan melakukan perdagangan jasa di sektor konstruksi ke luar negeri maupun   pelaku luar negeri dalam hal ini adalah pelaku usaha konstruksi dari negara anggota ASEAN yang akan melakukan </w:t>
      </w:r>
      <w:r w:rsidRPr="00F855D9">
        <w:rPr>
          <w:rFonts w:ascii="Times New Roman" w:eastAsia="PMingLiU" w:hAnsi="Times New Roman" w:cs="Times New Roman"/>
          <w:bCs/>
          <w:color w:val="000000"/>
          <w:kern w:val="2"/>
          <w:sz w:val="24"/>
          <w:szCs w:val="24"/>
          <w:lang w:eastAsia="zh-TW"/>
        </w:rPr>
        <w:lastRenderedPageBreak/>
        <w:t>perdagangan jasa ke Indonesia pada pasal 39 dilakukan dengan beberapa cara yaitu :</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Perdagangan Jasa yang melampaui batas wilayah negara dilakukan dengan cara :</w:t>
      </w:r>
      <w:r w:rsidRPr="00F855D9">
        <w:rPr>
          <w:rFonts w:ascii="Times New Roman" w:eastAsia="PMingLiU" w:hAnsi="Times New Roman" w:cs="Times New Roman"/>
          <w:bCs/>
          <w:color w:val="000000"/>
          <w:kern w:val="2"/>
          <w:sz w:val="24"/>
          <w:szCs w:val="24"/>
          <w:vertAlign w:val="superscript"/>
          <w:lang w:eastAsia="zh-TW"/>
        </w:rPr>
        <w:footnoteReference w:id="79"/>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 pasokan lintas batas;</w:t>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 konsumsi di luar negeri;</w:t>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c. keberadaan komersial; atau</w:t>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d. perpindahan manusia.</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Standarisari penyedia jasa secara umum oleh pemerintah Indonesia juga telah diatur dalam Undang – Undang Nomor 7 Tahun 2014 Tentang Perdagangan dengan ketentuan yang termuat dalam pasal 60, yaitu :</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 1) Penyedia Jasa dilarang memperdagangkan Jasa di dalam negeri yang tidak memenuhi SNI, persyaratan teknis, atau kualifikasi yang telah diberlakukan secara wajib.</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2)  Pemberlakuan SNI, persyaratan teknis, atau kualifikasi secara wajib sebagaimana dimaksud pada ayat (1) ditetapkan oleh Menteri atau menteri sesuai dengan urusan pemerintahan yang menjadi tugas dan tanggung jawabnya.</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3)  Pemberlakuan SNI, persyaratan teknis, atau kualifikasi secara wajib sebagaimana dimaksud pada ayat (2) dilakukan dengan mempertimbangkan aspek:</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 keamanan, keselamatan, kesehatan, dan lingkungan hidup;</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 daya saing produsen nasional dan persaingan usaha yang sehat;</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c. kemampuan dan kesiapan dunia usaha nasional;</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d. kesiapan infrastruktur lembaga penilaian kesesuaian; dan/atau</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e. budaya, adat istiadat, atau tradisi berdasarkan kearifan lokal.</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4) Jasa yang telah diberlakukan SNI, persyaratan teknis, atau kualifikasi secara wajib sebagaimana dimaksud pada ayat (2) wajib dilengkapi dengan sertifikat kesesuaian yang diakui oleh Pemerintah.</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5) Jasa yang diperdagangkan dan memenuhi SNI, persyaratan teknis, atau kualifikasi yang belum diberlakukan secara wajib dapat menggunakan sertifikat kesesuaian sesuai dengan ketentuan peraturan perundang-undangan.</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6) Penyedia Jasa yang memperdagangkan Jasa yang telah diberlakukan SNI, persyaratan teknis, atau kualifikasi secara wajib, tetapi tidak </w:t>
      </w:r>
      <w:r w:rsidRPr="00F855D9">
        <w:rPr>
          <w:rFonts w:ascii="Times New Roman" w:eastAsia="PMingLiU" w:hAnsi="Times New Roman" w:cs="Times New Roman"/>
          <w:bCs/>
          <w:color w:val="000000"/>
          <w:kern w:val="2"/>
          <w:sz w:val="24"/>
          <w:szCs w:val="24"/>
          <w:lang w:eastAsia="zh-TW"/>
        </w:rPr>
        <w:lastRenderedPageBreak/>
        <w:t>dilengkapi sertifikat kesesuaian sebagaimana dimaksud pada ayat (4) dikenai sanksi administratif berupa penghentian kegiatan usaha.</w:t>
      </w:r>
    </w:p>
    <w:p w:rsidR="00F855D9" w:rsidRPr="00F855D9" w:rsidRDefault="00F855D9" w:rsidP="00F855D9">
      <w:pPr>
        <w:widowControl w:val="0"/>
        <w:spacing w:after="0" w:line="24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Pemberlakuan SNI merupakan kebijakan pemerintah Indonesia yang wajib dipunyai penyedia jasa dalam melakukan perdagangan jasa, pemberlakuan SNI juga termasuk didalamnya kewajiban dalam tanda SNI, tanda kesesuaian atau sertifikat kesesuaian yang  diterbitkan oleh lembaga penilaian kesesuaian yang terakreditasi oleh lembaga akreditasi sesuai dengan ketentuan peraturan perundang-undangan sesuai dengan ketentuan dalam  pasal 61 Undang – Undang Nomor 7 Tahun 2014 Tentang Perdagangan. Kebijakan pemerintah lainnya terkait perdagangan jasa adalah tentang standar, persyaratan teknis, atau kualifikasi yang ditetapkan oleh negara lain diakui oleh Pemerintah berdasarkan perjanjian saling pengakuan antarnegara yang tercantum dalam pasal 62. Terkait dengan pasal ini, ketentuan standar, persyaratan tenis serta kualifikasi yang digunakan oleh negara anggota MEA terkait perdagangan jasa adalah sama, hal ini didasarkan pada perjanjian AFAS yang telah disetujui para negara anggota. Ketentuan pengenai penyedia Jasa yang memperdagangkan Jasa yang tidak dilengkapi dengan sertifikat kesesuaian dikenai sanksi administratif berupa penghentian kegiatan perdagangan Jasa merupakan kebijakan pemerintah Indonesia yang tercantum dalam pasal 63.</w:t>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Pemerintah Indonesia dalam melakukan perdagangan jasa juga melakukan kerja sama internasional, hal ini tercermin dalam pasal 82 undang – undang ini, yaitu :</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1) Untuk meningkatkan akses Pasar serta melindungi dan mengamankan </w:t>
      </w:r>
      <w:r w:rsidRPr="00F855D9">
        <w:rPr>
          <w:rFonts w:ascii="Times New Roman" w:eastAsia="PMingLiU" w:hAnsi="Times New Roman" w:cs="Times New Roman"/>
          <w:bCs/>
          <w:color w:val="000000"/>
          <w:kern w:val="2"/>
          <w:sz w:val="24"/>
          <w:szCs w:val="24"/>
          <w:lang w:eastAsia="zh-TW"/>
        </w:rPr>
        <w:lastRenderedPageBreak/>
        <w:t>kepentingan nasional, Pemerintah dapat melakukan kerja sama Perdagangan dengan negara lain dan/atau lembaga/organisasi internasional.</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2) Kerja sama Perdagangan sebagaimana dimaksud pada ayat (1) dapat dilakukan melalui perjanjian Perdagangan internasional.</w:t>
      </w:r>
    </w:p>
    <w:p w:rsidR="00F855D9" w:rsidRPr="00F855D9" w:rsidRDefault="00F855D9" w:rsidP="00F855D9">
      <w:pPr>
        <w:widowControl w:val="0"/>
        <w:spacing w:after="0" w:line="24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Perdagangan jasa secara umum diatur dalam Undang – Undang Nomor 7 Tahun 2014 ini merupakan kebijakan pemerintah terkait penyedia jasa dan pengguna jasa, sedangkan untuk perdagangan jasa konstruksi yang secara spesifik telah diatur melalui undang – undang nomor 18 tahun 1999 tentang jasa konstruksi. Pengaturan standarisasi penyedia jasa dalam undang –undang tentang perdagangan tidak hanya berlaku bagi penyedia jasa dalam negeri tetapi juga penyedia jasa dari luar negeri. Kebijakan peerintah Indonesia dalam undang – undang nomor 7 tahun 2014 tentang perdagangan ini merupakan komitmen Indonesia bertujuan untuk meningkatkan pertumbuhan ekonomi nasional serta berdasarkan asas kepentingan nasional, kepastian hukum, adil dan sehat, keamanan berusaha, akuntabel dan transparan, kemandirian, kemitraan, kemanfaatan, kesederhanaan, kebersamaan, dan berwawasan lingkungan. </w:t>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Perdagangan nasional Indonesia sebagai penggerak utama perekonomian tidak hanya terbatas pada aktivitas perekonomian yang berkaitan dengan transaksi Barang dan/atau Jasa yang dilakukan oleh pelaku usaha, baik di dalam negeri maupun melampaui batas wilayah negara, tetapi aktivitas perekonomian yang harus dilaksanakan dengan mengutamakan kepentingan nasional Indonesia yang diselaraskan dengan konsepsi pengaturan di bidang perdagangan sesuai dengan cita-cita pembentukan negara Indonesia, yaitu masyarakat adil dan makmur </w:t>
      </w:r>
      <w:r w:rsidRPr="00F855D9">
        <w:rPr>
          <w:rFonts w:ascii="Times New Roman" w:eastAsia="PMingLiU" w:hAnsi="Times New Roman" w:cs="Times New Roman"/>
          <w:bCs/>
          <w:color w:val="000000"/>
          <w:kern w:val="2"/>
          <w:sz w:val="24"/>
          <w:szCs w:val="24"/>
          <w:lang w:eastAsia="zh-TW"/>
        </w:rPr>
        <w:lastRenderedPageBreak/>
        <w:t>sebagaimana diamanatkan dalam Pembukaan Undang-Undang Dasar Negara Republik Indonesia Tahun 1945. Kebijakan pemerintah Indonesia melalui undang – undang ini didasarkan pada kegiatan perdagangan merupakan penggerak utama pembangunan perekonomian nasional yang memberikan daya dukung dalam meningkatkan produksi, menciptakan lapangan pekerjaan, meningkatkan ekspor dan devisa, memeratakan pendapatan, serta memperkuat daya saing produk dalam negeri demi kepentingan nasional.</w:t>
      </w:r>
    </w:p>
    <w:p w:rsidR="00F855D9" w:rsidRPr="00F855D9" w:rsidRDefault="00F855D9" w:rsidP="003D7355">
      <w:pPr>
        <w:widowControl w:val="0"/>
        <w:numPr>
          <w:ilvl w:val="1"/>
          <w:numId w:val="95"/>
        </w:numPr>
        <w:spacing w:after="0" w:line="48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Undang-undang Nomor 11 Tahun 2014 tentang Keinsinyuran </w:t>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Undang- undang ini memberikan jaminan bagi praktik insinyur dalam negeri maupun insinyur asing yang berazaskan profesionalisme dan bertanggung jawab untuk meningkatkan daya saing sarjana teknik Indonesia. Program profesi Insinyur merupakan salah satu kebijakan pemerintah Indonesia yang dituangkan dalam undang – undang ini pada pasal 7, yang menyebutkan bahwa :</w:t>
      </w:r>
    </w:p>
    <w:p w:rsidR="00F855D9" w:rsidRPr="00F855D9" w:rsidRDefault="00F855D9" w:rsidP="003D7355">
      <w:pPr>
        <w:widowControl w:val="0"/>
        <w:numPr>
          <w:ilvl w:val="7"/>
          <w:numId w:val="70"/>
        </w:numPr>
        <w:spacing w:after="0" w:line="24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Untuk memperoleh gelar profesi Insinyur, seseorang harus lulus dari Program Profesi Insinyur.</w:t>
      </w:r>
    </w:p>
    <w:p w:rsidR="00F855D9" w:rsidRPr="00F855D9" w:rsidRDefault="00F855D9" w:rsidP="003D7355">
      <w:pPr>
        <w:widowControl w:val="0"/>
        <w:numPr>
          <w:ilvl w:val="7"/>
          <w:numId w:val="70"/>
        </w:numPr>
        <w:spacing w:after="0" w:line="24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Syarat untuk dapat mengikuti Program Profesi Insinyur sebagaimana dimak</w:t>
      </w:r>
      <w:r w:rsidRPr="00F855D9">
        <w:rPr>
          <w:rFonts w:ascii="Times New Roman" w:eastAsia="PMingLiU" w:hAnsi="Times New Roman" w:cs="Times New Roman"/>
          <w:kern w:val="2"/>
          <w:sz w:val="24"/>
          <w:szCs w:val="24"/>
          <w:lang w:val="en-US" w:eastAsia="zh-TW"/>
        </w:rPr>
        <w:t>sud</w:t>
      </w:r>
      <w:r w:rsidRPr="00F855D9">
        <w:rPr>
          <w:rFonts w:ascii="Times New Roman" w:eastAsia="PMingLiU" w:hAnsi="Times New Roman" w:cs="Times New Roman"/>
          <w:kern w:val="2"/>
          <w:sz w:val="24"/>
          <w:szCs w:val="24"/>
          <w:lang w:eastAsia="zh-TW"/>
        </w:rPr>
        <w:t xml:space="preserve"> </w:t>
      </w:r>
      <w:r w:rsidRPr="00F855D9">
        <w:rPr>
          <w:rFonts w:ascii="Times New Roman" w:eastAsia="PMingLiU" w:hAnsi="Times New Roman" w:cs="Times New Roman"/>
          <w:bCs/>
          <w:color w:val="000000"/>
          <w:kern w:val="2"/>
          <w:sz w:val="24"/>
          <w:szCs w:val="24"/>
          <w:lang w:eastAsia="zh-TW"/>
        </w:rPr>
        <w:t>pada ayat (1) meliputi :</w:t>
      </w:r>
    </w:p>
    <w:p w:rsidR="00F855D9" w:rsidRPr="00F855D9" w:rsidRDefault="00F855D9" w:rsidP="00915C1B">
      <w:pPr>
        <w:widowControl w:val="0"/>
        <w:spacing w:after="0" w:line="240" w:lineRule="auto"/>
        <w:ind w:left="1134"/>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a.sarjana bidang teknik atau sarjana terapan bidang teknik, baik lulusan perguruan tinggi dalam negeri maupun perguruan tinggi luar negeri yang telah disetarakan; atau</w:t>
      </w:r>
    </w:p>
    <w:p w:rsidR="00F855D9" w:rsidRPr="00F855D9" w:rsidRDefault="00F855D9" w:rsidP="00915C1B">
      <w:pPr>
        <w:widowControl w:val="0"/>
        <w:spacing w:after="0" w:line="240" w:lineRule="auto"/>
        <w:ind w:left="1134"/>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b.sarjana pendidikan bidang teknik atau sarjana bidang sains yang disetarakan dengan sarjana bidang teknik atau sarjana terapan bidang teknik melalui program penyetaraan.</w:t>
      </w:r>
    </w:p>
    <w:p w:rsidR="00F855D9" w:rsidRPr="00F855D9" w:rsidRDefault="00F855D9" w:rsidP="003D7355">
      <w:pPr>
        <w:widowControl w:val="0"/>
        <w:numPr>
          <w:ilvl w:val="7"/>
          <w:numId w:val="70"/>
        </w:numPr>
        <w:spacing w:after="0" w:line="24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Program Profesi Insinyur dapat diselenggarakan melalui mekanisme rekognisi pembelajaran lampau. </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Para insinyur yang akan melakukan praktik keinsinyuran di Indonesia harus memiliki surat tanda registrasi insinyur yang mana kebijakan itu tercantum pada pasal 10 dan harus dikeluarkan oleh lembaga </w:t>
      </w:r>
      <w:r w:rsidRPr="00F855D9">
        <w:rPr>
          <w:rFonts w:ascii="Times New Roman" w:eastAsia="PMingLiU" w:hAnsi="Times New Roman" w:cs="Times New Roman"/>
          <w:bCs/>
          <w:color w:val="000000"/>
          <w:kern w:val="2"/>
          <w:sz w:val="24"/>
          <w:szCs w:val="24"/>
          <w:lang w:eastAsia="zh-TW"/>
        </w:rPr>
        <w:lastRenderedPageBreak/>
        <w:t>yang berwenang yaitu Persatuan Insinyur Indonesia (PII). Insinyur yang ingin memperoleh Surat Tanda Registrasi Insinyur haruslah memiliki sertifikat kompetensi melalui uji kompetensi yang telah diatur dalam pasal 11. Insinyur asing yang ingin melakukan praktik di Indonesia harus memenuhi beberapa syarat sebagai bagian dari kebijakan pemerintah Indonesia dalam membatasi tenaga kerja asing. Beberapa syarat bagi insinyur asing dalam undang – undang ini tercantum dalam pasal 18, yang berbunyi sebagai berikut :</w:t>
      </w:r>
      <w:r w:rsidRPr="00F855D9">
        <w:rPr>
          <w:rFonts w:ascii="Times New Roman" w:eastAsia="PMingLiU" w:hAnsi="Times New Roman" w:cs="Times New Roman"/>
          <w:bCs/>
          <w:color w:val="000000"/>
          <w:kern w:val="2"/>
          <w:sz w:val="24"/>
          <w:szCs w:val="24"/>
          <w:vertAlign w:val="superscript"/>
          <w:lang w:eastAsia="zh-TW"/>
        </w:rPr>
        <w:footnoteReference w:id="80"/>
      </w:r>
    </w:p>
    <w:p w:rsidR="00F855D9" w:rsidRPr="00F855D9" w:rsidRDefault="00F855D9" w:rsidP="003D7355">
      <w:pPr>
        <w:widowControl w:val="0"/>
        <w:numPr>
          <w:ilvl w:val="1"/>
          <w:numId w:val="73"/>
        </w:numPr>
        <w:spacing w:after="0" w:line="240" w:lineRule="auto"/>
        <w:ind w:left="1134" w:hanging="283"/>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Insinyur Asing hanya dapat melakukan Praktik Keinsinyuran di Indonesia sesuai dengan kebutuhan sumber daya manusia ilmu pengetahuan dan teknologi pembangunan nasional yang ditetapkan oleh Pemerintah.</w:t>
      </w:r>
    </w:p>
    <w:p w:rsidR="00F855D9" w:rsidRPr="00F855D9" w:rsidRDefault="00F855D9" w:rsidP="003D7355">
      <w:pPr>
        <w:widowControl w:val="0"/>
        <w:numPr>
          <w:ilvl w:val="1"/>
          <w:numId w:val="73"/>
        </w:numPr>
        <w:spacing w:after="0" w:line="240" w:lineRule="auto"/>
        <w:ind w:left="1134" w:hanging="283"/>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Insinyur Asing yang melakukan Praktik Keinsinyuran di Indonesia sebagaimana dimaksud pada ayat (1) harus memiliki surat izin kerja tenaga kerja asing sesuai dengan ketentuan peraturan perundang-undangan.</w:t>
      </w:r>
    </w:p>
    <w:p w:rsidR="00F855D9" w:rsidRPr="00F855D9" w:rsidRDefault="00F855D9" w:rsidP="003D7355">
      <w:pPr>
        <w:widowControl w:val="0"/>
        <w:numPr>
          <w:ilvl w:val="1"/>
          <w:numId w:val="73"/>
        </w:numPr>
        <w:spacing w:after="0" w:line="240" w:lineRule="auto"/>
        <w:ind w:left="1134" w:hanging="283"/>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Untuk mendapat surat izin kerja sebagaimana dimaksud pada ayat (2), Insinyur Asing harus memiliki Surat Tanda Registrasi Insinyur dari PII berdasarkan surat tanda registrasi atau sertifikat kompetensi Insinyur menurut hukum negaranya.</w:t>
      </w:r>
    </w:p>
    <w:p w:rsidR="00F855D9" w:rsidRPr="00F855D9" w:rsidRDefault="00F855D9" w:rsidP="003D7355">
      <w:pPr>
        <w:widowControl w:val="0"/>
        <w:numPr>
          <w:ilvl w:val="1"/>
          <w:numId w:val="73"/>
        </w:numPr>
        <w:spacing w:after="0" w:line="240" w:lineRule="auto"/>
        <w:ind w:left="1134" w:hanging="283"/>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Dalam hal Insinyur Asing tidak memiliki surat tanda registrasi atau sertifikat kompetensi Insinyur menurut hukum negaranya sebagaimana dimaksud pada ayat (3), Insinyur Asing harus memenuhi syarat sebagaimana dimaksud dalam Pasal 11.</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915C1B" w:rsidP="00915C1B">
      <w:pPr>
        <w:widowControl w:val="0"/>
        <w:tabs>
          <w:tab w:val="left" w:pos="567"/>
          <w:tab w:val="left" w:pos="1134"/>
        </w:tabs>
        <w:spacing w:after="0" w:line="480" w:lineRule="auto"/>
        <w:ind w:left="567" w:firstLine="426"/>
        <w:jc w:val="both"/>
        <w:rPr>
          <w:rFonts w:ascii="Times New Roman" w:eastAsia="PMingLiU" w:hAnsi="Times New Roman" w:cs="Times New Roman"/>
          <w:bCs/>
          <w:color w:val="000000"/>
          <w:kern w:val="2"/>
          <w:sz w:val="24"/>
          <w:szCs w:val="24"/>
          <w:lang w:eastAsia="zh-TW"/>
        </w:rPr>
      </w:pPr>
      <w:r>
        <w:rPr>
          <w:rFonts w:ascii="Times New Roman" w:eastAsia="PMingLiU" w:hAnsi="Times New Roman" w:cs="Times New Roman"/>
          <w:bCs/>
          <w:color w:val="000000"/>
          <w:kern w:val="2"/>
          <w:sz w:val="24"/>
          <w:szCs w:val="24"/>
          <w:lang w:eastAsia="zh-TW"/>
        </w:rPr>
        <w:tab/>
      </w:r>
      <w:r w:rsidR="00F855D9" w:rsidRPr="00F855D9">
        <w:rPr>
          <w:rFonts w:ascii="Times New Roman" w:eastAsia="PMingLiU" w:hAnsi="Times New Roman" w:cs="Times New Roman"/>
          <w:bCs/>
          <w:color w:val="000000"/>
          <w:kern w:val="2"/>
          <w:sz w:val="24"/>
          <w:szCs w:val="24"/>
          <w:lang w:eastAsia="zh-TW"/>
        </w:rPr>
        <w:t xml:space="preserve">Kebijakan pemerintah Indonesia selanjutnya adalah dengan memberlakukan alih ilmu pengetahuan dan teknologi dari para insinyur asing dimana pengawasan terhadap pelaksanaan kegiatan alih ilmu pengetahuan dan teknologi dilaksanakan oleh Dewan Insinyur Indonesia yang tercantum dalam pasal 19. Insinyur sebagai salah satu komponen utama yang melakukan layanan jasa rekayasa teknik harus memiliki kompetensi untuk melakukan pekerjaan secara profesional sehingga </w:t>
      </w:r>
      <w:r w:rsidR="00F855D9" w:rsidRPr="00F855D9">
        <w:rPr>
          <w:rFonts w:ascii="Times New Roman" w:eastAsia="PMingLiU" w:hAnsi="Times New Roman" w:cs="Times New Roman"/>
          <w:bCs/>
          <w:color w:val="000000"/>
          <w:kern w:val="2"/>
          <w:sz w:val="24"/>
          <w:szCs w:val="24"/>
          <w:lang w:eastAsia="zh-TW"/>
        </w:rPr>
        <w:lastRenderedPageBreak/>
        <w:t xml:space="preserve">kegiatan yang dilakukannya dapat meningkatkan kualitas hidup masyarakat dan dirinya. Hasil karya Insinyur harus dapat dipertanggungjawabkan, baik secara moril-materiil maupun di muka hukum sehingga layanan jasa di bidang Keinsinyuran memiliki kepastian hukum, memberikan pelindungan bagi Insinyur dan pengguna, serta dilakukan secara profesional, bertanggung jawab, dan menjunjung tinggi etika profesi. Undang-undang Nomor 11 Tahun 2014 tentang Keinsinyuran ini juga merupakan salah satu langkah pemerintah Indonesia dalam membatasi insinyur asing di Indonesia serta membuat insinyur dalam negeri memiliki daya saing yang berkualitas dengan insiyur dari negara ASEAN lainnya. </w:t>
      </w:r>
    </w:p>
    <w:p w:rsidR="00F855D9" w:rsidRPr="00F855D9" w:rsidRDefault="00F855D9" w:rsidP="00915C1B">
      <w:pPr>
        <w:widowControl w:val="0"/>
        <w:spacing w:after="0" w:line="480" w:lineRule="auto"/>
        <w:ind w:left="567"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Kebijakan pemerintah Indonesia yang selanjutnya adalah pemerintah Indonesia dan pemerintah Malaysia sedang melakukan kerja sama pelatihan dan sertifikasi tenaga kerja konstruksi di Malaysia. Adapun tujuan kerja sama tersebut adalah dengan adanya pelatihan dan sertifikasi, diharapkan TKI konstruksi yang sebelumnya berstatus </w:t>
      </w:r>
      <w:r w:rsidRPr="00F855D9">
        <w:rPr>
          <w:rFonts w:ascii="Times New Roman" w:eastAsia="PMingLiU" w:hAnsi="Times New Roman" w:cs="Times New Roman"/>
          <w:bCs/>
          <w:i/>
          <w:color w:val="000000"/>
          <w:kern w:val="2"/>
          <w:sz w:val="24"/>
          <w:szCs w:val="24"/>
          <w:lang w:eastAsia="zh-TW"/>
        </w:rPr>
        <w:t>general worker</w:t>
      </w:r>
      <w:r w:rsidRPr="00F855D9">
        <w:rPr>
          <w:rFonts w:ascii="Times New Roman" w:eastAsia="PMingLiU" w:hAnsi="Times New Roman" w:cs="Times New Roman"/>
          <w:bCs/>
          <w:color w:val="000000"/>
          <w:kern w:val="2"/>
          <w:sz w:val="24"/>
          <w:szCs w:val="24"/>
          <w:lang w:eastAsia="zh-TW"/>
        </w:rPr>
        <w:t xml:space="preserve"> dapat meningkat menjadi </w:t>
      </w:r>
      <w:r w:rsidRPr="00F855D9">
        <w:rPr>
          <w:rFonts w:ascii="Times New Roman" w:eastAsia="PMingLiU" w:hAnsi="Times New Roman" w:cs="Times New Roman"/>
          <w:bCs/>
          <w:i/>
          <w:color w:val="000000"/>
          <w:kern w:val="2"/>
          <w:sz w:val="24"/>
          <w:szCs w:val="24"/>
          <w:lang w:eastAsia="zh-TW"/>
        </w:rPr>
        <w:t>skilled worker</w:t>
      </w:r>
      <w:r w:rsidRPr="00F855D9">
        <w:rPr>
          <w:rFonts w:ascii="Times New Roman" w:eastAsia="PMingLiU" w:hAnsi="Times New Roman" w:cs="Times New Roman"/>
          <w:bCs/>
          <w:color w:val="000000"/>
          <w:kern w:val="2"/>
          <w:sz w:val="24"/>
          <w:szCs w:val="24"/>
          <w:lang w:eastAsia="zh-TW"/>
        </w:rPr>
        <w:t xml:space="preserve"> atau sekurangnya </w:t>
      </w:r>
      <w:r w:rsidRPr="00F855D9">
        <w:rPr>
          <w:rFonts w:ascii="Times New Roman" w:eastAsia="PMingLiU" w:hAnsi="Times New Roman" w:cs="Times New Roman"/>
          <w:bCs/>
          <w:i/>
          <w:color w:val="000000"/>
          <w:kern w:val="2"/>
          <w:sz w:val="24"/>
          <w:szCs w:val="24"/>
          <w:lang w:eastAsia="zh-TW"/>
        </w:rPr>
        <w:t>semi-skilled worker</w:t>
      </w:r>
      <w:r w:rsidRPr="00F855D9">
        <w:rPr>
          <w:rFonts w:ascii="Times New Roman" w:eastAsia="PMingLiU" w:hAnsi="Times New Roman" w:cs="Times New Roman"/>
          <w:bCs/>
          <w:color w:val="000000"/>
          <w:kern w:val="2"/>
          <w:sz w:val="24"/>
          <w:szCs w:val="24"/>
          <w:lang w:eastAsia="zh-TW"/>
        </w:rPr>
        <w:t>, dengan meningkatkanya status tenaga kerja tersebut, maka diharapkan remunerasi yang diterima akan meningkat juga. Pada tahun 2016 telah direalisasikan sebanyak 2000 tenaga kerja konstruksi nasional yang telah dilatih dan mendapatkan sertifikasi kompetensi.</w:t>
      </w:r>
    </w:p>
    <w:p w:rsidR="00F855D9" w:rsidRPr="00F855D9" w:rsidRDefault="00F855D9" w:rsidP="00915C1B">
      <w:pPr>
        <w:widowControl w:val="0"/>
        <w:spacing w:after="0" w:line="480" w:lineRule="auto"/>
        <w:ind w:left="567"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Seorang </w:t>
      </w:r>
      <w:r w:rsidRPr="00F855D9">
        <w:rPr>
          <w:rFonts w:ascii="Times New Roman" w:eastAsia="PMingLiU" w:hAnsi="Times New Roman" w:cs="Times New Roman"/>
          <w:bCs/>
          <w:i/>
          <w:color w:val="000000"/>
          <w:kern w:val="2"/>
          <w:sz w:val="24"/>
          <w:szCs w:val="24"/>
          <w:lang w:eastAsia="zh-TW"/>
        </w:rPr>
        <w:t>professional engineer</w:t>
      </w:r>
      <w:r w:rsidRPr="00F855D9">
        <w:rPr>
          <w:rFonts w:ascii="Times New Roman" w:eastAsia="PMingLiU" w:hAnsi="Times New Roman" w:cs="Times New Roman"/>
          <w:bCs/>
          <w:color w:val="000000"/>
          <w:kern w:val="2"/>
          <w:sz w:val="24"/>
          <w:szCs w:val="24"/>
          <w:lang w:eastAsia="zh-TW"/>
        </w:rPr>
        <w:t xml:space="preserve"> bisa berpraktik di negara tujuan (</w:t>
      </w:r>
      <w:r w:rsidRPr="00F855D9">
        <w:rPr>
          <w:rFonts w:ascii="Times New Roman" w:eastAsia="PMingLiU" w:hAnsi="Times New Roman" w:cs="Times New Roman"/>
          <w:bCs/>
          <w:i/>
          <w:color w:val="000000"/>
          <w:kern w:val="2"/>
          <w:sz w:val="24"/>
          <w:szCs w:val="24"/>
          <w:lang w:eastAsia="zh-TW"/>
        </w:rPr>
        <w:t>host country</w:t>
      </w:r>
      <w:r w:rsidRPr="00F855D9">
        <w:rPr>
          <w:rFonts w:ascii="Times New Roman" w:eastAsia="PMingLiU" w:hAnsi="Times New Roman" w:cs="Times New Roman"/>
          <w:bCs/>
          <w:color w:val="000000"/>
          <w:kern w:val="2"/>
          <w:sz w:val="24"/>
          <w:szCs w:val="24"/>
          <w:lang w:eastAsia="zh-TW"/>
        </w:rPr>
        <w:t>) dan memperoleh gelar ACPE (</w:t>
      </w:r>
      <w:r w:rsidRPr="00F855D9">
        <w:rPr>
          <w:rFonts w:ascii="Times New Roman" w:eastAsia="PMingLiU" w:hAnsi="Times New Roman" w:cs="Times New Roman"/>
          <w:bCs/>
          <w:i/>
          <w:color w:val="000000"/>
          <w:kern w:val="2"/>
          <w:sz w:val="24"/>
          <w:szCs w:val="24"/>
          <w:lang w:eastAsia="zh-TW"/>
        </w:rPr>
        <w:t>ASEAN Chartered Professional Engineer),</w:t>
      </w:r>
      <w:r w:rsidRPr="00F855D9">
        <w:rPr>
          <w:rFonts w:ascii="Times New Roman" w:eastAsia="PMingLiU" w:hAnsi="Times New Roman" w:cs="Times New Roman"/>
          <w:bCs/>
          <w:color w:val="000000"/>
          <w:kern w:val="2"/>
          <w:sz w:val="24"/>
          <w:szCs w:val="24"/>
          <w:lang w:eastAsia="zh-TW"/>
        </w:rPr>
        <w:t xml:space="preserve"> ada beberapa kualifikasi yang harus dipenuhi terlebih dahulu, </w:t>
      </w:r>
      <w:r w:rsidRPr="00F855D9">
        <w:rPr>
          <w:rFonts w:ascii="Times New Roman" w:eastAsia="PMingLiU" w:hAnsi="Times New Roman" w:cs="Times New Roman"/>
          <w:bCs/>
          <w:color w:val="000000"/>
          <w:kern w:val="2"/>
          <w:sz w:val="24"/>
          <w:szCs w:val="24"/>
          <w:lang w:eastAsia="zh-TW"/>
        </w:rPr>
        <w:lastRenderedPageBreak/>
        <w:t>antara lain mencakup :</w:t>
      </w:r>
      <w:r w:rsidRPr="00F855D9">
        <w:rPr>
          <w:rFonts w:ascii="Times New Roman" w:eastAsia="PMingLiU" w:hAnsi="Times New Roman" w:cs="Times New Roman"/>
          <w:bCs/>
          <w:color w:val="000000"/>
          <w:kern w:val="2"/>
          <w:sz w:val="24"/>
          <w:szCs w:val="24"/>
          <w:vertAlign w:val="superscript"/>
          <w:lang w:eastAsia="zh-TW"/>
        </w:rPr>
        <w:footnoteReference w:id="81"/>
      </w:r>
    </w:p>
    <w:p w:rsidR="00F855D9" w:rsidRPr="00F855D9" w:rsidRDefault="00F855D9" w:rsidP="003D7355">
      <w:pPr>
        <w:widowControl w:val="0"/>
        <w:numPr>
          <w:ilvl w:val="0"/>
          <w:numId w:val="38"/>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hint="eastAsia"/>
          <w:bCs/>
          <w:color w:val="000000"/>
          <w:kern w:val="2"/>
          <w:sz w:val="24"/>
          <w:szCs w:val="24"/>
          <w:lang w:eastAsia="zh-TW"/>
        </w:rPr>
        <w:t>Telah menyelesaikan pendidikan tinggi bidang kesarjana teknikan</w:t>
      </w:r>
    </w:p>
    <w:p w:rsidR="00F855D9" w:rsidRPr="00F855D9" w:rsidRDefault="00F855D9" w:rsidP="003D7355">
      <w:pPr>
        <w:widowControl w:val="0"/>
        <w:numPr>
          <w:ilvl w:val="0"/>
          <w:numId w:val="38"/>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hint="eastAsia"/>
          <w:bCs/>
          <w:color w:val="000000"/>
          <w:kern w:val="2"/>
          <w:sz w:val="24"/>
          <w:szCs w:val="24"/>
          <w:lang w:eastAsia="zh-TW"/>
        </w:rPr>
        <w:t>Mendapatkan izin (lisensi) dari otoritas profesi nasional untuk berpraktik mandiri.</w:t>
      </w:r>
    </w:p>
    <w:p w:rsidR="00F855D9" w:rsidRPr="00F855D9" w:rsidRDefault="00F855D9" w:rsidP="003D7355">
      <w:pPr>
        <w:widowControl w:val="0"/>
        <w:numPr>
          <w:ilvl w:val="0"/>
          <w:numId w:val="38"/>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hint="eastAsia"/>
          <w:bCs/>
          <w:color w:val="000000"/>
          <w:kern w:val="2"/>
          <w:sz w:val="24"/>
          <w:szCs w:val="24"/>
          <w:lang w:eastAsia="zh-TW"/>
        </w:rPr>
        <w:t>Memiliki pengalaman kerja 7 tahun, 2 tahun di antaranya adalah pengalaman kerja di bidang kesarjana teknikan</w:t>
      </w:r>
    </w:p>
    <w:p w:rsidR="00F855D9" w:rsidRPr="00F855D9" w:rsidRDefault="00F855D9" w:rsidP="003D7355">
      <w:pPr>
        <w:widowControl w:val="0"/>
        <w:numPr>
          <w:ilvl w:val="0"/>
          <w:numId w:val="38"/>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hint="eastAsia"/>
          <w:bCs/>
          <w:color w:val="000000"/>
          <w:kern w:val="2"/>
          <w:sz w:val="24"/>
          <w:szCs w:val="24"/>
          <w:lang w:eastAsia="zh-TW"/>
        </w:rPr>
        <w:t xml:space="preserve">Sejalan dengan kebijakan </w:t>
      </w:r>
      <w:r w:rsidRPr="00F855D9">
        <w:rPr>
          <w:rFonts w:ascii="Times New Roman" w:eastAsia="PMingLiU" w:hAnsi="Times New Roman" w:cs="Times New Roman" w:hint="eastAsia"/>
          <w:bCs/>
          <w:i/>
          <w:color w:val="000000"/>
          <w:kern w:val="2"/>
          <w:sz w:val="24"/>
          <w:szCs w:val="24"/>
          <w:lang w:eastAsia="zh-TW"/>
        </w:rPr>
        <w:t>Continuing Professional Development</w:t>
      </w:r>
      <w:r w:rsidRPr="00F855D9">
        <w:rPr>
          <w:rFonts w:ascii="Times New Roman" w:eastAsia="PMingLiU" w:hAnsi="Times New Roman" w:cs="Times New Roman" w:hint="eastAsia"/>
          <w:bCs/>
          <w:color w:val="000000"/>
          <w:kern w:val="2"/>
          <w:sz w:val="24"/>
          <w:szCs w:val="24"/>
          <w:lang w:eastAsia="zh-TW"/>
        </w:rPr>
        <w:t xml:space="preserve"> (CPD) dengan tingkat yang memuaskan</w:t>
      </w:r>
    </w:p>
    <w:p w:rsidR="00F855D9" w:rsidRPr="00F855D9" w:rsidRDefault="00F855D9" w:rsidP="003D7355">
      <w:pPr>
        <w:widowControl w:val="0"/>
        <w:numPr>
          <w:ilvl w:val="0"/>
          <w:numId w:val="38"/>
        </w:numPr>
        <w:spacing w:after="0" w:line="240" w:lineRule="auto"/>
        <w:ind w:left="170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hint="eastAsia"/>
          <w:bCs/>
          <w:color w:val="000000"/>
          <w:kern w:val="2"/>
          <w:sz w:val="24"/>
          <w:szCs w:val="24"/>
          <w:lang w:eastAsia="zh-TW"/>
        </w:rPr>
        <w:t>Memperoleh sertifikat dari badan penyelenggara nasional dan tidak pernah melakukan tindakan yang melanggar hukum.</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Kerja sama yang dilakukan akan difokuskan untuk harmonisasi standar kompetensi konstruksi untuk 6 jabatan kerja (tukang pasang batu bata, tukang besi beton, tukang cor beton, tukang kayu konstruksi, tukang pasang ubin, tukang plester), pertukaran informasi pengembangan standar kompetensi konstruksi, inisiasi kemungkinan membentuk badan usaha </w:t>
      </w:r>
      <w:r w:rsidRPr="00F855D9">
        <w:rPr>
          <w:rFonts w:ascii="Times New Roman" w:eastAsia="PMingLiU" w:hAnsi="Times New Roman" w:cs="Times New Roman"/>
          <w:bCs/>
          <w:i/>
          <w:color w:val="000000"/>
          <w:kern w:val="2"/>
          <w:sz w:val="24"/>
          <w:szCs w:val="24"/>
          <w:lang w:eastAsia="zh-TW"/>
        </w:rPr>
        <w:t>joint venture</w:t>
      </w:r>
      <w:r w:rsidRPr="00F855D9">
        <w:rPr>
          <w:rFonts w:ascii="Times New Roman" w:eastAsia="PMingLiU" w:hAnsi="Times New Roman" w:cs="Times New Roman"/>
          <w:bCs/>
          <w:color w:val="000000"/>
          <w:kern w:val="2"/>
          <w:sz w:val="24"/>
          <w:szCs w:val="24"/>
          <w:lang w:eastAsia="zh-TW"/>
        </w:rPr>
        <w:t xml:space="preserve"> (Indonesia-Malaysia) untuk melaksanakan pelatihan/</w:t>
      </w:r>
      <w:r w:rsidRPr="00F855D9">
        <w:rPr>
          <w:rFonts w:ascii="Times New Roman" w:eastAsia="PMingLiU" w:hAnsi="Times New Roman" w:cs="Times New Roman"/>
          <w:bCs/>
          <w:i/>
          <w:color w:val="000000"/>
          <w:kern w:val="2"/>
          <w:sz w:val="24"/>
          <w:szCs w:val="24"/>
          <w:lang w:eastAsia="zh-TW"/>
        </w:rPr>
        <w:t>assessment</w:t>
      </w:r>
      <w:r w:rsidRPr="00F855D9">
        <w:rPr>
          <w:rFonts w:ascii="Times New Roman" w:eastAsia="PMingLiU" w:hAnsi="Times New Roman" w:cs="Times New Roman"/>
          <w:bCs/>
          <w:color w:val="000000"/>
          <w:kern w:val="2"/>
          <w:sz w:val="24"/>
          <w:szCs w:val="24"/>
          <w:lang w:eastAsia="zh-TW"/>
        </w:rPr>
        <w:t>/sertifikasi tenaga Pembentukan Tim Kerjasama bersama untuk menjajaki kerjasama lebih lanjut. Program sertifikasi yang dilanjutkan dengan peningkatan kemampuan tenaga kerja konstruksi nasional melalui berbagai kegiatan pelatihan yang berkesinambungan harus dapat dilakukan di setiap daerah. Tentu peningkatan kualitas SDM yang akan dimiliki oleh tenaga kerja konstruksi nasional harus diimbangi dengan kompensasi yang tepat agar migrasi tenaga kerja konstruksi nasional yang bekerja di perusahaan konstruksi nasional ke perusahaan konstruksi asing dapat diminimalkan.</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Kepala Badan Pembinaan Konstruksi Kementerian PU Hediyanto W. Husaeni mengungkapkan bahwa :</w:t>
      </w:r>
    </w:p>
    <w:p w:rsidR="00F855D9" w:rsidRPr="00F855D9" w:rsidRDefault="00F855D9" w:rsidP="00915C1B">
      <w:pPr>
        <w:widowControl w:val="0"/>
        <w:spacing w:after="0" w:line="24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 xml:space="preserve"> Saat ini dari 600.000 sarjana teknik, baru terdaftar dan tersertifikasi sejumlah 100.000, sedangkan yang sudah memiliki sertifikasi MRA baru 176 orang. Di Malaysia juga baru 250 orang, namun Indonesia lebih besar dari Malaysia dan Singapura, dengan jumlah penduduknya yang lebih besar. Untuk itu jumlah tersebut masih sangat kecil. Dan apabila sudah mempunyai standar MRA, pasti gaji/</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pendapatannya lebih besar, karenda mereka punya kompetensi yang lebih baik dan diakui.Kalau mereka punya sertifikat, keuntungan yang diperoleh untuk mereka sendiri, karena pendapatannya jauh lebih besar.</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Tujuan dari MRA sektor jasa kesarjana teknikan konstruksi adalah untuk memfasilitasi perdagangan dan sebagai stimulan aktivitas ekonomi antar pihak melalui penerimaan kompetensi SDM dalam hal standar, kualifikasi, sertifikasi dan lisensi. Dalam artikel 1 MRA sektor kesarjanaan teknik konstruksi dijelaskan bahwa tujuan dari adanya MRA dalam bidang kesarjanaan teknik ini adalah untuk memfasilitasi pergerakan jasa kesarjana teknikan profesional serta sebagai sarana bertukar informasi dalam rangka mengupayakan adopsi pelaksanaan praktik terbaik pada standar dan kualifikasi. Di dalam MRA ini, terdapat pendefinisian tentang apa saja yang diatur di dalam sektor jasa kesarjanaan teknik. Apa yang dinamakan dengan sektor kesarjana teknikan (</w:t>
      </w:r>
      <w:r w:rsidRPr="00F855D9">
        <w:rPr>
          <w:rFonts w:ascii="Times New Roman" w:eastAsia="PMingLiU" w:hAnsi="Times New Roman" w:cs="Times New Roman"/>
          <w:bCs/>
          <w:i/>
          <w:color w:val="000000"/>
          <w:kern w:val="2"/>
          <w:sz w:val="24"/>
          <w:szCs w:val="24"/>
          <w:lang w:eastAsia="zh-TW"/>
        </w:rPr>
        <w:t>engineering services</w:t>
      </w:r>
      <w:r w:rsidRPr="00F855D9">
        <w:rPr>
          <w:rFonts w:ascii="Times New Roman" w:eastAsia="PMingLiU" w:hAnsi="Times New Roman" w:cs="Times New Roman"/>
          <w:bCs/>
          <w:color w:val="000000"/>
          <w:kern w:val="2"/>
          <w:sz w:val="24"/>
          <w:szCs w:val="24"/>
          <w:lang w:eastAsia="zh-TW"/>
        </w:rPr>
        <w:t xml:space="preserve">) merujuk kepada aktivitas yang berada di lingkup </w:t>
      </w:r>
      <w:r w:rsidRPr="00F855D9">
        <w:rPr>
          <w:rFonts w:ascii="Times New Roman" w:eastAsia="PMingLiU" w:hAnsi="Times New Roman" w:cs="Times New Roman"/>
          <w:bCs/>
          <w:i/>
          <w:color w:val="000000"/>
          <w:kern w:val="2"/>
          <w:sz w:val="24"/>
          <w:szCs w:val="24"/>
          <w:lang w:eastAsia="zh-TW"/>
        </w:rPr>
        <w:t xml:space="preserve">Central Product Classification </w:t>
      </w:r>
      <w:r w:rsidRPr="00F855D9">
        <w:rPr>
          <w:rFonts w:ascii="Times New Roman" w:eastAsia="PMingLiU" w:hAnsi="Times New Roman" w:cs="Times New Roman"/>
          <w:bCs/>
          <w:color w:val="000000"/>
          <w:kern w:val="2"/>
          <w:sz w:val="24"/>
          <w:szCs w:val="24"/>
          <w:lang w:eastAsia="zh-TW"/>
        </w:rPr>
        <w:t xml:space="preserve">(CPC) Code 8672 dari </w:t>
      </w:r>
      <w:r w:rsidRPr="00F855D9">
        <w:rPr>
          <w:rFonts w:ascii="Times New Roman" w:eastAsia="PMingLiU" w:hAnsi="Times New Roman" w:cs="Times New Roman"/>
          <w:bCs/>
          <w:i/>
          <w:color w:val="000000"/>
          <w:kern w:val="2"/>
          <w:sz w:val="24"/>
          <w:szCs w:val="24"/>
          <w:lang w:eastAsia="zh-TW"/>
        </w:rPr>
        <w:t>Provisional</w:t>
      </w:r>
      <w:r w:rsidRPr="00F855D9">
        <w:rPr>
          <w:rFonts w:ascii="Times New Roman" w:eastAsia="PMingLiU" w:hAnsi="Times New Roman" w:cs="Times New Roman"/>
          <w:bCs/>
          <w:color w:val="000000"/>
          <w:kern w:val="2"/>
          <w:sz w:val="24"/>
          <w:szCs w:val="24"/>
          <w:lang w:eastAsia="zh-TW"/>
        </w:rPr>
        <w:t xml:space="preserve"> CPC yang diterbitkan oleh Persatuan Bangsa-Bangsa. Selain itu, apa yang disebut dengan </w:t>
      </w:r>
      <w:r w:rsidRPr="00F855D9">
        <w:rPr>
          <w:rFonts w:ascii="Times New Roman" w:eastAsia="PMingLiU" w:hAnsi="Times New Roman" w:cs="Times New Roman"/>
          <w:bCs/>
          <w:i/>
          <w:color w:val="000000"/>
          <w:kern w:val="2"/>
          <w:sz w:val="24"/>
          <w:szCs w:val="24"/>
          <w:lang w:eastAsia="zh-TW"/>
        </w:rPr>
        <w:t>graduate engineer</w:t>
      </w:r>
      <w:r w:rsidRPr="00F855D9">
        <w:rPr>
          <w:rFonts w:ascii="Times New Roman" w:eastAsia="PMingLiU" w:hAnsi="Times New Roman" w:cs="Times New Roman"/>
          <w:bCs/>
          <w:color w:val="000000"/>
          <w:kern w:val="2"/>
          <w:sz w:val="24"/>
          <w:szCs w:val="24"/>
          <w:lang w:eastAsia="zh-TW"/>
        </w:rPr>
        <w:t xml:space="preserve"> merujuk kepada setiap warga negara anggota ASEAN yang telah menyelesaikan pendidikan tinggi di bidang kesarjanaan teknik yang telah memperoleh pengakuan dan diakreditasi oleh otoritas nasional di suatu negara. Berbeda dengan </w:t>
      </w:r>
      <w:r w:rsidRPr="00F855D9">
        <w:rPr>
          <w:rFonts w:ascii="Times New Roman" w:eastAsia="PMingLiU" w:hAnsi="Times New Roman" w:cs="Times New Roman"/>
          <w:bCs/>
          <w:i/>
          <w:color w:val="000000"/>
          <w:kern w:val="2"/>
          <w:sz w:val="24"/>
          <w:szCs w:val="24"/>
          <w:lang w:eastAsia="zh-TW"/>
        </w:rPr>
        <w:t>graduate engineer</w:t>
      </w:r>
      <w:r w:rsidRPr="00F855D9">
        <w:rPr>
          <w:rFonts w:ascii="Times New Roman" w:eastAsia="PMingLiU" w:hAnsi="Times New Roman" w:cs="Times New Roman"/>
          <w:bCs/>
          <w:color w:val="000000"/>
          <w:kern w:val="2"/>
          <w:sz w:val="24"/>
          <w:szCs w:val="24"/>
          <w:lang w:eastAsia="zh-TW"/>
        </w:rPr>
        <w:t xml:space="preserve">, </w:t>
      </w:r>
      <w:r w:rsidRPr="00F855D9">
        <w:rPr>
          <w:rFonts w:ascii="Times New Roman" w:eastAsia="PMingLiU" w:hAnsi="Times New Roman" w:cs="Times New Roman"/>
          <w:bCs/>
          <w:i/>
          <w:color w:val="000000"/>
          <w:kern w:val="2"/>
          <w:sz w:val="24"/>
          <w:szCs w:val="24"/>
          <w:lang w:eastAsia="zh-TW"/>
        </w:rPr>
        <w:t>professional engineer (practitioner)</w:t>
      </w:r>
      <w:r w:rsidRPr="00F855D9">
        <w:rPr>
          <w:rFonts w:ascii="Times New Roman" w:eastAsia="PMingLiU" w:hAnsi="Times New Roman" w:cs="Times New Roman"/>
          <w:bCs/>
          <w:color w:val="000000"/>
          <w:kern w:val="2"/>
          <w:sz w:val="24"/>
          <w:szCs w:val="24"/>
          <w:lang w:eastAsia="zh-TW"/>
        </w:rPr>
        <w:t xml:space="preserve"> merujuk kepada:</w:t>
      </w:r>
    </w:p>
    <w:p w:rsidR="00F855D9" w:rsidRPr="00F855D9" w:rsidRDefault="00F855D9" w:rsidP="00915C1B">
      <w:pPr>
        <w:widowControl w:val="0"/>
        <w:spacing w:after="0" w:line="240" w:lineRule="auto"/>
        <w:ind w:left="720" w:firstLine="720"/>
        <w:contextualSpacing/>
        <w:jc w:val="both"/>
        <w:rPr>
          <w:rFonts w:ascii="Times New Roman" w:eastAsia="PMingLiU" w:hAnsi="Times New Roman" w:cs="Times New Roman"/>
          <w:bCs/>
          <w:i/>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lastRenderedPageBreak/>
        <w:t>“..natural person who holds the nationality of an ASEAN Member Country and is assessed by a Professional Regulatory Authority (PRA) of any participating ASEAN Member Country as being technically, morally, and legally qualified to undertake independent professional engineering practice and is registered and licensed for such practice by the Authority. ASEAN Member Countries may have different nomenclatures and requirements for this term”.</w:t>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Seorang sarjana teknik yang sudah mempunyai lisensi dan juga sedah memenuhi persyaratan yang telah ditentukan berdasarkan </w:t>
      </w:r>
      <w:r w:rsidRPr="00F855D9">
        <w:rPr>
          <w:rFonts w:ascii="Times New Roman" w:eastAsia="PMingLiU" w:hAnsi="Times New Roman" w:cs="Times New Roman"/>
          <w:bCs/>
          <w:i/>
          <w:color w:val="000000"/>
          <w:kern w:val="2"/>
          <w:sz w:val="24"/>
          <w:szCs w:val="24"/>
          <w:lang w:eastAsia="zh-TW"/>
        </w:rPr>
        <w:t>Professional Regulatory Authority (PRA)</w:t>
      </w:r>
      <w:r w:rsidRPr="00F855D9">
        <w:rPr>
          <w:rFonts w:ascii="Times New Roman" w:eastAsia="PMingLiU" w:hAnsi="Times New Roman" w:cs="Times New Roman"/>
          <w:bCs/>
          <w:color w:val="000000"/>
          <w:kern w:val="2"/>
          <w:sz w:val="24"/>
          <w:szCs w:val="24"/>
          <w:lang w:eastAsia="zh-TW"/>
        </w:rPr>
        <w:t xml:space="preserve"> berhak untuk melakukan praktek atas lisensinya di selurug negara anggota ASEAN. Sertifikat kompetensi merupakan syarat mutlak dalam melakukan pekerjaan konstruksi agar sesuai dengan kompetensi dari pemegang sertifikat. Hal ini senada dengan penjelasan bapak Bintang Perbowo, Ketua Umum  Asosiasi Kontraktor Indonesia (AKI) yang mengemukakan bahwa :</w:t>
      </w:r>
    </w:p>
    <w:p w:rsidR="00F855D9" w:rsidRPr="00F855D9" w:rsidRDefault="00F855D9" w:rsidP="00915C1B">
      <w:pPr>
        <w:widowControl w:val="0"/>
        <w:spacing w:after="0" w:line="24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 AKI mendorong semua kontraktor yang ada di dalam lingkup AKI memiliki sertifikat kompetensi yang sesuai dengan keahlian dan kompetensi yang mereka miliki. Disini peran AKI adalah mendorong dan membantu semampu yang bisa dilakukan agar mereka siap dalam menghadapi persaingan di masa kini dan mendatang. Konsep program yang dijalankan oleh AKI ini memang bisa bersifat paralel, artinya AKI akan berhubungan langsung dengan para perusahaan kontraktor yang ada dalam lingkup asosiasi, sementara AKI sendirin akan selalu berkoordinasi dengan LPJK menyangkut program atau hal apa saja yang bisa di share oleh LPJK kepada SKI terkait kebijakan atau peraturan lembaga yang mendukung keberadaan pelaku jasa konstruksi dalam konteks persaingan di dunia konstruksi regional dan internasional.</w:t>
      </w:r>
    </w:p>
    <w:p w:rsidR="00F855D9" w:rsidRPr="00F855D9" w:rsidRDefault="00F855D9" w:rsidP="00F855D9">
      <w:pPr>
        <w:widowControl w:val="0"/>
        <w:spacing w:after="0" w:line="48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Peran asosiasi cukup signifikan dalam memperoleh pengakuan kemampuan berdasarkan kompetenis yang berstandar sesuai dengan ketentuan MEA. Melalui peran asosiasi, para kontraktor memiliki sertifikasi yang sesuai dengan sub bidang pekerjaan yang dikerjakan. Pasar konstruksi di Indonesia yang cukup merata dari area barat hingga timur </w:t>
      </w:r>
      <w:r w:rsidRPr="00F855D9">
        <w:rPr>
          <w:rFonts w:ascii="Times New Roman" w:eastAsia="PMingLiU" w:hAnsi="Times New Roman" w:cs="Times New Roman"/>
          <w:bCs/>
          <w:color w:val="000000"/>
          <w:kern w:val="2"/>
          <w:sz w:val="24"/>
          <w:szCs w:val="24"/>
          <w:lang w:eastAsia="zh-TW"/>
        </w:rPr>
        <w:lastRenderedPageBreak/>
        <w:t xml:space="preserve">mendorong banyaknya kualifikasi pekerjaan yang berbeda – beda. Sebelum adanya sertifikasi kompetensi,  kualifikasi pekerjaan konstruksi bisa dikerjakan oleh konstraktor dengan kualifikasi umum yang bisa mengerjakan semua pekerjaan konstruksi tanpa pembatasan pekerjaan yang sesuai dengan kompetensi mereka. Oleh karena itu pemerintah Indonesia berkomitmen untuk mendorong dan menfasilitasi perluasan akses pasar konstruksi ke negara – negara anggota ASEAN melalui beberapa kebijakan adalah sebagai berikut : </w:t>
      </w:r>
    </w:p>
    <w:p w:rsidR="00F855D9" w:rsidRPr="00F855D9" w:rsidRDefault="00F855D9" w:rsidP="00915C1B">
      <w:pPr>
        <w:widowControl w:val="0"/>
        <w:spacing w:after="0" w:line="48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  Pembinaan untuk penguasaan pasar konstruksi internasional di dalam negeri :</w:t>
      </w:r>
    </w:p>
    <w:p w:rsidR="00F855D9" w:rsidRPr="00F855D9" w:rsidRDefault="00F855D9" w:rsidP="003D7355">
      <w:pPr>
        <w:widowControl w:val="0"/>
        <w:numPr>
          <w:ilvl w:val="6"/>
          <w:numId w:val="58"/>
        </w:numPr>
        <w:spacing w:after="0" w:line="48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Peningkatan kapasitas badan usaha dan tenaga kerja</w:t>
      </w:r>
    </w:p>
    <w:p w:rsidR="00F855D9" w:rsidRPr="00F855D9" w:rsidRDefault="00967E1A" w:rsidP="003D7355">
      <w:pPr>
        <w:widowControl w:val="0"/>
        <w:numPr>
          <w:ilvl w:val="6"/>
          <w:numId w:val="58"/>
        </w:numPr>
        <w:spacing w:after="0" w:line="480" w:lineRule="auto"/>
        <w:ind w:left="1134"/>
        <w:contextualSpacing/>
        <w:jc w:val="both"/>
        <w:rPr>
          <w:rFonts w:ascii="Times New Roman" w:eastAsia="PMingLiU" w:hAnsi="Times New Roman" w:cs="Times New Roman"/>
          <w:bCs/>
          <w:color w:val="000000"/>
          <w:kern w:val="2"/>
          <w:sz w:val="24"/>
          <w:szCs w:val="24"/>
          <w:lang w:eastAsia="zh-TW"/>
        </w:rPr>
      </w:pPr>
      <w:r>
        <w:rPr>
          <w:rFonts w:ascii="Times New Roman" w:eastAsia="PMingLiU" w:hAnsi="Times New Roman" w:cs="Times New Roman"/>
          <w:bCs/>
          <w:color w:val="000000"/>
          <w:kern w:val="2"/>
          <w:sz w:val="24"/>
          <w:szCs w:val="24"/>
          <w:lang w:eastAsia="zh-TW"/>
        </w:rPr>
        <w:t>Penyesuaian dan p</w:t>
      </w:r>
      <w:r w:rsidR="00F855D9" w:rsidRPr="00F855D9">
        <w:rPr>
          <w:rFonts w:ascii="Times New Roman" w:eastAsia="PMingLiU" w:hAnsi="Times New Roman" w:cs="Times New Roman"/>
          <w:bCs/>
          <w:color w:val="000000"/>
          <w:kern w:val="2"/>
          <w:sz w:val="24"/>
          <w:szCs w:val="24"/>
          <w:lang w:eastAsia="zh-TW"/>
        </w:rPr>
        <w:t>enyetaraan lapangan usaha dengan dunia internasional</w:t>
      </w:r>
    </w:p>
    <w:p w:rsidR="00F855D9" w:rsidRPr="00F855D9" w:rsidRDefault="00F855D9" w:rsidP="003D7355">
      <w:pPr>
        <w:widowControl w:val="0"/>
        <w:numPr>
          <w:ilvl w:val="6"/>
          <w:numId w:val="58"/>
        </w:numPr>
        <w:spacing w:after="0" w:line="48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Penyelenggaraan konstruksi Indonesia (KI) dengan beberapa aktivitas seperti :</w:t>
      </w:r>
    </w:p>
    <w:p w:rsidR="00F855D9" w:rsidRPr="00F855D9" w:rsidRDefault="00F855D9" w:rsidP="003D7355">
      <w:pPr>
        <w:widowControl w:val="0"/>
        <w:numPr>
          <w:ilvl w:val="1"/>
          <w:numId w:val="59"/>
        </w:numPr>
        <w:spacing w:after="0" w:line="480" w:lineRule="auto"/>
        <w:ind w:left="156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Lomba tenaga kerja konstruksi</w:t>
      </w:r>
    </w:p>
    <w:p w:rsidR="00F855D9" w:rsidRPr="00F855D9" w:rsidRDefault="00F855D9" w:rsidP="003D7355">
      <w:pPr>
        <w:widowControl w:val="0"/>
        <w:numPr>
          <w:ilvl w:val="1"/>
          <w:numId w:val="59"/>
        </w:numPr>
        <w:spacing w:after="0" w:line="480" w:lineRule="auto"/>
        <w:ind w:left="156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Penghargaan kinerja konstruksi</w:t>
      </w:r>
    </w:p>
    <w:p w:rsidR="00F855D9" w:rsidRPr="00F855D9" w:rsidRDefault="00F855D9" w:rsidP="00915C1B">
      <w:pPr>
        <w:widowControl w:val="0"/>
        <w:spacing w:after="0" w:line="48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 Fasilitasi akses permodalan dan penjaminan,</w:t>
      </w:r>
    </w:p>
    <w:p w:rsidR="00F855D9" w:rsidRPr="00F855D9" w:rsidRDefault="00F855D9" w:rsidP="00915C1B">
      <w:pPr>
        <w:widowControl w:val="0"/>
        <w:spacing w:after="0" w:line="48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c. Memfasilitasi informasi dan pemetaan pasar,</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dan lingkungan usaha di negara tujuan (</w:t>
      </w:r>
      <w:r w:rsidRPr="00F855D9">
        <w:rPr>
          <w:rFonts w:ascii="Times New Roman" w:eastAsia="PMingLiU" w:hAnsi="Times New Roman" w:cs="Times New Roman"/>
          <w:bCs/>
          <w:i/>
          <w:color w:val="000000"/>
          <w:kern w:val="2"/>
          <w:sz w:val="24"/>
          <w:szCs w:val="24"/>
          <w:lang w:eastAsia="zh-TW"/>
        </w:rPr>
        <w:t>market intelligence</w:t>
      </w:r>
      <w:r w:rsidRPr="00F855D9">
        <w:rPr>
          <w:rFonts w:ascii="Times New Roman" w:eastAsia="PMingLiU" w:hAnsi="Times New Roman" w:cs="Times New Roman"/>
          <w:bCs/>
          <w:color w:val="000000"/>
          <w:kern w:val="2"/>
          <w:sz w:val="24"/>
          <w:szCs w:val="24"/>
          <w:lang w:eastAsia="zh-TW"/>
        </w:rPr>
        <w:t>) maupun pengembangan kapasitas badan usaha dan sdm konstruksi.</w:t>
      </w:r>
    </w:p>
    <w:p w:rsidR="00F855D9" w:rsidRPr="00F855D9" w:rsidRDefault="00F855D9" w:rsidP="00915C1B">
      <w:pPr>
        <w:widowControl w:val="0"/>
        <w:spacing w:after="0" w:line="48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d.  Promosi kemampuan pelaku usaha konstruksi nasional</w:t>
      </w:r>
    </w:p>
    <w:p w:rsidR="00F855D9" w:rsidRPr="00F855D9" w:rsidRDefault="00F855D9" w:rsidP="00915C1B">
      <w:pPr>
        <w:widowControl w:val="0"/>
        <w:spacing w:after="0" w:line="48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e.  Diplomasi bisnis</w:t>
      </w:r>
    </w:p>
    <w:p w:rsidR="00F855D9" w:rsidRPr="00F855D9" w:rsidRDefault="00F855D9" w:rsidP="00915C1B">
      <w:pPr>
        <w:widowControl w:val="0"/>
        <w:spacing w:after="0" w:line="48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f. Melakukan upaya untuk menghindari pengenaan pajak ganda.</w:t>
      </w:r>
    </w:p>
    <w:p w:rsidR="00F855D9" w:rsidRPr="00F855D9" w:rsidRDefault="00F855D9" w:rsidP="00915C1B">
      <w:pPr>
        <w:widowControl w:val="0"/>
        <w:spacing w:after="0" w:line="48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 xml:space="preserve">g. TKA ( Tenaga Kerja Asing ) yang masuk tetap dibatasi hanya level manajemen dan </w:t>
      </w:r>
      <w:r w:rsidRPr="00F855D9">
        <w:rPr>
          <w:rFonts w:ascii="Times New Roman" w:eastAsia="PMingLiU" w:hAnsi="Times New Roman" w:cs="Times New Roman"/>
          <w:bCs/>
          <w:i/>
          <w:color w:val="000000"/>
          <w:kern w:val="2"/>
          <w:sz w:val="24"/>
          <w:szCs w:val="24"/>
          <w:lang w:eastAsia="zh-TW"/>
        </w:rPr>
        <w:t>expert</w:t>
      </w:r>
      <w:r w:rsidRPr="00F855D9">
        <w:rPr>
          <w:rFonts w:ascii="Times New Roman" w:eastAsia="PMingLiU" w:hAnsi="Times New Roman" w:cs="Times New Roman"/>
          <w:bCs/>
          <w:color w:val="000000"/>
          <w:kern w:val="2"/>
          <w:sz w:val="24"/>
          <w:szCs w:val="24"/>
          <w:lang w:eastAsia="zh-TW"/>
        </w:rPr>
        <w:t>.</w:t>
      </w:r>
    </w:p>
    <w:p w:rsidR="00F855D9" w:rsidRPr="00F855D9" w:rsidRDefault="00F855D9" w:rsidP="00915C1B">
      <w:pPr>
        <w:widowControl w:val="0"/>
        <w:spacing w:after="0" w:line="48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h. Pemberlakuan itu dibatasi hanya untuk tiga status saja yaitu (</w:t>
      </w:r>
      <w:r w:rsidRPr="00F855D9">
        <w:rPr>
          <w:rFonts w:ascii="Times New Roman" w:eastAsia="PMingLiU" w:hAnsi="Times New Roman" w:cs="Times New Roman"/>
          <w:bCs/>
          <w:i/>
          <w:color w:val="000000"/>
          <w:kern w:val="2"/>
          <w:sz w:val="24"/>
          <w:szCs w:val="24"/>
          <w:lang w:eastAsia="zh-TW"/>
        </w:rPr>
        <w:t>Business visitor</w:t>
      </w:r>
      <w:r w:rsidRPr="00F855D9">
        <w:rPr>
          <w:rFonts w:ascii="Times New Roman" w:eastAsia="PMingLiU" w:hAnsi="Times New Roman" w:cs="Times New Roman"/>
          <w:bCs/>
          <w:color w:val="000000"/>
          <w:kern w:val="2"/>
          <w:sz w:val="24"/>
          <w:szCs w:val="24"/>
          <w:lang w:eastAsia="zh-TW"/>
        </w:rPr>
        <w:t xml:space="preserve">, </w:t>
      </w:r>
      <w:r w:rsidRPr="00F855D9">
        <w:rPr>
          <w:rFonts w:ascii="Times New Roman" w:eastAsia="PMingLiU" w:hAnsi="Times New Roman" w:cs="Times New Roman"/>
          <w:bCs/>
          <w:i/>
          <w:color w:val="000000"/>
          <w:kern w:val="2"/>
          <w:sz w:val="24"/>
          <w:szCs w:val="24"/>
          <w:lang w:eastAsia="zh-TW"/>
        </w:rPr>
        <w:t>intra-corporate</w:t>
      </w:r>
      <w:r w:rsidRPr="00F855D9">
        <w:rPr>
          <w:rFonts w:ascii="Times New Roman" w:eastAsia="PMingLiU" w:hAnsi="Times New Roman" w:cs="Times New Roman"/>
          <w:bCs/>
          <w:color w:val="000000"/>
          <w:kern w:val="2"/>
          <w:sz w:val="24"/>
          <w:szCs w:val="24"/>
          <w:lang w:eastAsia="zh-TW"/>
        </w:rPr>
        <w:t xml:space="preserve"> (dalam satu perusahaan) dan </w:t>
      </w:r>
      <w:r w:rsidRPr="00F855D9">
        <w:rPr>
          <w:rFonts w:ascii="Times New Roman" w:eastAsia="PMingLiU" w:hAnsi="Times New Roman" w:cs="Times New Roman"/>
          <w:bCs/>
          <w:i/>
          <w:color w:val="000000"/>
          <w:kern w:val="2"/>
          <w:sz w:val="24"/>
          <w:szCs w:val="24"/>
          <w:lang w:eastAsia="zh-TW"/>
        </w:rPr>
        <w:t>contracted person</w:t>
      </w:r>
      <w:r w:rsidRPr="00F855D9">
        <w:rPr>
          <w:rFonts w:ascii="Times New Roman" w:eastAsia="PMingLiU" w:hAnsi="Times New Roman" w:cs="Times New Roman"/>
          <w:bCs/>
          <w:color w:val="000000"/>
          <w:kern w:val="2"/>
          <w:sz w:val="24"/>
          <w:szCs w:val="24"/>
          <w:lang w:eastAsia="zh-TW"/>
        </w:rPr>
        <w:t xml:space="preserve"> (tenaga kerja yang dipekerjakan oleh perusahaan asing yang telah mendapat kontrak kerja). Dengan kondisi seperti itu maka tidak dimungkinkan tenaga kerja ASEAN yang masuk ke Indonesia adalah mereka yang sedang mencari pekerjaan secara individu.</w:t>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Sumber daya manusia merupakan faktor penting dalam pembangunan sektor jasa, termasuk sektor jasa konstruksi. Penciptaan SDM yang siap kerja yang berkualitas dan dapat memenuhi tantangan pasar jasa konstruksi merupakan program jangka panjang yang perlu disiapkan sejak dini. Lembaga Pengembangan Jasa Konstruksi (LPJK) baik di tingkat nasional maupun daerah, memainkan peran penting dalam pengembangan tenaga kerja industri konstruksi melalui pelaksanaan fungsi akreditasi asosiasi profesi dan institusi pendidikan dan pelatihan (diklat), serta registrasi tenaga kerja. Semua pekerja industri konstruksi harus mempunyai sertifikat tenaga kerja yang dikeluarkan oleh asosiasi profesi atau institusi diklat, dan kemudian wajib melakukan registrasi di LPJK. Selain itu, pemahaman mengenai isu-isu lingkungan juga perlu dilakukan oleh pelaku konstruksi nasional, terutama untuk isu kerusakan lingkungan dan pemanasan global. Liberalisasi perdagangan sektor jasa konstruksi merupakan suatu tantangan bagi kemampuan kualitas pemerintah, perusahaan serta tenaga kerja profesional nasional di sektor ini.</w:t>
      </w:r>
    </w:p>
    <w:p w:rsidR="00915C1B" w:rsidRPr="00F855D9" w:rsidRDefault="00F855D9" w:rsidP="000A776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Kebijakan pemerintah yang tertuang dalam undang – undang jasa konstruksi, undang – undang penanaman modal, undang – undang perdagangan dan undang – undang keinsinyuran merupakan komitmen pemerintah Indonesia dalam menghadapi persaingan perdagangan jasa di sektor jasa konstruksi khususnya yang memberikan dampak baik positif maupun negatif terhadap perdagangan jasa konstruksi di Indonesia. Segala kebijakan yang telah dilakukan oleh pemerintah Indonesia sampai saat ini kebijakan paling ketat dari pemerintah Indonesia dalam perdagangan jasa adalah undang – undang nomor 25 tahun 2007 tentang pembatasan kepemilikan modal asing. Kebijakan ini diambil pemerintah Indonesia untuk melindungi beberapa sektor bidang jasa tertutup tertentu yang dapat diusahakan untuk kegiatan penanaman modal dengan persyaratan, yaitu</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 xml:space="preserve">dicadangkan untuk usaha mikro, kecil, dan menengah serta koperasi, kemitraan, kepemilikan modal, lokasi tertentu, perizinan khusus, dan penanarn modal dari negara </w:t>
      </w:r>
      <w:r w:rsidRPr="00F855D9">
        <w:rPr>
          <w:rFonts w:ascii="Times New Roman" w:eastAsia="PMingLiU" w:hAnsi="Times New Roman" w:cs="Times New Roman"/>
          <w:bCs/>
          <w:i/>
          <w:color w:val="000000"/>
          <w:kern w:val="2"/>
          <w:sz w:val="24"/>
          <w:szCs w:val="24"/>
          <w:lang w:eastAsia="zh-TW"/>
        </w:rPr>
        <w:t>Association of Southeast Asian Nations (ASEAN)</w:t>
      </w:r>
      <w:r w:rsidRPr="00F855D9">
        <w:rPr>
          <w:rFonts w:ascii="Times New Roman" w:eastAsia="PMingLiU" w:hAnsi="Times New Roman" w:cs="Times New Roman"/>
          <w:bCs/>
          <w:color w:val="000000"/>
          <w:kern w:val="2"/>
          <w:sz w:val="24"/>
          <w:szCs w:val="24"/>
          <w:lang w:eastAsia="zh-TW"/>
        </w:rPr>
        <w:t xml:space="preserve">. Sebelum adanya MEA, perdangangan di sektor jasa konstruksi di Indonesia sudah sangat ketat karena perusahaan dari China, Korea dan India lebih dahulu menguasai pasar jasa konstruksi di Indonesia, sejak adanya MEA persaingan perdagangan menjadi lebih ketat daripada sebelumnya, oleh karena itu pemerintah Indonesia melakukan kebijakan pembatasan untuk bidang usaha tertutup yang dikhususkan untuk menunjang kesepakatan perdagangan ASEAN dalam era MEA. </w:t>
      </w:r>
    </w:p>
    <w:p w:rsidR="00F855D9" w:rsidRPr="00F855D9" w:rsidRDefault="00F855D9" w:rsidP="003D7355">
      <w:pPr>
        <w:widowControl w:val="0"/>
        <w:numPr>
          <w:ilvl w:val="1"/>
          <w:numId w:val="58"/>
        </w:numPr>
        <w:spacing w:after="0" w:line="48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Analisis Dampak Kebijakan Pemerintah Indonesia Terhadap Persaingan Perdagangan Jasa Di Bidang Konstruksi Dalam Rangka MEA</w:t>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 xml:space="preserve">Implementasi dari Masyarakat Ekonomi ASEAN 2015, Indonesia masih menghadapi beberapa tantangan baik eksternal maupun internal. Tantangan eksternal yang dihadapi antara lain adalah tingkat persaingan perdagangan yang semakin ketat, semakin besarnya defisit neraca perdagangan Indonesia dengan negara ASEAN lainnya, dan kurang adanya peningkatan daya tarik investasi. Sementara itu, tantangan internal Indonesia antara lain adalah rendahnya pemahaman masyarakat terhadap MEA, ketidaksiapan daerah menghadapi MEA, tingkat pembangunan daerah yang masih sangat bervariasi, kondisi SDM dan ketenagakerjaan Indonesia. Indonesia masih tetap memiliki peluang besar untuk dapat mengambil manfaat dari implementasi MEA bagi kesejahteraan masyarakat Indonesia. </w:t>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Sektor jasa adalah sektor yang tumbuh dengan sangat pesat di Indonesia, terutama dalam satu dekade terakhir ini. Kontribusinya bagi Pendapatan Nasional tercatat terus meningkat. Pada tahun 2010, sektor jasa menyumbang lebih dari 50% dari GDP. Pertumbuhan sektor jasa ini juga terlihat dari jumlah tenaga kerja yang bekerja pada sektor tersebut yang meningkat dengan pesat. Pada tahun 2007, ada sekitar 35 juta orang yang bekerja di sektor jasa dan terkait-jasa (</w:t>
      </w:r>
      <w:r w:rsidRPr="00F855D9">
        <w:rPr>
          <w:rFonts w:ascii="Times New Roman" w:eastAsia="PMingLiU" w:hAnsi="Times New Roman" w:cs="Times New Roman"/>
          <w:bCs/>
          <w:i/>
          <w:color w:val="000000"/>
          <w:kern w:val="2"/>
          <w:sz w:val="24"/>
          <w:szCs w:val="24"/>
          <w:lang w:eastAsia="zh-TW"/>
        </w:rPr>
        <w:t>services andservices-related</w:t>
      </w:r>
      <w:r w:rsidRPr="00F855D9">
        <w:rPr>
          <w:rFonts w:ascii="Times New Roman" w:eastAsia="PMingLiU" w:hAnsi="Times New Roman" w:cs="Times New Roman"/>
          <w:bCs/>
          <w:color w:val="000000"/>
          <w:kern w:val="2"/>
          <w:sz w:val="24"/>
          <w:szCs w:val="24"/>
          <w:lang w:eastAsia="zh-TW"/>
        </w:rPr>
        <w:t xml:space="preserve">). Dalam sepuluh tahun, jumlah yang terlibat dalam sektor jasa menjadi 49,18 juta orang atau meningkat sekitar 14,18 juta orang. Berkaitan dengan perdagangan, jumlah pekerjaan yang disediakan sektor jasa yang terkait dengan semua kegiatan ekspor (dengan mempertimbangkan hubungan langsung maupun tak langsung) tercatat lebih besar dari jumlah </w:t>
      </w:r>
      <w:r w:rsidRPr="00F855D9">
        <w:rPr>
          <w:rFonts w:ascii="Times New Roman" w:eastAsia="PMingLiU" w:hAnsi="Times New Roman" w:cs="Times New Roman"/>
          <w:bCs/>
          <w:color w:val="000000"/>
          <w:kern w:val="2"/>
          <w:sz w:val="24"/>
          <w:szCs w:val="24"/>
          <w:lang w:eastAsia="zh-TW"/>
        </w:rPr>
        <w:lastRenderedPageBreak/>
        <w:t>total pekerjaan yang diciptakan oleh semua ekspor manufaktur (makanan olahan, industri ringan dan berat). Ada 7,1 juta pekerjaan yang disediakan oleh sektor jasa yang terkait dengan kegiatan ekspor dan hanya 5 juta pekerjaan yang diciptakan oleh semua ekspor manufaktur.</w:t>
      </w:r>
      <w:r w:rsidRPr="00F855D9">
        <w:rPr>
          <w:rFonts w:ascii="Times New Roman" w:eastAsia="PMingLiU" w:hAnsi="Times New Roman" w:cs="Times New Roman"/>
          <w:bCs/>
          <w:color w:val="000000"/>
          <w:kern w:val="2"/>
          <w:sz w:val="24"/>
          <w:szCs w:val="24"/>
          <w:vertAlign w:val="superscript"/>
          <w:lang w:eastAsia="zh-TW"/>
        </w:rPr>
        <w:footnoteReference w:id="82"/>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Indeks Daya Saing Global yang dipublikasikan setiap tahun oleh </w:t>
      </w:r>
      <w:r w:rsidRPr="00F855D9">
        <w:rPr>
          <w:rFonts w:ascii="Times New Roman" w:eastAsia="PMingLiU" w:hAnsi="Times New Roman" w:cs="Times New Roman"/>
          <w:bCs/>
          <w:i/>
          <w:color w:val="000000"/>
          <w:kern w:val="2"/>
          <w:sz w:val="24"/>
          <w:szCs w:val="24"/>
          <w:lang w:eastAsia="zh-TW"/>
        </w:rPr>
        <w:t>World Economic Forum</w:t>
      </w:r>
      <w:r w:rsidRPr="00F855D9">
        <w:rPr>
          <w:rFonts w:ascii="Times New Roman" w:eastAsia="PMingLiU" w:hAnsi="Times New Roman" w:cs="Times New Roman"/>
          <w:bCs/>
          <w:color w:val="000000"/>
          <w:kern w:val="2"/>
          <w:sz w:val="24"/>
          <w:szCs w:val="24"/>
          <w:lang w:eastAsia="zh-TW"/>
        </w:rPr>
        <w:t xml:space="preserve"> memotret daya saing dari 142 negara di dunia. Indeks tersebut disusun dengan menggunakan 12 pilar yang digolongkan ke dalam tiga kategori yang disebut “s</w:t>
      </w:r>
      <w:r w:rsidRPr="00F855D9">
        <w:rPr>
          <w:rFonts w:ascii="Times New Roman" w:eastAsia="PMingLiU" w:hAnsi="Times New Roman" w:cs="Times New Roman"/>
          <w:bCs/>
          <w:i/>
          <w:color w:val="000000"/>
          <w:kern w:val="2"/>
          <w:sz w:val="24"/>
          <w:szCs w:val="24"/>
          <w:lang w:eastAsia="zh-TW"/>
        </w:rPr>
        <w:t>ubindex</w:t>
      </w:r>
      <w:r w:rsidRPr="00F855D9">
        <w:rPr>
          <w:rFonts w:ascii="Times New Roman" w:eastAsia="PMingLiU" w:hAnsi="Times New Roman" w:cs="Times New Roman"/>
          <w:bCs/>
          <w:color w:val="000000"/>
          <w:kern w:val="2"/>
          <w:sz w:val="24"/>
          <w:szCs w:val="24"/>
          <w:lang w:eastAsia="zh-TW"/>
        </w:rPr>
        <w:t>”, yaitu “</w:t>
      </w:r>
      <w:r w:rsidRPr="00F855D9">
        <w:rPr>
          <w:rFonts w:ascii="Times New Roman" w:eastAsia="PMingLiU" w:hAnsi="Times New Roman" w:cs="Times New Roman"/>
          <w:bCs/>
          <w:i/>
          <w:color w:val="000000"/>
          <w:kern w:val="2"/>
          <w:sz w:val="24"/>
          <w:szCs w:val="24"/>
          <w:lang w:eastAsia="zh-TW"/>
        </w:rPr>
        <w:t>basic requirements</w:t>
      </w:r>
      <w:r w:rsidRPr="00F855D9">
        <w:rPr>
          <w:rFonts w:ascii="Times New Roman" w:eastAsia="PMingLiU" w:hAnsi="Times New Roman" w:cs="Times New Roman"/>
          <w:bCs/>
          <w:color w:val="000000"/>
          <w:kern w:val="2"/>
          <w:sz w:val="24"/>
          <w:szCs w:val="24"/>
          <w:lang w:eastAsia="zh-TW"/>
        </w:rPr>
        <w:t>” (pilar yang penting untuk perekonomian yang bersifat “</w:t>
      </w:r>
      <w:r w:rsidRPr="00F855D9">
        <w:rPr>
          <w:rFonts w:ascii="Times New Roman" w:eastAsia="PMingLiU" w:hAnsi="Times New Roman" w:cs="Times New Roman"/>
          <w:bCs/>
          <w:i/>
          <w:color w:val="000000"/>
          <w:kern w:val="2"/>
          <w:sz w:val="24"/>
          <w:szCs w:val="24"/>
          <w:lang w:eastAsia="zh-TW"/>
        </w:rPr>
        <w:t>factor-driven</w:t>
      </w:r>
      <w:r w:rsidRPr="00F855D9">
        <w:rPr>
          <w:rFonts w:ascii="Times New Roman" w:eastAsia="PMingLiU" w:hAnsi="Times New Roman" w:cs="Times New Roman"/>
          <w:bCs/>
          <w:color w:val="000000"/>
          <w:kern w:val="2"/>
          <w:sz w:val="24"/>
          <w:szCs w:val="24"/>
          <w:lang w:eastAsia="zh-TW"/>
        </w:rPr>
        <w:t>”), “</w:t>
      </w:r>
      <w:r w:rsidRPr="00F855D9">
        <w:rPr>
          <w:rFonts w:ascii="Times New Roman" w:eastAsia="PMingLiU" w:hAnsi="Times New Roman" w:cs="Times New Roman"/>
          <w:bCs/>
          <w:i/>
          <w:color w:val="000000"/>
          <w:kern w:val="2"/>
          <w:sz w:val="24"/>
          <w:szCs w:val="24"/>
          <w:lang w:eastAsia="zh-TW"/>
        </w:rPr>
        <w:t>efficiency enhancers</w:t>
      </w:r>
      <w:r w:rsidRPr="00F855D9">
        <w:rPr>
          <w:rFonts w:ascii="Times New Roman" w:eastAsia="PMingLiU" w:hAnsi="Times New Roman" w:cs="Times New Roman"/>
          <w:bCs/>
          <w:color w:val="000000"/>
          <w:kern w:val="2"/>
          <w:sz w:val="24"/>
          <w:szCs w:val="24"/>
          <w:lang w:eastAsia="zh-TW"/>
        </w:rPr>
        <w:t>” (pilar yang penting untuk perekonomian yang bersifat “</w:t>
      </w:r>
      <w:r w:rsidRPr="00F855D9">
        <w:rPr>
          <w:rFonts w:ascii="Times New Roman" w:eastAsia="PMingLiU" w:hAnsi="Times New Roman" w:cs="Times New Roman"/>
          <w:bCs/>
          <w:i/>
          <w:color w:val="000000"/>
          <w:kern w:val="2"/>
          <w:sz w:val="24"/>
          <w:szCs w:val="24"/>
          <w:lang w:eastAsia="zh-TW"/>
        </w:rPr>
        <w:t>efficiency-driven</w:t>
      </w:r>
      <w:r w:rsidRPr="00F855D9">
        <w:rPr>
          <w:rFonts w:ascii="Times New Roman" w:eastAsia="PMingLiU" w:hAnsi="Times New Roman" w:cs="Times New Roman"/>
          <w:bCs/>
          <w:color w:val="000000"/>
          <w:kern w:val="2"/>
          <w:sz w:val="24"/>
          <w:szCs w:val="24"/>
          <w:lang w:eastAsia="zh-TW"/>
        </w:rPr>
        <w:t>,” dan “</w:t>
      </w:r>
      <w:r w:rsidRPr="00F855D9">
        <w:rPr>
          <w:rFonts w:ascii="Times New Roman" w:eastAsia="PMingLiU" w:hAnsi="Times New Roman" w:cs="Times New Roman"/>
          <w:bCs/>
          <w:i/>
          <w:color w:val="000000"/>
          <w:kern w:val="2"/>
          <w:sz w:val="24"/>
          <w:szCs w:val="24"/>
          <w:lang w:eastAsia="zh-TW"/>
        </w:rPr>
        <w:t>innovation and sophistication factor</w:t>
      </w:r>
      <w:r w:rsidRPr="00F855D9">
        <w:rPr>
          <w:rFonts w:ascii="Times New Roman" w:eastAsia="PMingLiU" w:hAnsi="Times New Roman" w:cs="Times New Roman"/>
          <w:bCs/>
          <w:color w:val="000000"/>
          <w:kern w:val="2"/>
          <w:sz w:val="24"/>
          <w:szCs w:val="24"/>
          <w:lang w:eastAsia="zh-TW"/>
        </w:rPr>
        <w:t>” (pilar yang penting untuk perekonomian yang bersifat “</w:t>
      </w:r>
      <w:r w:rsidRPr="00F855D9">
        <w:rPr>
          <w:rFonts w:ascii="Times New Roman" w:eastAsia="PMingLiU" w:hAnsi="Times New Roman" w:cs="Times New Roman"/>
          <w:bCs/>
          <w:i/>
          <w:color w:val="000000"/>
          <w:kern w:val="2"/>
          <w:sz w:val="24"/>
          <w:szCs w:val="24"/>
          <w:lang w:eastAsia="zh-TW"/>
        </w:rPr>
        <w:t>innovation-driven</w:t>
      </w:r>
      <w:r w:rsidRPr="00F855D9">
        <w:rPr>
          <w:rFonts w:ascii="Times New Roman" w:eastAsia="PMingLiU" w:hAnsi="Times New Roman" w:cs="Times New Roman"/>
          <w:bCs/>
          <w:color w:val="000000"/>
          <w:kern w:val="2"/>
          <w:sz w:val="24"/>
          <w:szCs w:val="24"/>
          <w:lang w:eastAsia="zh-TW"/>
        </w:rPr>
        <w:t>”). Pilar yang masuk dalam subindeks “</w:t>
      </w:r>
      <w:r w:rsidRPr="00F855D9">
        <w:rPr>
          <w:rFonts w:ascii="Times New Roman" w:eastAsia="PMingLiU" w:hAnsi="Times New Roman" w:cs="Times New Roman"/>
          <w:bCs/>
          <w:i/>
          <w:color w:val="000000"/>
          <w:kern w:val="2"/>
          <w:sz w:val="24"/>
          <w:szCs w:val="24"/>
          <w:lang w:eastAsia="zh-TW"/>
        </w:rPr>
        <w:t>basic requirements</w:t>
      </w:r>
      <w:r w:rsidRPr="00F855D9">
        <w:rPr>
          <w:rFonts w:ascii="Times New Roman" w:eastAsia="PMingLiU" w:hAnsi="Times New Roman" w:cs="Times New Roman"/>
          <w:bCs/>
          <w:color w:val="000000"/>
          <w:kern w:val="2"/>
          <w:sz w:val="24"/>
          <w:szCs w:val="24"/>
          <w:lang w:eastAsia="zh-TW"/>
        </w:rPr>
        <w:t>” adalah institusi, infrastruktur; makroekonomi dan kesehatan dan pendidikan dasar. Pilar yang masuk ke dalam subindeks “</w:t>
      </w:r>
      <w:r w:rsidRPr="00F855D9">
        <w:rPr>
          <w:rFonts w:ascii="Times New Roman" w:eastAsia="PMingLiU" w:hAnsi="Times New Roman" w:cs="Times New Roman"/>
          <w:bCs/>
          <w:i/>
          <w:color w:val="000000"/>
          <w:kern w:val="2"/>
          <w:sz w:val="24"/>
          <w:szCs w:val="24"/>
          <w:lang w:eastAsia="zh-TW"/>
        </w:rPr>
        <w:t>efficiency enhancers</w:t>
      </w:r>
      <w:r w:rsidRPr="00F855D9">
        <w:rPr>
          <w:rFonts w:ascii="Times New Roman" w:eastAsia="PMingLiU" w:hAnsi="Times New Roman" w:cs="Times New Roman"/>
          <w:bCs/>
          <w:color w:val="000000"/>
          <w:kern w:val="2"/>
          <w:sz w:val="24"/>
          <w:szCs w:val="24"/>
          <w:lang w:eastAsia="zh-TW"/>
        </w:rPr>
        <w:t>” yaitu pendidikan tinggi dan pelatihan,  efisiensi pasar barang, efisiensi pasar tenaga kerja, perkembangan pasar keuangan, kesiapan teknplogi dan ukuran pasar. Sementara itu, pilar yang masuk ke dalam subindeks “</w:t>
      </w:r>
      <w:r w:rsidRPr="00F855D9">
        <w:rPr>
          <w:rFonts w:ascii="Times New Roman" w:eastAsia="PMingLiU" w:hAnsi="Times New Roman" w:cs="Times New Roman"/>
          <w:bCs/>
          <w:i/>
          <w:color w:val="000000"/>
          <w:kern w:val="2"/>
          <w:sz w:val="24"/>
          <w:szCs w:val="24"/>
          <w:lang w:eastAsia="zh-TW"/>
        </w:rPr>
        <w:t>innovation and</w:t>
      </w:r>
      <w:r w:rsidRPr="00F855D9">
        <w:rPr>
          <w:rFonts w:ascii="Times New Roman" w:eastAsia="PMingLiU" w:hAnsi="Times New Roman" w:cs="Times New Roman"/>
          <w:bCs/>
          <w:color w:val="000000"/>
          <w:kern w:val="2"/>
          <w:sz w:val="24"/>
          <w:szCs w:val="24"/>
          <w:lang w:eastAsia="zh-TW"/>
        </w:rPr>
        <w:t xml:space="preserve"> </w:t>
      </w:r>
      <w:r w:rsidRPr="00F855D9">
        <w:rPr>
          <w:rFonts w:ascii="Times New Roman" w:eastAsia="PMingLiU" w:hAnsi="Times New Roman" w:cs="Times New Roman"/>
          <w:bCs/>
          <w:i/>
          <w:color w:val="000000"/>
          <w:kern w:val="2"/>
          <w:sz w:val="24"/>
          <w:szCs w:val="24"/>
          <w:lang w:eastAsia="zh-TW"/>
        </w:rPr>
        <w:t>sophistication factors</w:t>
      </w:r>
      <w:r w:rsidRPr="00F855D9">
        <w:rPr>
          <w:rFonts w:ascii="Times New Roman" w:eastAsia="PMingLiU" w:hAnsi="Times New Roman" w:cs="Times New Roman"/>
          <w:bCs/>
          <w:color w:val="000000"/>
          <w:kern w:val="2"/>
          <w:sz w:val="24"/>
          <w:szCs w:val="24"/>
          <w:lang w:eastAsia="zh-TW"/>
        </w:rPr>
        <w:t xml:space="preserve">” adalah </w:t>
      </w:r>
      <w:r w:rsidRPr="00F855D9">
        <w:rPr>
          <w:rFonts w:ascii="Times New Roman" w:eastAsia="PMingLiU" w:hAnsi="Times New Roman" w:cs="Times New Roman"/>
          <w:bCs/>
          <w:i/>
          <w:color w:val="000000"/>
          <w:kern w:val="2"/>
          <w:sz w:val="24"/>
          <w:szCs w:val="24"/>
          <w:lang w:eastAsia="zh-TW"/>
        </w:rPr>
        <w:t>business</w:t>
      </w:r>
      <w:r w:rsidRPr="00F855D9">
        <w:rPr>
          <w:rFonts w:ascii="Times New Roman" w:eastAsia="PMingLiU" w:hAnsi="Times New Roman" w:cs="Times New Roman"/>
          <w:bCs/>
          <w:color w:val="000000"/>
          <w:kern w:val="2"/>
          <w:sz w:val="24"/>
          <w:szCs w:val="24"/>
          <w:lang w:eastAsia="zh-TW"/>
        </w:rPr>
        <w:t xml:space="preserve"> </w:t>
      </w:r>
      <w:r w:rsidRPr="00F855D9">
        <w:rPr>
          <w:rFonts w:ascii="Times New Roman" w:eastAsia="PMingLiU" w:hAnsi="Times New Roman" w:cs="Times New Roman"/>
          <w:bCs/>
          <w:i/>
          <w:color w:val="000000"/>
          <w:kern w:val="2"/>
          <w:sz w:val="24"/>
          <w:szCs w:val="24"/>
          <w:lang w:eastAsia="zh-TW"/>
        </w:rPr>
        <w:t>sophistication</w:t>
      </w:r>
      <w:r w:rsidRPr="00F855D9">
        <w:rPr>
          <w:rFonts w:ascii="Times New Roman" w:eastAsia="PMingLiU" w:hAnsi="Times New Roman" w:cs="Times New Roman"/>
          <w:bCs/>
          <w:color w:val="000000"/>
          <w:kern w:val="2"/>
          <w:sz w:val="24"/>
          <w:szCs w:val="24"/>
          <w:lang w:eastAsia="zh-TW"/>
        </w:rPr>
        <w:t xml:space="preserve"> dan inovasi.</w:t>
      </w:r>
      <w:r w:rsidRPr="00F855D9">
        <w:rPr>
          <w:rFonts w:ascii="Times New Roman" w:eastAsia="PMingLiU" w:hAnsi="Times New Roman" w:cs="Times New Roman"/>
          <w:bCs/>
          <w:color w:val="000000"/>
          <w:kern w:val="2"/>
          <w:sz w:val="24"/>
          <w:szCs w:val="24"/>
          <w:vertAlign w:val="superscript"/>
          <w:lang w:eastAsia="zh-TW"/>
        </w:rPr>
        <w:footnoteReference w:id="83"/>
      </w:r>
      <w:r w:rsidRPr="00F855D9">
        <w:rPr>
          <w:rFonts w:ascii="Times New Roman" w:eastAsia="PMingLiU" w:hAnsi="Times New Roman" w:cs="Times New Roman"/>
          <w:bCs/>
          <w:color w:val="000000"/>
          <w:kern w:val="2"/>
          <w:sz w:val="24"/>
          <w:szCs w:val="24"/>
          <w:lang w:eastAsia="zh-TW"/>
        </w:rPr>
        <w:t xml:space="preserve"> </w:t>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Peningkatan secara umum disebabkan oleh kemajuan di dalam 10 dari 12 pilar yang digunakan untuk menilai indeks. Kemajuan paling pesat </w:t>
      </w:r>
      <w:r w:rsidRPr="00F855D9">
        <w:rPr>
          <w:rFonts w:ascii="Times New Roman" w:eastAsia="PMingLiU" w:hAnsi="Times New Roman" w:cs="Times New Roman"/>
          <w:bCs/>
          <w:color w:val="000000"/>
          <w:kern w:val="2"/>
          <w:sz w:val="24"/>
          <w:szCs w:val="24"/>
          <w:lang w:eastAsia="zh-TW"/>
        </w:rPr>
        <w:lastRenderedPageBreak/>
        <w:t>terjadi di pilar infrastruktur dan efisiensi pasar tenaga kerja.</w:t>
      </w:r>
      <w:r w:rsidRPr="00F855D9">
        <w:rPr>
          <w:rFonts w:ascii="Times New Roman" w:eastAsia="PMingLiU" w:hAnsi="Times New Roman" w:cs="Times New Roman"/>
          <w:bCs/>
          <w:color w:val="000000"/>
          <w:kern w:val="2"/>
          <w:sz w:val="24"/>
          <w:szCs w:val="24"/>
          <w:vertAlign w:val="superscript"/>
          <w:lang w:eastAsia="zh-TW"/>
        </w:rPr>
        <w:footnoteReference w:id="84"/>
      </w:r>
      <w:r w:rsidRPr="00F855D9">
        <w:rPr>
          <w:rFonts w:ascii="Times New Roman" w:eastAsia="PMingLiU" w:hAnsi="Times New Roman" w:cs="Times New Roman"/>
          <w:bCs/>
          <w:color w:val="000000"/>
          <w:kern w:val="2"/>
          <w:sz w:val="24"/>
          <w:szCs w:val="24"/>
          <w:lang w:eastAsia="zh-TW"/>
        </w:rPr>
        <w:t xml:space="preserve"> Kemajuan dari 10 pilar tersebut ditunjang dalam sebuah kebijakan yang telah dibuat oleh suatu pemerintah. Suatu kebijakanlah yang dapat menetukan arah perekonomian suatu negara, oleh daripada itu pemerintah Indonesia membuat beberapa kebijakan terkait persaingan perdagangan jasa di sektor konstruksi dalam rangka MEA yang akan membawa dampak baik positif maupun negatif terhadap iklim persaingan perdagangan jasa di sektor konstruksi dalam rangka MEA ini. </w:t>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Berikut adalah dampak kebijakan pemerintah Indonesia terhadap persaingan perdagangan jasa di bidang konstruksi dalam rangka MEA yang ditemukan oleh penulis, sebagai berikut :</w:t>
      </w:r>
    </w:p>
    <w:p w:rsidR="00F855D9" w:rsidRPr="00F855D9" w:rsidRDefault="00F855D9" w:rsidP="003D7355">
      <w:pPr>
        <w:widowControl w:val="0"/>
        <w:numPr>
          <w:ilvl w:val="2"/>
          <w:numId w:val="95"/>
        </w:numPr>
        <w:spacing w:after="0" w:line="480" w:lineRule="auto"/>
        <w:ind w:left="156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Akibat masih diterapkannya undang – undang nomor 18 tahun 1999 tentang jasa konstruksi, pengembangan teknologi yang digunakan sebagai standar keselamatan dan keamanan dalam pekerjaan konstruksi belum diatur oleh pemerintah Indonesia, sedangkan beberapa negara anggota ASEAN lainnya sudah menerapkan pengembangan teknologi dalam peraturan konstruksi mereka. Hal ini membuat daya saing jasa sektor konstruksi di Indonesia pada awal tahun 2016 cukup melemah.</w:t>
      </w:r>
    </w:p>
    <w:p w:rsidR="00F855D9" w:rsidRPr="00F855D9" w:rsidRDefault="00F855D9" w:rsidP="003D7355">
      <w:pPr>
        <w:widowControl w:val="0"/>
        <w:numPr>
          <w:ilvl w:val="2"/>
          <w:numId w:val="95"/>
        </w:numPr>
        <w:spacing w:after="0" w:line="480" w:lineRule="auto"/>
        <w:ind w:left="156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Pelaku usaha dalam negeri maupun luar negeri yang memiliki sertifikasi sebagai penilai ahli pekerjaan konstruksi tidak dapat beroprasi di Indonesia karena tidak ada jenis bidang pekerjaan tersebut di Indonesia. Sedangkan di beberapa negara ASEAN </w:t>
      </w:r>
      <w:r w:rsidRPr="00F855D9">
        <w:rPr>
          <w:rFonts w:ascii="Times New Roman" w:eastAsia="PMingLiU" w:hAnsi="Times New Roman" w:cs="Times New Roman"/>
          <w:bCs/>
          <w:color w:val="000000"/>
          <w:kern w:val="2"/>
          <w:sz w:val="24"/>
          <w:szCs w:val="24"/>
          <w:lang w:eastAsia="zh-TW"/>
        </w:rPr>
        <w:lastRenderedPageBreak/>
        <w:t>penilai ahli bersertifikasi merupakan salah satu jenis bidang pekerjaan konstruksi yang ikut dalam perdagangan di sektor jasa konstruksi.</w:t>
      </w:r>
    </w:p>
    <w:p w:rsidR="00F855D9" w:rsidRPr="00F855D9" w:rsidRDefault="00F855D9" w:rsidP="003D7355">
      <w:pPr>
        <w:widowControl w:val="0"/>
        <w:numPr>
          <w:ilvl w:val="2"/>
          <w:numId w:val="95"/>
        </w:numPr>
        <w:spacing w:after="0" w:line="480" w:lineRule="auto"/>
        <w:ind w:left="156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Standarisasi tenaga ahli maupun insinyur yang dikeluarkan oleh pemerintah Indonesia dianggap masih belum cukup mampu bersaing dengan standarisasi dari negara anggota MEA lainnya. Standarisasi yang masih belum mendekati standar</w:t>
      </w:r>
      <w:r w:rsidRPr="00F855D9">
        <w:rPr>
          <w:rFonts w:ascii="Times New Roman" w:eastAsia="PMingLiU" w:hAnsi="Times New Roman" w:cs="Times New Roman"/>
          <w:bCs/>
          <w:i/>
          <w:color w:val="000000"/>
          <w:kern w:val="2"/>
          <w:sz w:val="24"/>
          <w:szCs w:val="24"/>
          <w:lang w:eastAsia="zh-TW"/>
        </w:rPr>
        <w:t xml:space="preserve"> mutual recognition</w:t>
      </w:r>
      <w:r w:rsidRPr="00F855D9">
        <w:rPr>
          <w:rFonts w:ascii="Times New Roman" w:eastAsia="PMingLiU" w:hAnsi="Times New Roman" w:cs="Times New Roman"/>
          <w:bCs/>
          <w:color w:val="000000"/>
          <w:kern w:val="2"/>
          <w:sz w:val="24"/>
          <w:szCs w:val="24"/>
          <w:lang w:eastAsia="zh-TW"/>
        </w:rPr>
        <w:t xml:space="preserve"> </w:t>
      </w:r>
      <w:r w:rsidRPr="00F855D9">
        <w:rPr>
          <w:rFonts w:ascii="Times New Roman" w:eastAsia="PMingLiU" w:hAnsi="Times New Roman" w:cs="Times New Roman"/>
          <w:bCs/>
          <w:i/>
          <w:color w:val="000000"/>
          <w:kern w:val="2"/>
          <w:sz w:val="24"/>
          <w:szCs w:val="24"/>
          <w:lang w:eastAsia="zh-TW"/>
        </w:rPr>
        <w:t>arrangements</w:t>
      </w:r>
      <w:r w:rsidRPr="00F855D9">
        <w:rPr>
          <w:rFonts w:ascii="Times New Roman" w:eastAsia="PMingLiU" w:hAnsi="Times New Roman" w:cs="Times New Roman"/>
          <w:bCs/>
          <w:color w:val="000000"/>
          <w:kern w:val="2"/>
          <w:sz w:val="24"/>
          <w:szCs w:val="24"/>
          <w:lang w:eastAsia="zh-TW"/>
        </w:rPr>
        <w:t xml:space="preserve"> membuat tenaga kerja Indonesia kurang diminati meskipun jumlah tenaga kerja Indonesia baik itu insinyur, arsitek maupun tenaga ahli paling banyak daripada negara anggota ASEAN lainnya.</w:t>
      </w:r>
    </w:p>
    <w:p w:rsidR="00F855D9" w:rsidRPr="00F855D9" w:rsidRDefault="00F855D9" w:rsidP="003D7355">
      <w:pPr>
        <w:widowControl w:val="0"/>
        <w:numPr>
          <w:ilvl w:val="2"/>
          <w:numId w:val="95"/>
        </w:numPr>
        <w:spacing w:after="0" w:line="480" w:lineRule="auto"/>
        <w:ind w:left="156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Terbatasnya kepemilikan modal asing </w:t>
      </w:r>
      <w:r w:rsidRPr="00F855D9">
        <w:rPr>
          <w:rFonts w:ascii="Times New Roman" w:eastAsia="PMingLiU" w:hAnsi="Times New Roman" w:cs="Times New Roman"/>
          <w:bCs/>
          <w:i/>
          <w:color w:val="000000"/>
          <w:kern w:val="2"/>
          <w:sz w:val="24"/>
          <w:szCs w:val="24"/>
          <w:lang w:eastAsia="zh-TW"/>
        </w:rPr>
        <w:t>foreign equity operation</w:t>
      </w:r>
      <w:r w:rsidRPr="00F855D9">
        <w:rPr>
          <w:rFonts w:ascii="Times New Roman" w:eastAsia="PMingLiU" w:hAnsi="Times New Roman" w:cs="Times New Roman"/>
          <w:bCs/>
          <w:color w:val="000000"/>
          <w:kern w:val="2"/>
          <w:sz w:val="24"/>
          <w:szCs w:val="24"/>
          <w:lang w:eastAsia="zh-TW"/>
        </w:rPr>
        <w:t xml:space="preserve"> (FEP) di Indonesia yang hanya 55 % dalam bentuk perusahaan terbatas dan dalam bentuk joint operation. Sedangkan kepemilikan modal asing dalam perjanjian AFAS adalah 70% sehingga pada era MEA 2016 kedudukan investasi Indonesia sangat lemah dibandingkan negara Vietnam dan Thailand yang memiliki index GDP yang hampir sama dengan Indonesia.</w:t>
      </w:r>
    </w:p>
    <w:p w:rsidR="00F855D9" w:rsidRPr="00F855D9" w:rsidRDefault="00F855D9" w:rsidP="003D7355">
      <w:pPr>
        <w:widowControl w:val="0"/>
        <w:numPr>
          <w:ilvl w:val="2"/>
          <w:numId w:val="95"/>
        </w:numPr>
        <w:spacing w:after="0" w:line="480" w:lineRule="auto"/>
        <w:ind w:left="156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Banyaknya tenaga kerja konstruksi asing yang masuk ke Indonesia.</w:t>
      </w:r>
    </w:p>
    <w:p w:rsidR="00F855D9" w:rsidRPr="00F855D9" w:rsidRDefault="00F855D9" w:rsidP="003D7355">
      <w:pPr>
        <w:widowControl w:val="0"/>
        <w:numPr>
          <w:ilvl w:val="2"/>
          <w:numId w:val="95"/>
        </w:numPr>
        <w:spacing w:after="0" w:line="480" w:lineRule="auto"/>
        <w:ind w:left="156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Pelaku usaha dari Indonesia lebih banyak melakukan kegiatan perdagangan jasa di beberapa negara ASEAN dikarenakan adanya kemudahan dari pemerintah Indonesia terkait ketentuan kualifikasi yang lebih terarah dalam lelang pekerjaan di berbagai </w:t>
      </w:r>
      <w:r w:rsidRPr="00F855D9">
        <w:rPr>
          <w:rFonts w:ascii="Times New Roman" w:eastAsia="PMingLiU" w:hAnsi="Times New Roman" w:cs="Times New Roman"/>
          <w:bCs/>
          <w:color w:val="000000"/>
          <w:kern w:val="2"/>
          <w:sz w:val="24"/>
          <w:szCs w:val="24"/>
          <w:lang w:eastAsia="zh-TW"/>
        </w:rPr>
        <w:lastRenderedPageBreak/>
        <w:t>negara anggota ASEAN.</w:t>
      </w:r>
    </w:p>
    <w:p w:rsidR="00F855D9" w:rsidRPr="00F855D9" w:rsidRDefault="00F855D9" w:rsidP="003D7355">
      <w:pPr>
        <w:widowControl w:val="0"/>
        <w:numPr>
          <w:ilvl w:val="2"/>
          <w:numId w:val="95"/>
        </w:numPr>
        <w:spacing w:after="0" w:line="480" w:lineRule="auto"/>
        <w:ind w:left="156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Akibat adanya kebijakan kerja sama antar Indonesia – Malaysia terkait pelatihan kerja tenaga ahli, banyak tenaga ahli Indonesia yang telah memiliki sertifikat keahlian yang sesuai dengan bidang kualifikasi pekerjaan konstruksi yang kini diperdagangkan.</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Jasa Konstruksi merupakan bidang usaha yang banyak diminati oleh anggota masyarakat di berbagai tingkatan sebagaimana terlihat dari makin besarnya jumlah perusahaan yang bergerak di bidang usaha jasa konstruksi. Peningkatan jumlah perusahaan ini ternyata belum diikuti dengan peningkatan kualifikasi dan kinerjanya, yang tercermin pada mutu produk, ketepatan waktu pelaksanaan, efisiensi pemanfaatan sumber daya manusia, modal, dan teknologi dalam penyelenggaraan Jasa Konstruksi belum sebagaimana yang diharapkan. Hal ini disebabkan karena persyaratan usaha serta persyaratan keahlian dan keterampilan belum diarahkan untuk mewujudkan keandalan usaha yang profesional. Dengan tingkat kualifikasi dan kinerja tersebut, pada umumnya pangsa pasar pekerjaan konstruksi yang berteknologi tinggi belum sepenuhnya dapat dikuasai oleh usaha jasa konstruksi nasional. Selain itu, adanya kegagalan pekerjaan konstruksi dan kegagalan bangunan fisik konstruksi sebagai hasil pekerjaan konstruksi membawa banyak kerugian baik materiil maupun immateriil. Oleh karenanya, sektor jasa konstruksi harus segera berbenah diri terutama pada pemenuhan standar keselamatan dan keamanan konstruksi melalui perencanaan yang andal serta standar pelaksanaan dan pengawasan yang berkualitas terhadap penyelenggaraan </w:t>
      </w:r>
      <w:r w:rsidRPr="00F855D9">
        <w:rPr>
          <w:rFonts w:ascii="Times New Roman" w:eastAsia="PMingLiU" w:hAnsi="Times New Roman" w:cs="Times New Roman"/>
          <w:bCs/>
          <w:color w:val="000000"/>
          <w:kern w:val="2"/>
          <w:sz w:val="24"/>
          <w:szCs w:val="24"/>
          <w:lang w:eastAsia="zh-TW"/>
        </w:rPr>
        <w:lastRenderedPageBreak/>
        <w:t>pekerjaan konstruksi.</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Insinyur perencana struktur (</w:t>
      </w:r>
      <w:r w:rsidRPr="00F855D9">
        <w:rPr>
          <w:rFonts w:ascii="Times New Roman" w:eastAsia="PMingLiU" w:hAnsi="Times New Roman" w:cs="Times New Roman"/>
          <w:bCs/>
          <w:i/>
          <w:color w:val="000000"/>
          <w:kern w:val="2"/>
          <w:sz w:val="24"/>
          <w:szCs w:val="24"/>
          <w:lang w:eastAsia="zh-TW"/>
        </w:rPr>
        <w:t>structural engineer</w:t>
      </w:r>
      <w:r w:rsidRPr="00F855D9">
        <w:rPr>
          <w:rFonts w:ascii="Times New Roman" w:eastAsia="PMingLiU" w:hAnsi="Times New Roman" w:cs="Times New Roman"/>
          <w:bCs/>
          <w:color w:val="000000"/>
          <w:kern w:val="2"/>
          <w:sz w:val="24"/>
          <w:szCs w:val="24"/>
          <w:lang w:eastAsia="zh-TW"/>
        </w:rPr>
        <w:t>) dan pelaksana (</w:t>
      </w:r>
      <w:r w:rsidRPr="00F855D9">
        <w:rPr>
          <w:rFonts w:ascii="Times New Roman" w:eastAsia="PMingLiU" w:hAnsi="Times New Roman" w:cs="Times New Roman"/>
          <w:bCs/>
          <w:i/>
          <w:color w:val="000000"/>
          <w:kern w:val="2"/>
          <w:sz w:val="24"/>
          <w:szCs w:val="24"/>
          <w:lang w:eastAsia="zh-TW"/>
        </w:rPr>
        <w:t>site engineer</w:t>
      </w:r>
      <w:r w:rsidRPr="00F855D9">
        <w:rPr>
          <w:rFonts w:ascii="Times New Roman" w:eastAsia="PMingLiU" w:hAnsi="Times New Roman" w:cs="Times New Roman"/>
          <w:bCs/>
          <w:color w:val="000000"/>
          <w:kern w:val="2"/>
          <w:sz w:val="24"/>
          <w:szCs w:val="24"/>
          <w:lang w:eastAsia="zh-TW"/>
        </w:rPr>
        <w:t>) umumnya fokus agar hasil kerjanya yaitu bangunan yang dikerjakan dapat memenuhi persyaratan teknis yang berlaku, orang menyebutnya kuat (</w:t>
      </w:r>
      <w:r w:rsidRPr="00F855D9">
        <w:rPr>
          <w:rFonts w:ascii="Times New Roman" w:eastAsia="PMingLiU" w:hAnsi="Times New Roman" w:cs="Times New Roman"/>
          <w:bCs/>
          <w:i/>
          <w:color w:val="000000"/>
          <w:kern w:val="2"/>
          <w:sz w:val="24"/>
          <w:szCs w:val="24"/>
          <w:lang w:eastAsia="zh-TW"/>
        </w:rPr>
        <w:t>strength</w:t>
      </w:r>
      <w:r w:rsidRPr="00F855D9">
        <w:rPr>
          <w:rFonts w:ascii="Times New Roman" w:eastAsia="PMingLiU" w:hAnsi="Times New Roman" w:cs="Times New Roman"/>
          <w:bCs/>
          <w:color w:val="000000"/>
          <w:kern w:val="2"/>
          <w:sz w:val="24"/>
          <w:szCs w:val="24"/>
          <w:lang w:eastAsia="zh-TW"/>
        </w:rPr>
        <w:t>) dan kaku (</w:t>
      </w:r>
      <w:r w:rsidRPr="00F855D9">
        <w:rPr>
          <w:rFonts w:ascii="Times New Roman" w:eastAsia="PMingLiU" w:hAnsi="Times New Roman" w:cs="Times New Roman"/>
          <w:bCs/>
          <w:i/>
          <w:color w:val="000000"/>
          <w:kern w:val="2"/>
          <w:sz w:val="24"/>
          <w:szCs w:val="24"/>
          <w:lang w:eastAsia="zh-TW"/>
        </w:rPr>
        <w:t>stiff</w:t>
      </w:r>
      <w:r w:rsidRPr="00F855D9">
        <w:rPr>
          <w:rFonts w:ascii="Times New Roman" w:eastAsia="PMingLiU" w:hAnsi="Times New Roman" w:cs="Times New Roman"/>
          <w:bCs/>
          <w:color w:val="000000"/>
          <w:kern w:val="2"/>
          <w:sz w:val="24"/>
          <w:szCs w:val="24"/>
          <w:lang w:eastAsia="zh-TW"/>
        </w:rPr>
        <w:t xml:space="preserve">). Dengan demikian pada saat berfungsinya, bangunan tersebut dapat menjamin keselamatan pemakainya. Sebagian besar, prosentasi pembelajaran di perguruan tinggi adalah untuk menghasilkan bangunan (struktur) yang dapat menjamin keselamatan pemakai dalam jangka pendek maupun jangka panjang. Pengembangan teknologi akan keselamatan tersebut belum diatur secara jelas dalam undang – undang nomor 18 tahun 1999 tentang jasa konstruksi oleh pemerintah Indonesia, sedangkan negara seperti Singapura, Malaysia dan Thailand sudah menerapkan pemgembangan teknologi berbasis keselamatan dalam regulasi mereka. Pengaturan regulasi ini sangatlah diperlukan oleh Indonesia untuk menjamin para pelaku usaha dalam sektor konstruksi dapat menerapkan pengembangan teknologi demi keselamatan tenaga kerjanya. Konstruksi adalah salah satu pekerjaan yang paling berbahaya di dunia, menghasilkan tingkat kematian yang paling banyak di antara sektor lainnya. Risiko jatuh adalah penyebab kecelakaan tertinggi. Selain standarisasi bangunan yang harus aman, penggunaan peralatan keselamatan yang memadai seperti </w:t>
      </w:r>
      <w:r w:rsidRPr="00F855D9">
        <w:rPr>
          <w:rFonts w:ascii="Times New Roman" w:eastAsia="PMingLiU" w:hAnsi="Times New Roman" w:cs="Times New Roman"/>
          <w:bCs/>
          <w:i/>
          <w:color w:val="000000"/>
          <w:kern w:val="2"/>
          <w:sz w:val="24"/>
          <w:szCs w:val="24"/>
          <w:lang w:eastAsia="zh-TW"/>
        </w:rPr>
        <w:t>guardrail</w:t>
      </w:r>
      <w:r w:rsidRPr="00F855D9">
        <w:rPr>
          <w:rFonts w:ascii="Times New Roman" w:eastAsia="PMingLiU" w:hAnsi="Times New Roman" w:cs="Times New Roman"/>
          <w:bCs/>
          <w:color w:val="000000"/>
          <w:kern w:val="2"/>
          <w:sz w:val="24"/>
          <w:szCs w:val="24"/>
          <w:lang w:eastAsia="zh-TW"/>
        </w:rPr>
        <w:t xml:space="preserve"> dan helm, serta pelaksaan prosedur pengamanan seperti pemeriksaan tangga non-permanen dan </w:t>
      </w:r>
      <w:r w:rsidRPr="00F855D9">
        <w:rPr>
          <w:rFonts w:ascii="Times New Roman" w:eastAsia="PMingLiU" w:hAnsi="Times New Roman" w:cs="Times New Roman"/>
          <w:bCs/>
          <w:i/>
          <w:color w:val="000000"/>
          <w:kern w:val="2"/>
          <w:sz w:val="24"/>
          <w:szCs w:val="24"/>
          <w:lang w:eastAsia="zh-TW"/>
        </w:rPr>
        <w:t>scaffolding</w:t>
      </w:r>
      <w:r w:rsidRPr="00F855D9">
        <w:rPr>
          <w:rFonts w:ascii="Times New Roman" w:eastAsia="PMingLiU" w:hAnsi="Times New Roman" w:cs="Times New Roman"/>
          <w:bCs/>
          <w:color w:val="000000"/>
          <w:kern w:val="2"/>
          <w:sz w:val="24"/>
          <w:szCs w:val="24"/>
          <w:lang w:eastAsia="zh-TW"/>
        </w:rPr>
        <w:t xml:space="preserve"> mampu mengurangi risiko kecelakaan kerja. Tahun 2010, </w:t>
      </w:r>
      <w:r w:rsidRPr="00F855D9">
        <w:rPr>
          <w:rFonts w:ascii="Times New Roman" w:eastAsia="PMingLiU" w:hAnsi="Times New Roman" w:cs="Times New Roman"/>
          <w:bCs/>
          <w:i/>
          <w:color w:val="000000"/>
          <w:kern w:val="2"/>
          <w:sz w:val="24"/>
          <w:szCs w:val="24"/>
          <w:lang w:eastAsia="zh-TW"/>
        </w:rPr>
        <w:t xml:space="preserve">National Health Interview Survey </w:t>
      </w:r>
      <w:r w:rsidRPr="00F855D9">
        <w:rPr>
          <w:rFonts w:ascii="Times New Roman" w:eastAsia="PMingLiU" w:hAnsi="Times New Roman" w:cs="Times New Roman"/>
          <w:bCs/>
          <w:color w:val="000000"/>
          <w:kern w:val="2"/>
          <w:sz w:val="24"/>
          <w:szCs w:val="24"/>
          <w:lang w:eastAsia="zh-TW"/>
        </w:rPr>
        <w:t xml:space="preserve">mengidentifikasi faktor organisasi kerja </w:t>
      </w:r>
      <w:r w:rsidRPr="00F855D9">
        <w:rPr>
          <w:rFonts w:ascii="Times New Roman" w:eastAsia="PMingLiU" w:hAnsi="Times New Roman" w:cs="Times New Roman"/>
          <w:bCs/>
          <w:color w:val="000000"/>
          <w:kern w:val="2"/>
          <w:sz w:val="24"/>
          <w:szCs w:val="24"/>
          <w:lang w:eastAsia="zh-TW"/>
        </w:rPr>
        <w:lastRenderedPageBreak/>
        <w:t>dan psikososial dan paparan kimiawi/fisik pekerjaan yang mampu meningkatkan beberapa risiko dalam K3. Di antara semua pekerja kontruksi di ASEAN, 44% tidak memiliki standar pengaturan kerja, sementara pekerja di sektor lainnya hanya 19%. Selain itu 55% pekerja konstruksi memiliki pengalaman ketidakamanan dalam bekerja, dibandingkan 32% pekerja di sektor lainnya. 24% pekerja konstruksi terpapar asap yang bukan pekerjaannya, dibandingkan 10% pekerja di sektor lainnya.</w:t>
      </w:r>
      <w:r w:rsidRPr="00F855D9">
        <w:rPr>
          <w:rFonts w:ascii="Times New Roman" w:eastAsia="PMingLiU" w:hAnsi="Times New Roman" w:cs="Times New Roman"/>
          <w:bCs/>
          <w:color w:val="000000"/>
          <w:kern w:val="2"/>
          <w:sz w:val="24"/>
          <w:szCs w:val="24"/>
          <w:vertAlign w:val="superscript"/>
          <w:lang w:eastAsia="zh-TW"/>
        </w:rPr>
        <w:footnoteReference w:id="85"/>
      </w:r>
      <w:r w:rsidRPr="00F855D9">
        <w:rPr>
          <w:rFonts w:ascii="Times New Roman" w:eastAsia="PMingLiU" w:hAnsi="Times New Roman" w:cs="Times New Roman"/>
          <w:bCs/>
          <w:color w:val="000000"/>
          <w:kern w:val="2"/>
          <w:sz w:val="24"/>
          <w:szCs w:val="24"/>
          <w:lang w:eastAsia="zh-TW"/>
        </w:rPr>
        <w:t xml:space="preserve"> Pengembangan teknologi dari keselamatan dan keamanan konstruksi merupakan salah satu indokator kepercayaan terhadap pelaku usaha konstruksi Indonesia yang merupakan standarisari yang menjadi penentu kualitas dari pelaku usaha sektor konstruksi sehingga membuat pelaku usaha tersebut dapat bersaing dengan palaku usa</w:t>
      </w:r>
      <w:r w:rsidR="00967E1A">
        <w:rPr>
          <w:rFonts w:ascii="Times New Roman" w:eastAsia="PMingLiU" w:hAnsi="Times New Roman" w:cs="Times New Roman"/>
          <w:bCs/>
          <w:color w:val="000000"/>
          <w:kern w:val="2"/>
          <w:sz w:val="24"/>
          <w:szCs w:val="24"/>
          <w:lang w:eastAsia="zh-TW"/>
        </w:rPr>
        <w:t>ha lainnya yang sudah mempunyai</w:t>
      </w:r>
      <w:r w:rsidRPr="00F855D9">
        <w:rPr>
          <w:rFonts w:ascii="Times New Roman" w:eastAsia="PMingLiU" w:hAnsi="Times New Roman" w:cs="Times New Roman"/>
          <w:bCs/>
          <w:color w:val="000000"/>
          <w:kern w:val="2"/>
          <w:sz w:val="24"/>
          <w:szCs w:val="24"/>
          <w:lang w:eastAsia="zh-TW"/>
        </w:rPr>
        <w:t xml:space="preserve"> standar yang sama.</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Penilai ahli adalah penilai ahli di bidang konstruksi. Penetapan kegagalan oleh pihak ketiga selaku penilai ahli dimaksudkan untuk menjaga objektivitas dalam penilaian dan penetapan suatu kegagalan.</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Penilai ahli terdiri dari orang perseorangan, atau kelompok orang atau lembaga. Tugas dari penilai ahli adalah menetapkan sebab-sebab terjadinya kegagalan pekerjaan konstruksi dan kegagalan bangunan,</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menetapkan tidak berfungsinya sebagian atau keseluruhan bangunan,</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menetapkan pihak yang bertanggung jawab atas kegagalan bangunan serta tingkat dan sifat kesalahan yang dilakukan,</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 xml:space="preserve">menetapkan besarnya kerugian, serta usulan besarnya ganti kerugian yang harus dibayar oleh </w:t>
      </w:r>
      <w:r w:rsidRPr="00F855D9">
        <w:rPr>
          <w:rFonts w:ascii="Times New Roman" w:eastAsia="PMingLiU" w:hAnsi="Times New Roman" w:cs="Times New Roman"/>
          <w:bCs/>
          <w:color w:val="000000"/>
          <w:kern w:val="2"/>
          <w:sz w:val="24"/>
          <w:szCs w:val="24"/>
          <w:lang w:eastAsia="zh-TW"/>
        </w:rPr>
        <w:lastRenderedPageBreak/>
        <w:t>pihak atau pihak-pihak yang melakukan kesalahan dan  menetapkan jangka waktu pembayaran kerugian. Jenis bidang usaha jasa konstruksi sebenarnya bukanlah jenis usaha yang baru. Singapura merupakan negara dengan penilai ahli terbanyak di ASEAN dan kualitas penilai ahli Singapura sudah diakui dunia. Indonesia sendiri cukup tertinggal dalam membuka jenis bidang usaha ini. Potensi yang menjanjikan dari jenis bidang usaha penilai ahli belum mendapatkan perhatian dari pemerintah Indonesia, padahal apabila bidang usaha tersebut dibuka dengan jumlah penduduk Indonesia yang pali</w:t>
      </w:r>
      <w:r w:rsidR="00967E1A">
        <w:rPr>
          <w:rFonts w:ascii="Times New Roman" w:eastAsia="PMingLiU" w:hAnsi="Times New Roman" w:cs="Times New Roman"/>
          <w:bCs/>
          <w:color w:val="000000"/>
          <w:kern w:val="2"/>
          <w:sz w:val="24"/>
          <w:szCs w:val="24"/>
          <w:lang w:eastAsia="zh-TW"/>
        </w:rPr>
        <w:t>ng banyak di ASEAN akan membuak</w:t>
      </w:r>
      <w:r w:rsidRPr="00F855D9">
        <w:rPr>
          <w:rFonts w:ascii="Times New Roman" w:eastAsia="PMingLiU" w:hAnsi="Times New Roman" w:cs="Times New Roman"/>
          <w:bCs/>
          <w:color w:val="000000"/>
          <w:kern w:val="2"/>
          <w:sz w:val="24"/>
          <w:szCs w:val="24"/>
          <w:lang w:eastAsia="zh-TW"/>
        </w:rPr>
        <w:t xml:space="preserve"> lapangan pekerjaan yang lebih luas dalam bidang jasa konstruksi.</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Standarisasi tenaga ahli maupun insinyur yang dikeluarkan oleh pemerintah Indonesia belum cukup mampu bersaing dengan standarisasi dari negara anggota MEA lainnya. Standarisasi yang masih belum mendekati standar </w:t>
      </w:r>
      <w:r w:rsidRPr="00F855D9">
        <w:rPr>
          <w:rFonts w:ascii="Times New Roman" w:eastAsia="PMingLiU" w:hAnsi="Times New Roman" w:cs="Times New Roman"/>
          <w:bCs/>
          <w:i/>
          <w:color w:val="000000"/>
          <w:kern w:val="2"/>
          <w:sz w:val="24"/>
          <w:szCs w:val="24"/>
          <w:lang w:eastAsia="zh-TW"/>
        </w:rPr>
        <w:t>mutual recognition arrangements</w:t>
      </w:r>
      <w:r w:rsidRPr="00F855D9">
        <w:rPr>
          <w:rFonts w:ascii="Times New Roman" w:eastAsia="PMingLiU" w:hAnsi="Times New Roman" w:cs="Times New Roman"/>
          <w:bCs/>
          <w:color w:val="000000"/>
          <w:kern w:val="2"/>
          <w:sz w:val="24"/>
          <w:szCs w:val="24"/>
          <w:lang w:eastAsia="zh-TW"/>
        </w:rPr>
        <w:t xml:space="preserve"> membuat tenaga kerja Indonesia kurang diminati meskipun jumlah tenaga kerja Indonesia baik itu insinyur, arsitek maupun tenaga ahli paling banyak daripada negara anggota ASEAN lainnya. Sumber daya manusia merupakan faktor penting dalam pembangunan sektor jasa, termasuk sektor jasa konstruksi. Penciptaan SDM yang siap kerja yang berkualitas dan dapat memenuhi tantangan pasar jasa konstruksi merupakan program jangka panjang yang perlu disiapkan sejak dini. Kesadaran akan pentingnya untuk meningkatkan kapasitas melalui pelatihan dan sertifikasi kompetensi perlu dibangun. Berdasarkan Peraturan Presiden Nomor 8 Tahun 2012 tentang Kerangka Kualifikasi Nasional Indonesia (KKNI), setifikasi kompetensi </w:t>
      </w:r>
      <w:r w:rsidRPr="00F855D9">
        <w:rPr>
          <w:rFonts w:ascii="Times New Roman" w:eastAsia="PMingLiU" w:hAnsi="Times New Roman" w:cs="Times New Roman"/>
          <w:bCs/>
          <w:color w:val="000000"/>
          <w:kern w:val="2"/>
          <w:sz w:val="24"/>
          <w:szCs w:val="24"/>
          <w:lang w:eastAsia="zh-TW"/>
        </w:rPr>
        <w:lastRenderedPageBreak/>
        <w:t>merupakan bukti tertulis yang diterbitkan oleh lembaga sertifikasi profesi terakreditasi yang menerangkan bahwa seseorang telah menguasai kompetensi kerja tertentu sesuai dengan Standar Kompetensi Kerja Nasional Indonesia (SKKNI).</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Sertifikasi kompetensi memberikan beberapa keuntungan bagi tenaga kerja konstruksi yaitu :</w:t>
      </w:r>
      <w:r w:rsidRPr="00F855D9">
        <w:rPr>
          <w:rFonts w:ascii="Times New Roman" w:eastAsia="PMingLiU" w:hAnsi="Times New Roman" w:cs="Times New Roman"/>
          <w:bCs/>
          <w:color w:val="000000"/>
          <w:kern w:val="2"/>
          <w:sz w:val="24"/>
          <w:szCs w:val="24"/>
          <w:vertAlign w:val="superscript"/>
          <w:lang w:eastAsia="zh-TW"/>
        </w:rPr>
        <w:footnoteReference w:id="86"/>
      </w:r>
    </w:p>
    <w:p w:rsidR="00F855D9" w:rsidRPr="00F855D9" w:rsidRDefault="00F855D9" w:rsidP="003D7355">
      <w:pPr>
        <w:widowControl w:val="0"/>
        <w:numPr>
          <w:ilvl w:val="0"/>
          <w:numId w:val="87"/>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Membantu tenaga profesi meyakinkan kepada organisasi/industri/kliennya bahwa dirinya kompeten dalam bekerja atau menghasilkan produk atau jasa dan meningkatkan percaya diri tenaga profesi.</w:t>
      </w:r>
    </w:p>
    <w:p w:rsidR="00F855D9" w:rsidRPr="00F855D9" w:rsidRDefault="00F855D9" w:rsidP="003D7355">
      <w:pPr>
        <w:widowControl w:val="0"/>
        <w:numPr>
          <w:ilvl w:val="0"/>
          <w:numId w:val="87"/>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Membantu tenaga profesi dalam merencanakan karirnya dan mengukur tingkat pencapaian kompetensi dalam proses belajar di lembaga formal maupun secara mandiri.</w:t>
      </w:r>
    </w:p>
    <w:p w:rsidR="00F855D9" w:rsidRPr="00F855D9" w:rsidRDefault="00F855D9" w:rsidP="003D7355">
      <w:pPr>
        <w:widowControl w:val="0"/>
        <w:numPr>
          <w:ilvl w:val="0"/>
          <w:numId w:val="87"/>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Membantu tenaga profesi dalam memenuhi persyaratan regulasi.</w:t>
      </w:r>
    </w:p>
    <w:p w:rsidR="00F855D9" w:rsidRPr="00F855D9" w:rsidRDefault="00F855D9" w:rsidP="003D7355">
      <w:pPr>
        <w:widowControl w:val="0"/>
        <w:numPr>
          <w:ilvl w:val="0"/>
          <w:numId w:val="87"/>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Membantu pengakuan kompetensi lintas sektor dan lintas negara</w:t>
      </w:r>
    </w:p>
    <w:p w:rsidR="00F855D9" w:rsidRPr="00F855D9" w:rsidRDefault="00F855D9" w:rsidP="003D7355">
      <w:pPr>
        <w:widowControl w:val="0"/>
        <w:numPr>
          <w:ilvl w:val="0"/>
          <w:numId w:val="87"/>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Membantu tenaga profesi dalam promosi profesinya dipasar tenaga kerja.</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Lembaga Pengembangan Jasa Konstruksi (LPJK) baik di tingkat nasional maupun daerah, memainkan peran penting dalam pengembangan tenaga kerja industri konstruksi melalui pelaksanaan fungsi akreditasi asosiasi profesi dan institusi pendidikan dan pelatihan (diklat), serta registrasi tenaga kerja. Semua pekerja industri konstruksi harus mempunyai sertifikat tenaga kerja yang dikeluarkan oleh asosiasi profesi atau institusi diklat, dan kemudian wajib melakukan registrasi di LPJK.</w:t>
      </w:r>
      <w:r w:rsidRPr="00F855D9">
        <w:rPr>
          <w:rFonts w:ascii="Times New Roman" w:eastAsia="PMingLiU" w:hAnsi="Times New Roman" w:cs="Times New Roman"/>
          <w:bCs/>
          <w:color w:val="000000"/>
          <w:kern w:val="2"/>
          <w:sz w:val="24"/>
          <w:szCs w:val="24"/>
          <w:vertAlign w:val="superscript"/>
          <w:lang w:eastAsia="zh-TW"/>
        </w:rPr>
        <w:footnoteReference w:id="87"/>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 xml:space="preserve">Sertifikasi adalah proses penilaian untuk mendapatkan pengakuan atas kompetensi dan kemampuan dari seseorang, untuk memenuhi persyaratan </w:t>
      </w:r>
      <w:r w:rsidRPr="00F855D9">
        <w:rPr>
          <w:rFonts w:ascii="Times New Roman" w:eastAsia="PMingLiU" w:hAnsi="Times New Roman" w:cs="Times New Roman"/>
          <w:bCs/>
          <w:color w:val="000000"/>
          <w:kern w:val="2"/>
          <w:sz w:val="24"/>
          <w:szCs w:val="24"/>
          <w:lang w:eastAsia="zh-TW"/>
        </w:rPr>
        <w:lastRenderedPageBreak/>
        <w:t>perundang-undangan melalui uji kompetensi.</w:t>
      </w:r>
      <w:r w:rsidRPr="00F855D9">
        <w:rPr>
          <w:rFonts w:ascii="Times New Roman" w:eastAsia="PMingLiU" w:hAnsi="Times New Roman" w:cs="Times New Roman"/>
          <w:bCs/>
          <w:color w:val="000000"/>
          <w:kern w:val="2"/>
          <w:sz w:val="24"/>
          <w:szCs w:val="24"/>
          <w:vertAlign w:val="superscript"/>
          <w:lang w:eastAsia="zh-TW"/>
        </w:rPr>
        <w:footnoteReference w:id="88"/>
      </w:r>
      <w:r w:rsidRPr="00F855D9">
        <w:rPr>
          <w:rFonts w:ascii="Times New Roman" w:eastAsia="PMingLiU" w:hAnsi="Times New Roman" w:cs="Times New Roman"/>
          <w:bCs/>
          <w:color w:val="000000"/>
          <w:kern w:val="2"/>
          <w:sz w:val="24"/>
          <w:szCs w:val="24"/>
          <w:lang w:eastAsia="zh-TW"/>
        </w:rPr>
        <w:t xml:space="preserve">  Kompetensi merupakan salah satu akar permasalahan yang ada dalam penyelenggaraan jasa konstruksi. Kompetensi sumber daya manusia yaitu tenaga ahli dan terampil tentunya memerlukan persyaratan-persyaratan baku. Tujuan sertifikasi adalah untuk memberikan jaminan terhadap keterampilan, kualitas dan kemampuan kerja dari tenaga kerja konstruksi, sehingga mampu menghasilkan produk konstruksi yang memenuhi standar kualitas yang telah ditetapkan. Adanya sertifikasi ini diharapkan akan menjadi senjata ampuh bagi terbukanya akses-akses kesempatan kerja di proyek konstruksi secara kompetitif di tingkat global.</w:t>
      </w:r>
      <w:r w:rsidRPr="00F855D9">
        <w:rPr>
          <w:rFonts w:ascii="Times New Roman" w:eastAsia="PMingLiU" w:hAnsi="Times New Roman" w:cs="Times New Roman"/>
          <w:bCs/>
          <w:color w:val="000000"/>
          <w:kern w:val="2"/>
          <w:sz w:val="24"/>
          <w:szCs w:val="24"/>
          <w:vertAlign w:val="superscript"/>
          <w:lang w:eastAsia="zh-TW"/>
        </w:rPr>
        <w:footnoteReference w:id="89"/>
      </w:r>
      <w:r w:rsidRPr="00F855D9">
        <w:rPr>
          <w:rFonts w:ascii="Times New Roman" w:eastAsia="PMingLiU" w:hAnsi="Times New Roman" w:cs="Times New Roman"/>
          <w:bCs/>
          <w:color w:val="000000"/>
          <w:kern w:val="2"/>
          <w:sz w:val="24"/>
          <w:szCs w:val="24"/>
          <w:lang w:eastAsia="zh-TW"/>
        </w:rPr>
        <w:t xml:space="preserve"> </w:t>
      </w:r>
      <w:r w:rsidRPr="00F855D9">
        <w:rPr>
          <w:rFonts w:ascii="Times New Roman" w:eastAsia="PMingLiU" w:hAnsi="Times New Roman" w:cs="Times New Roman"/>
          <w:bCs/>
          <w:i/>
          <w:color w:val="000000"/>
          <w:kern w:val="2"/>
          <w:sz w:val="24"/>
          <w:szCs w:val="24"/>
          <w:lang w:eastAsia="zh-TW"/>
        </w:rPr>
        <w:t>Stakeholders</w:t>
      </w:r>
      <w:r w:rsidRPr="00F855D9">
        <w:rPr>
          <w:rFonts w:ascii="Times New Roman" w:eastAsia="PMingLiU" w:hAnsi="Times New Roman" w:cs="Times New Roman"/>
          <w:bCs/>
          <w:color w:val="000000"/>
          <w:kern w:val="2"/>
          <w:sz w:val="24"/>
          <w:szCs w:val="24"/>
          <w:lang w:eastAsia="zh-TW"/>
        </w:rPr>
        <w:t xml:space="preserve"> memegang peran penting dalam upaya meningkatkan keterampilan tenaga kerja konstruksi. setiap </w:t>
      </w:r>
      <w:r w:rsidRPr="00F855D9">
        <w:rPr>
          <w:rFonts w:ascii="Times New Roman" w:eastAsia="PMingLiU" w:hAnsi="Times New Roman" w:cs="Times New Roman"/>
          <w:bCs/>
          <w:i/>
          <w:color w:val="000000"/>
          <w:kern w:val="2"/>
          <w:sz w:val="24"/>
          <w:szCs w:val="24"/>
          <w:lang w:eastAsia="zh-TW"/>
        </w:rPr>
        <w:t>stakeholders</w:t>
      </w:r>
      <w:r w:rsidRPr="00F855D9">
        <w:rPr>
          <w:rFonts w:ascii="Times New Roman" w:eastAsia="PMingLiU" w:hAnsi="Times New Roman" w:cs="Times New Roman"/>
          <w:bCs/>
          <w:color w:val="000000"/>
          <w:kern w:val="2"/>
          <w:sz w:val="24"/>
          <w:szCs w:val="24"/>
          <w:lang w:eastAsia="zh-TW"/>
        </w:rPr>
        <w:t xml:space="preserve"> telah memiliki strategi dan kapasitas yang baik untuk meningkatkan keterampilan tenaga kerja konstruksi. Namun demikian implementasi terhadap strategi ini belum dilaksanakan dengan baik dengan adanya berbagai kendala seperti kurangnya koordinasi diantara </w:t>
      </w:r>
      <w:r w:rsidRPr="00F855D9">
        <w:rPr>
          <w:rFonts w:ascii="Times New Roman" w:eastAsia="PMingLiU" w:hAnsi="Times New Roman" w:cs="Times New Roman"/>
          <w:bCs/>
          <w:i/>
          <w:color w:val="000000"/>
          <w:kern w:val="2"/>
          <w:sz w:val="24"/>
          <w:szCs w:val="24"/>
          <w:lang w:eastAsia="zh-TW"/>
        </w:rPr>
        <w:t>stakeholders</w:t>
      </w:r>
      <w:r w:rsidRPr="00F855D9">
        <w:rPr>
          <w:rFonts w:ascii="Times New Roman" w:eastAsia="PMingLiU" w:hAnsi="Times New Roman" w:cs="Times New Roman"/>
          <w:bCs/>
          <w:color w:val="000000"/>
          <w:kern w:val="2"/>
          <w:sz w:val="24"/>
          <w:szCs w:val="24"/>
          <w:lang w:eastAsia="zh-TW"/>
        </w:rPr>
        <w:t xml:space="preserve"> maupun kurangnya regulasi yang mendukung implementasi strategi. Oleh sebab itu diperlukan implementasi strategi, koordinasi dan pengembangan lebih lanjut untuk meningkatkan keterampilan tenaga kerja konstruksi.</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Kedudukan investasi Indonesia sangat lemah dibandingkan negara Vietnam dan Thailand yang memiliki index GDP yang hampir sama dengan Indonesia dalam kepemilikan modal asing yang hanya sebesar </w:t>
      </w:r>
      <w:r w:rsidRPr="00F855D9">
        <w:rPr>
          <w:rFonts w:ascii="Times New Roman" w:eastAsia="PMingLiU" w:hAnsi="Times New Roman" w:cs="Times New Roman"/>
          <w:bCs/>
          <w:color w:val="000000"/>
          <w:kern w:val="2"/>
          <w:sz w:val="24"/>
          <w:szCs w:val="24"/>
          <w:lang w:eastAsia="zh-TW"/>
        </w:rPr>
        <w:lastRenderedPageBreak/>
        <w:t>55%. Setiap perusahaan asing yang akan berinvestasi di Indonesia harus melakukan kerja sama usaha (</w:t>
      </w:r>
      <w:r w:rsidRPr="00F855D9">
        <w:rPr>
          <w:rFonts w:ascii="Times New Roman" w:eastAsia="PMingLiU" w:hAnsi="Times New Roman" w:cs="Times New Roman"/>
          <w:bCs/>
          <w:i/>
          <w:color w:val="000000"/>
          <w:kern w:val="2"/>
          <w:sz w:val="24"/>
          <w:szCs w:val="24"/>
          <w:lang w:eastAsia="zh-TW"/>
        </w:rPr>
        <w:t>joint venture</w:t>
      </w:r>
      <w:r w:rsidRPr="00F855D9">
        <w:rPr>
          <w:rFonts w:ascii="Times New Roman" w:eastAsia="PMingLiU" w:hAnsi="Times New Roman" w:cs="Times New Roman"/>
          <w:bCs/>
          <w:color w:val="000000"/>
          <w:kern w:val="2"/>
          <w:sz w:val="24"/>
          <w:szCs w:val="24"/>
          <w:lang w:eastAsia="zh-TW"/>
        </w:rPr>
        <w:t xml:space="preserve">) dengan perusahaan Indonesia. Tidak ada batasan minimum dalam nilai investasi maupun permodalannya. Total investasi bisa disesuaikan dengan kebutuhan bisnis dan perhitungan-perhitungan ekonomi mereka. Investasi asing dalam proyek infrastruktur seperti pelabuhan, pembangkit dan distribusi listrik untuk keperluan umum, telekomunikasi, perkapalan, penerbangan, suplay air, jalan tol, reaktor nuklir, dan media masa, diharuskan untuk komposisi kepemilikan saham untuk perusahaan Indonesia minimum 5%. Undang-Undang Nomor 25 Tahun 2007 tentang Penanaman Modal memberikan ketentuan terhadap investor asing yang akan menanamkan modalnya (melakukan kegiatan usaha) di Indonesia harus mendirikan badan usaha yang berbentuk perseroan terbatas (PT) dalam melakukan aktivitas usahanya. Pemilihan itu tentunya bukan tidak beralasan karena PT sebagai bentuk badan usaha dirasa mempunyai kelebihan dibanding badan usaha lainnya berbentuk perseroan terbatas (PT). Undang-Undang Nomor 25 Tahun 2007 di satu pihak menetapkan asas perlakuan yang sama (non diskriminatif) dalam penanaman modal di Indonesia. Namun, di pihak lain bidang-bidang usaha tertentu dinyatakan tidak terbuka untuk semua penanaman modal karena diperuntukan khusus bagi pengusaha UMKMK, sehingga asas perlakuan yang sama kelihatannya tidak diterapkan secara utuh. Dengan demikian asas perlakuan yang sama yang tercantum pada Undang-Undang Nomor 25 Tahun 2007 tersebut hanyalah sebatas asas perlakuan yang sama untuk hal-hal yang berkaitan dengan pengurusan perizinan penanaman modal, </w:t>
      </w:r>
      <w:r w:rsidRPr="00F855D9">
        <w:rPr>
          <w:rFonts w:ascii="Times New Roman" w:eastAsia="PMingLiU" w:hAnsi="Times New Roman" w:cs="Times New Roman"/>
          <w:bCs/>
          <w:color w:val="000000"/>
          <w:kern w:val="2"/>
          <w:sz w:val="24"/>
          <w:szCs w:val="24"/>
          <w:lang w:eastAsia="zh-TW"/>
        </w:rPr>
        <w:lastRenderedPageBreak/>
        <w:t>dan belum mencakup perlakuan yang sama terhadap bidang-bidang usaha yang terhadap bidang-bidang usaha yang dapat dimasuki untuk kegiatan penanaman modal. Pengertian ini harus dipegang secara teguh karena implikasinya akan berbeda terhadap keberhasilan dan kesinambungan pembangunan nasional menuju masyarakat Indonesia yang adil dan sejahtera sebagaimana yang dicita-citakan. Sampai saat ini pemerintah masih memandang perlu untuk mempertahankan kebijakan tersebut karena bagaimanapun juga dalam semangat liberalisasi perdagangan yang begitu mewabah dewasa ini tentunya tidak semua bidang usaha dapat dibuka dan diserahkan sepenuhnya kepada mekanisme pasar bebas. Adanya persaingan bebas pada akhirnya akan dapat mematikan pengusaha nasional yang sampai saat ini masih perlu diberikan perlindungan.</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Berkaitan dengan kehadiran tenaga kerja konstruksi asing di Indonesia, tentunya harus disesuaikan dengan tingkat kebutuhan nasional terhadap keahlian atau pengetahuan tertentu yang dirasakan masih belum dapat dikuasai oleh tenaga kerja konstruksi nasional. Dengan demikian, diperlukan pengaturan yang menyatakan bahwa tenaga kerja asing hanya dapat bekerja di Indonesia adalah tenaga kerja asing yang disetarakan dengan tenaga kerja nasional pada jenjang jabatan ahli. Hal yang terkait dengan perizinan tenaga kerja asing tersebut, didorong untuk mengikuti ketetentuan peraturan perundangan di sektor ketenagakerjaan. Selain itu, dalam rangka pembinaan jasa konstruksi nasional, pemerintah memiliki kepentingan untuk melakukan pendataan terhadap tenaga kerja konstruksi asing yang bekerja di Indonesia salah satu caranya adalah dengan </w:t>
      </w:r>
      <w:r w:rsidRPr="00F855D9">
        <w:rPr>
          <w:rFonts w:ascii="Times New Roman" w:eastAsia="PMingLiU" w:hAnsi="Times New Roman" w:cs="Times New Roman"/>
          <w:bCs/>
          <w:color w:val="000000"/>
          <w:kern w:val="2"/>
          <w:sz w:val="24"/>
          <w:szCs w:val="24"/>
          <w:lang w:eastAsia="zh-TW"/>
        </w:rPr>
        <w:lastRenderedPageBreak/>
        <w:t>mewajibkan registrasi tenaga kerja konstruksi asing kepada pemerintah. Hal yang sama juga harus dilakukan di sisi tenaga kerja yang bekerja di sektor jasa konstruksi agar terjadi proses transfer teknologi dan keterampilan serta perlakuan yang setara antara tenaga asing dengan lokal. Walaupun itu terkait dengan peraturan perundang-undangan di sektor tenaga kerja, namun iklim usaha jasa konstruksi harus mampu membangun sistem pembinaan sumber daya manusia jasa konstruksi yang lebih dalam dan kuat.</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Kelembagaan di sektor konstruksi berfungsi memfasilitasi dan mendorong pengembangan industri jasa konstruksi Indonesia untuk dapat melakukan perdagangan jasa di berbagai negara di ASEAN . Bentuk kelembagaan tersebut bisa organisasi publik (pemerintah) maupun non pemerintah, termasuk asosiasi perusahaan maupun asosiasi profesi terkait dengan sektor konstruksi. Kelembagaan sektor ini dapat berada pada level lokal, nasional, regional, dan internasional. Lembaga yang hampir di setiap negara ada adalah lembaga pengembangan industri konstruksi (</w:t>
      </w:r>
      <w:r w:rsidRPr="00F855D9">
        <w:rPr>
          <w:rFonts w:ascii="Times New Roman" w:eastAsia="PMingLiU" w:hAnsi="Times New Roman" w:cs="Times New Roman"/>
          <w:bCs/>
          <w:i/>
          <w:color w:val="000000"/>
          <w:kern w:val="2"/>
          <w:sz w:val="24"/>
          <w:szCs w:val="24"/>
          <w:lang w:eastAsia="zh-TW"/>
        </w:rPr>
        <w:t>Construction Industry Development Board</w:t>
      </w:r>
      <w:r w:rsidRPr="00F855D9">
        <w:rPr>
          <w:rFonts w:ascii="Times New Roman" w:eastAsia="PMingLiU" w:hAnsi="Times New Roman" w:cs="Times New Roman"/>
          <w:bCs/>
          <w:color w:val="000000"/>
          <w:kern w:val="2"/>
          <w:sz w:val="24"/>
          <w:szCs w:val="24"/>
          <w:lang w:eastAsia="zh-TW"/>
        </w:rPr>
        <w:t>) atau institut untuk industri konstruksi (</w:t>
      </w:r>
      <w:r w:rsidRPr="00F855D9">
        <w:rPr>
          <w:rFonts w:ascii="Times New Roman" w:eastAsia="PMingLiU" w:hAnsi="Times New Roman" w:cs="Times New Roman"/>
          <w:bCs/>
          <w:i/>
          <w:color w:val="000000"/>
          <w:kern w:val="2"/>
          <w:sz w:val="24"/>
          <w:szCs w:val="24"/>
          <w:lang w:eastAsia="zh-TW"/>
        </w:rPr>
        <w:t>Construction Industry Institute</w:t>
      </w:r>
      <w:r w:rsidRPr="00F855D9">
        <w:rPr>
          <w:rFonts w:ascii="Times New Roman" w:eastAsia="PMingLiU" w:hAnsi="Times New Roman" w:cs="Times New Roman"/>
          <w:bCs/>
          <w:color w:val="000000"/>
          <w:kern w:val="2"/>
          <w:sz w:val="24"/>
          <w:szCs w:val="24"/>
          <w:lang w:eastAsia="zh-TW"/>
        </w:rPr>
        <w:t>). Disamping itu, lembaga pelatihan industri konstruksi (</w:t>
      </w:r>
      <w:r w:rsidRPr="00F855D9">
        <w:rPr>
          <w:rFonts w:ascii="Times New Roman" w:eastAsia="PMingLiU" w:hAnsi="Times New Roman" w:cs="Times New Roman"/>
          <w:bCs/>
          <w:i/>
          <w:color w:val="000000"/>
          <w:kern w:val="2"/>
          <w:sz w:val="24"/>
          <w:szCs w:val="24"/>
          <w:lang w:eastAsia="zh-TW"/>
        </w:rPr>
        <w:t>Construction Industry Training Board</w:t>
      </w:r>
      <w:r w:rsidRPr="00F855D9">
        <w:rPr>
          <w:rFonts w:ascii="Times New Roman" w:eastAsia="PMingLiU" w:hAnsi="Times New Roman" w:cs="Times New Roman"/>
          <w:bCs/>
          <w:color w:val="000000"/>
          <w:kern w:val="2"/>
          <w:sz w:val="24"/>
          <w:szCs w:val="24"/>
          <w:lang w:eastAsia="zh-TW"/>
        </w:rPr>
        <w:t xml:space="preserve"> (CITB) atau </w:t>
      </w:r>
      <w:r w:rsidRPr="00F855D9">
        <w:rPr>
          <w:rFonts w:ascii="Times New Roman" w:eastAsia="PMingLiU" w:hAnsi="Times New Roman" w:cs="Times New Roman"/>
          <w:bCs/>
          <w:i/>
          <w:color w:val="000000"/>
          <w:kern w:val="2"/>
          <w:sz w:val="24"/>
          <w:szCs w:val="24"/>
          <w:lang w:eastAsia="zh-TW"/>
        </w:rPr>
        <w:t xml:space="preserve">Construction Industry Training Institute </w:t>
      </w:r>
      <w:r w:rsidRPr="00F855D9">
        <w:rPr>
          <w:rFonts w:ascii="Times New Roman" w:eastAsia="PMingLiU" w:hAnsi="Times New Roman" w:cs="Times New Roman"/>
          <w:bCs/>
          <w:color w:val="000000"/>
          <w:kern w:val="2"/>
          <w:sz w:val="24"/>
          <w:szCs w:val="24"/>
          <w:lang w:eastAsia="zh-TW"/>
        </w:rPr>
        <w:t>(CITI)) juga merupakan lembaga yang menfasilitasi dan mendorong kegiatan pelatihan (</w:t>
      </w:r>
      <w:r w:rsidRPr="00F855D9">
        <w:rPr>
          <w:rFonts w:ascii="Times New Roman" w:eastAsia="PMingLiU" w:hAnsi="Times New Roman" w:cs="Times New Roman"/>
          <w:bCs/>
          <w:i/>
          <w:color w:val="000000"/>
          <w:kern w:val="2"/>
          <w:sz w:val="24"/>
          <w:szCs w:val="24"/>
          <w:lang w:eastAsia="zh-TW"/>
        </w:rPr>
        <w:t>continuing professional development</w:t>
      </w:r>
      <w:r w:rsidRPr="00F855D9">
        <w:rPr>
          <w:rFonts w:ascii="Times New Roman" w:eastAsia="PMingLiU" w:hAnsi="Times New Roman" w:cs="Times New Roman"/>
          <w:bCs/>
          <w:color w:val="000000"/>
          <w:kern w:val="2"/>
          <w:sz w:val="24"/>
          <w:szCs w:val="24"/>
          <w:lang w:eastAsia="zh-TW"/>
        </w:rPr>
        <w:t xml:space="preserve">) sumber daya manusia konstruksi. Beberapa contoh kelembagaan di tingkat nasional di negara-negara lain, misalnya CIDB Malaysia, </w:t>
      </w:r>
      <w:r w:rsidRPr="00F855D9">
        <w:rPr>
          <w:rFonts w:ascii="Times New Roman" w:eastAsia="PMingLiU" w:hAnsi="Times New Roman" w:cs="Times New Roman"/>
          <w:bCs/>
          <w:i/>
          <w:color w:val="000000"/>
          <w:kern w:val="2"/>
          <w:sz w:val="24"/>
          <w:szCs w:val="24"/>
          <w:lang w:eastAsia="zh-TW"/>
        </w:rPr>
        <w:t>Building and Construction Authority</w:t>
      </w:r>
      <w:r w:rsidRPr="00F855D9">
        <w:rPr>
          <w:rFonts w:ascii="Times New Roman" w:eastAsia="PMingLiU" w:hAnsi="Times New Roman" w:cs="Times New Roman"/>
          <w:bCs/>
          <w:color w:val="000000"/>
          <w:kern w:val="2"/>
          <w:sz w:val="24"/>
          <w:szCs w:val="24"/>
          <w:lang w:eastAsia="zh-TW"/>
        </w:rPr>
        <w:t xml:space="preserve"> (BCA) di </w:t>
      </w:r>
      <w:r w:rsidRPr="00F855D9">
        <w:rPr>
          <w:rFonts w:ascii="Times New Roman" w:eastAsia="PMingLiU" w:hAnsi="Times New Roman" w:cs="Times New Roman"/>
          <w:bCs/>
          <w:color w:val="000000"/>
          <w:kern w:val="2"/>
          <w:sz w:val="24"/>
          <w:szCs w:val="24"/>
          <w:lang w:eastAsia="zh-TW"/>
        </w:rPr>
        <w:lastRenderedPageBreak/>
        <w:t>Singapore,  dan Lembaga Pengembangan Jasa Konstruksi di Indonesia. Sedangkan untuk mendorong pengembangan sektor konstruksi, pemerintah juga memiliki lembaga yang melakukan kegiatan pembinaan konstruksi dan investasi (BAPEKIN). Disamping itu pemerintah juga memiliki lembaga pelatihan jasa konstruksi (PUSLATJAKON). Di pihak masyarakat konstruksi, lembaga-lembaga yang terkait dengan sektor konstruksi adalah asosiasi profesi dan badan usaha. Di negara ini, jumlah asosiasi profesi kurang lebih 28 organisasi, sedangkan asosiasi badan usaha adalah 27 organisasi.</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Pemerintah Indonesia dan Pemerintah Malaysia melakukan kerja sama pelatihan dan sertifikasi tenaga kerja konstruksi di Malaysia. Adapun tujuan kerja sama tersebut adalah dengan adanya pelatihan dan sertifikasi, diharapkan TKI konstruksi yang sebelumnya berstatus </w:t>
      </w:r>
      <w:r w:rsidRPr="00F855D9">
        <w:rPr>
          <w:rFonts w:ascii="Times New Roman" w:eastAsia="PMingLiU" w:hAnsi="Times New Roman" w:cs="Times New Roman"/>
          <w:bCs/>
          <w:i/>
          <w:color w:val="000000"/>
          <w:kern w:val="2"/>
          <w:sz w:val="24"/>
          <w:szCs w:val="24"/>
          <w:lang w:eastAsia="zh-TW"/>
        </w:rPr>
        <w:t xml:space="preserve">general worker </w:t>
      </w:r>
      <w:r w:rsidRPr="00F855D9">
        <w:rPr>
          <w:rFonts w:ascii="Times New Roman" w:eastAsia="PMingLiU" w:hAnsi="Times New Roman" w:cs="Times New Roman"/>
          <w:bCs/>
          <w:color w:val="000000"/>
          <w:kern w:val="2"/>
          <w:sz w:val="24"/>
          <w:szCs w:val="24"/>
          <w:lang w:eastAsia="zh-TW"/>
        </w:rPr>
        <w:t xml:space="preserve">dapat meningkat menjadi </w:t>
      </w:r>
      <w:r w:rsidRPr="00F855D9">
        <w:rPr>
          <w:rFonts w:ascii="Times New Roman" w:eastAsia="PMingLiU" w:hAnsi="Times New Roman" w:cs="Times New Roman"/>
          <w:bCs/>
          <w:i/>
          <w:color w:val="000000"/>
          <w:kern w:val="2"/>
          <w:sz w:val="24"/>
          <w:szCs w:val="24"/>
          <w:lang w:eastAsia="zh-TW"/>
        </w:rPr>
        <w:t>skilled worker</w:t>
      </w:r>
      <w:r w:rsidRPr="00F855D9">
        <w:rPr>
          <w:rFonts w:ascii="Times New Roman" w:eastAsia="PMingLiU" w:hAnsi="Times New Roman" w:cs="Times New Roman"/>
          <w:bCs/>
          <w:color w:val="000000"/>
          <w:kern w:val="2"/>
          <w:sz w:val="24"/>
          <w:szCs w:val="24"/>
          <w:lang w:eastAsia="zh-TW"/>
        </w:rPr>
        <w:t xml:space="preserve"> atau sekurangnya </w:t>
      </w:r>
      <w:r w:rsidRPr="00F855D9">
        <w:rPr>
          <w:rFonts w:ascii="Times New Roman" w:eastAsia="PMingLiU" w:hAnsi="Times New Roman" w:cs="Times New Roman"/>
          <w:bCs/>
          <w:i/>
          <w:color w:val="000000"/>
          <w:kern w:val="2"/>
          <w:sz w:val="24"/>
          <w:szCs w:val="24"/>
          <w:lang w:eastAsia="zh-TW"/>
        </w:rPr>
        <w:t>semi-skilled worker,</w:t>
      </w:r>
      <w:r w:rsidRPr="00F855D9">
        <w:rPr>
          <w:rFonts w:ascii="Times New Roman" w:eastAsia="PMingLiU" w:hAnsi="Times New Roman" w:cs="Times New Roman"/>
          <w:bCs/>
          <w:color w:val="000000"/>
          <w:kern w:val="2"/>
          <w:sz w:val="24"/>
          <w:szCs w:val="24"/>
          <w:lang w:eastAsia="zh-TW"/>
        </w:rPr>
        <w:t xml:space="preserve"> dengan meningkatkanya status tenaga kerja tersebut. Program sertifikasi yang dilanjutkan dengan peningkatan kemampuan tenaga kerja konstruksi nasional melalui berbagai kegiatan pelatihan yang berkesinambungan dapat dilakukan di setiap daerah. Peningkatan kualitas SDM yang dimiliki oleh tenaga kerja konstruksi nasional harus diimbangi dengan kompensasi yang tepat agar migrasi tenaga kerja konstruksi nasional yang bekerja di perusahaan konstruksi nasional ke perusahaan konstruksi asing dapat diminimalkan. Kerja sama dibentuk sebagai upaya dan komitmen pemerintah Indonesia dalam mendorong kapasitas dari tenaga kerja Indonesia agar unggul dan mampu bersaing dengan negara </w:t>
      </w:r>
      <w:r w:rsidRPr="00F855D9">
        <w:rPr>
          <w:rFonts w:ascii="Times New Roman" w:eastAsia="PMingLiU" w:hAnsi="Times New Roman" w:cs="Times New Roman"/>
          <w:bCs/>
          <w:color w:val="000000"/>
          <w:kern w:val="2"/>
          <w:sz w:val="24"/>
          <w:szCs w:val="24"/>
          <w:lang w:eastAsia="zh-TW"/>
        </w:rPr>
        <w:lastRenderedPageBreak/>
        <w:t xml:space="preserve">yang mempunyai standar kualifikasi yang baik terhadap tenaga kerjanya. </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Penyedia jasa konstruksi nasional dapat memanfaatkan peluang MEA melalui pengembangan penetrasi pasar konstruksi internasional. Hal ini bertujuan untuk memperluas lapangan pekerjaan bagi tenaga kerja konstruksi Indonesia. Di samping itu, penetrasi jasa konstruksi di negara anggota ASEAN lainnya dapat dijadikan sebagai ajang promosi konstruksi nasional serta menjadi </w:t>
      </w:r>
      <w:r w:rsidRPr="00967E1A">
        <w:rPr>
          <w:rFonts w:ascii="Times New Roman" w:eastAsia="PMingLiU" w:hAnsi="Times New Roman" w:cs="Times New Roman"/>
          <w:bCs/>
          <w:i/>
          <w:color w:val="000000"/>
          <w:kern w:val="2"/>
          <w:sz w:val="24"/>
          <w:szCs w:val="24"/>
          <w:lang w:eastAsia="zh-TW"/>
        </w:rPr>
        <w:t>benchmarking</w:t>
      </w:r>
      <w:r w:rsidRPr="00F855D9">
        <w:rPr>
          <w:rFonts w:ascii="Times New Roman" w:eastAsia="PMingLiU" w:hAnsi="Times New Roman" w:cs="Times New Roman"/>
          <w:bCs/>
          <w:color w:val="000000"/>
          <w:kern w:val="2"/>
          <w:sz w:val="24"/>
          <w:szCs w:val="24"/>
          <w:lang w:eastAsia="zh-TW"/>
        </w:rPr>
        <w:t xml:space="preserve"> terhadap daya saing bagi penyedia jasa konstruksi lokal, serta untuk memperoleh pengalaman yang nantinya akan diperlukan dalam menghadapi persaingan dengan penyedia jasa asing di pasar konstruksi nasional. Banyak pihak yang masih meragukan bahwa liberalisasi sektor jasa ASEAN akan sulit dilakukan karena perkembangan perekonomian Indonesia yang melemah, Indonesia terus menerus mengalami defisit yang besar. Nilai impor jasa sekitar dua kali lipat dari ekspor jasa, sehingga defisit mencapai lebih dari 10 milyar USD. Defisit ini terjadi secara konsisten hingga tahun 2014. Di sisi lain, di banyak sektor, kehadiran penyedia jasa dari luar Indonesia diperlukan, karena adanya kesenjangan antara kebutuhan tenaga profesional di sektor tersebut yang tidak mampu dicukupi oleh tenaga profesional dari dalam negeri. </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Peran masyarakat belum mendapat pengaturan terkait posisinya dalam proses pengawasan dan pemberdayaan jasa kontruksi dan dalam kerangka melindungi kepentingan publik. Undang-Undang tentang Jasa Konstruksi telah mendorong masyarakat untuk membentuk sejumlah</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 xml:space="preserve">asosiasi baik dalam kerangka profesi maupun perusahaan. Saat ini peran masyarakat diwadahi dalam lembaga independen yaitu Lembaga </w:t>
      </w:r>
      <w:r w:rsidRPr="00F855D9">
        <w:rPr>
          <w:rFonts w:ascii="Times New Roman" w:eastAsia="PMingLiU" w:hAnsi="Times New Roman" w:cs="Times New Roman"/>
          <w:bCs/>
          <w:color w:val="000000"/>
          <w:kern w:val="2"/>
          <w:sz w:val="24"/>
          <w:szCs w:val="24"/>
          <w:lang w:eastAsia="zh-TW"/>
        </w:rPr>
        <w:lastRenderedPageBreak/>
        <w:t>Pengembangan Jasa Konstruksi atau LPJK. LPJK menaungi asosiasi profesi dan perusahaan serta representasi pemerintah dan perguruan tinggi. Dalam perkembangannya juga menjadi lembaga sertifikasi independen, lembaga pendidikan dan pelatihan. Persoalannya adalah bagaimana menata kembali kelembagaan yang menjadi wadah peran masyarakat ini mampu menjadi sumber pemberi masukan dalam kerangka pembuatan regulasi atau kebijakan publik, terutama menjadi jembatan pembangunan kebijakan konstruksi antara pelaku usaha, profesional, dan pemerintah.</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Persaingan usaha di sektor konstruksi menuntut perusahaan jasa konstruksi, kontraktor, dan konsultan memiliki manajemen produksi berkualitas tinggi. Kebijakan ini berkaitan dengan upaya mendorong perusahaan jasa konstruksi untuk melakukan proses produksi dengan efektif dan efisien. Disamping itu, perusahaan jasa konstruksi didorong dan</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 xml:space="preserve">membuka akses bagi masyarakat untuk ikut aktif mengawasi penyelenggaraan proyek. Peningkatan kapasitas dan akses pasar untuk usaha kecil dan menengah sektor konstruksi dimulai dalam kerangka melakukan upaya agar mereka tetap bertahan kompetitif di era global ini. Peningkatan daya saing dilakukan dengan peningkatan efisiensi dari proses penyelenggaraan konstruksi dan pengembangan teknologi. Efisiensi tersebut diupayakan melalui peningkatan efektifitas regulasi, perancangan yang lebih baik, praktik kontrak konstruksi yang tepat, dan peningkatan manajemen konstruksi. Pengembangan teknologi diupayakan melalui promosi riset dan pengembangan, rasionalisasi dan otomatisasi sistem operasi konstruksi, fasilitasi oleh industri konstruksi terhadap penerapan </w:t>
      </w:r>
      <w:r w:rsidRPr="00F855D9">
        <w:rPr>
          <w:rFonts w:ascii="Times New Roman" w:eastAsia="PMingLiU" w:hAnsi="Times New Roman" w:cs="Times New Roman"/>
          <w:bCs/>
          <w:color w:val="000000"/>
          <w:kern w:val="2"/>
          <w:sz w:val="24"/>
          <w:szCs w:val="24"/>
          <w:lang w:eastAsia="zh-TW"/>
        </w:rPr>
        <w:lastRenderedPageBreak/>
        <w:t>teknologi dan sistem manajemen konstruksi baru, serta pemberdayaan industri konstruksi melalui pemanfaatan informasi dan teknologi komunikasi.</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Penataan institusi untuk pengembangan industri konstruksi telah diarahkan menjadi organisasi yang profesional dalam memfasilitasi dan mendorong industri dan perdagangan konstruksi nasional berkelas dunia. Karakter profesional tersebut dibutuhkan dalam melakukan misi menciptakan industri konstruksi nasional yang handal, profesional, dan berdaya saing tinggi serta mandiri dan menciptakan pengusahaan konstruksi Indonesia yang menjamin mekanisme pasar yang adil, pengadaan yang transparan dan hasil yang memiliki akuntabilitas publik tinggi. Globalisasi politik, ekonomi, dan keuangan telah mendorong industri konstruksi di seluruh belahan dunia, termasuk industri konstruksi nasional, menghadapi persaingan global. Kondisi ini memaksa industri tersebut berusaha menjadi pemain kelas dunia. Artinya, industri konstruksi nasional harus mampu bertahan kompetitif di pasar internasional. Sepraktis, industri ini dituntut menunjukkan kinerja yang tinggi, baik disisi inputan, proses, keluaran maupun sistem manajemen. Hal ini bisa dicapai jika industri konstruksi nasional semakin profesional, produktif dan progresif,  berbasis ilmu dan teknologi serta para pekerja yang terampil, memiliki kapasitas superior dan sinergi melalui kemitraan dan usaha-usaha bersama seluruh</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pihak pemangku kepentingan.</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Pengembangan jasa konstruksi menjadi agenda publik yang penting dan strategis bila melihat perkembangan yang terjadi secara cepat </w:t>
      </w:r>
      <w:r w:rsidRPr="00F855D9">
        <w:rPr>
          <w:rFonts w:ascii="Times New Roman" w:eastAsia="PMingLiU" w:hAnsi="Times New Roman" w:cs="Times New Roman"/>
          <w:bCs/>
          <w:color w:val="000000"/>
          <w:kern w:val="2"/>
          <w:sz w:val="24"/>
          <w:szCs w:val="24"/>
          <w:lang w:eastAsia="zh-TW"/>
        </w:rPr>
        <w:lastRenderedPageBreak/>
        <w:t>dalam konteks globalisasi dan liberalisasi, kemiskinan dan kesenjangan, demokratisasi dan otonomi daerah, serta kerusakan dan bencana alam. Selain itu, perkembangan jasa konstruksi juga tidak bisa dilepaskan dari konteks proses transformasi politik, budaya, ekonomi, dan birokrasi yang sedang terjadi. Saat ini pengembangan jasa konstruksi dihadapkan pada masalah domestik berupa dinamika penguatan masyarakat sipil sebagai bagian dari proses transisi demokrasi di tingkat daerah dan nasional serta berkembangnya beragam model transaksi dan hubungan antara penyedia dengan pengguna jasa konstruksi dalam lingkup pemerintah dan swasta.</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 Kesediaan Indonesia bersama-sama dengan 9 (sembilan) Negara ASEAN lainnya membentuk ASEAN </w:t>
      </w:r>
      <w:r w:rsidRPr="00F855D9">
        <w:rPr>
          <w:rFonts w:ascii="Times New Roman" w:eastAsia="PMingLiU" w:hAnsi="Times New Roman" w:cs="Times New Roman"/>
          <w:bCs/>
          <w:i/>
          <w:color w:val="000000"/>
          <w:kern w:val="2"/>
          <w:sz w:val="24"/>
          <w:szCs w:val="24"/>
          <w:lang w:eastAsia="zh-TW"/>
        </w:rPr>
        <w:t>Economic Community</w:t>
      </w:r>
      <w:r w:rsidRPr="00F855D9">
        <w:rPr>
          <w:rFonts w:ascii="Times New Roman" w:eastAsia="PMingLiU" w:hAnsi="Times New Roman" w:cs="Times New Roman"/>
          <w:bCs/>
          <w:color w:val="000000"/>
          <w:kern w:val="2"/>
          <w:sz w:val="24"/>
          <w:szCs w:val="24"/>
          <w:lang w:eastAsia="zh-TW"/>
        </w:rPr>
        <w:t xml:space="preserve"> (AEC) pada didasarkan pada keyakinan atas manfaatnya yang secara konseptual akan meningkatkan pertumbuhan ekonomi Indonesia dan kawasan ASEAN. Integrasi ekonomi dalam mewujudkan AEC melalui pembukaan dan pembentukan pasar yang lebih besar, dorongan peningkatan efisiensi dan daya saing, serta pembukaan peluang penyerapan tenaga kerja di kawasan ASEAN, akan meningkatkan kesejahteraan seluruh negara di kawasan. Dalam konteks ini, berlakunya Komunitas Ekonomi ASEAN pada tahun 2016 belum mampu mendorong tumbuhnya sektor jasa  dibidang konstruksi Indonesia dan belum mampu memberikan manfaat bagi perekonomian Indonesia. Konstribusi adanya perdagangan jasa pada era MEA belum memberikan dampak yang cukup positif untuk saat ini. Geliat pasar jasa konstruksi Indonesia juga tidak berkembang seperti harapan pemerintah Indonesia yang menargertkan 4-8 % kenaikan di sektor jasa </w:t>
      </w:r>
      <w:r w:rsidRPr="00F855D9">
        <w:rPr>
          <w:rFonts w:ascii="Times New Roman" w:eastAsia="PMingLiU" w:hAnsi="Times New Roman" w:cs="Times New Roman"/>
          <w:bCs/>
          <w:color w:val="000000"/>
          <w:kern w:val="2"/>
          <w:sz w:val="24"/>
          <w:szCs w:val="24"/>
          <w:lang w:eastAsia="zh-TW"/>
        </w:rPr>
        <w:lastRenderedPageBreak/>
        <w:t xml:space="preserve">konstruksi baik dalam perdagangan jasa konstruksi, tenaga kerja maupun investasi dikarenakan beberapa kebijakan yang diambil belum cukup memadai dalam menghadapi persaingan perdagangan jasa di sektor konstruksi. </w:t>
      </w:r>
    </w:p>
    <w:p w:rsidR="00F855D9" w:rsidRPr="00F855D9" w:rsidRDefault="00F855D9" w:rsidP="003D7355">
      <w:pPr>
        <w:widowControl w:val="0"/>
        <w:numPr>
          <w:ilvl w:val="1"/>
          <w:numId w:val="58"/>
        </w:numPr>
        <w:spacing w:after="0" w:line="480" w:lineRule="auto"/>
        <w:ind w:left="851"/>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Hambatan – Hambatan Pemerintah Indonesia dan Pelaku Usaha Jasa Konstruksi dalam Persaingan Perdagangan Jasa Di Bidang Konstruksi Dalam Rangka MEA</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Tahun 2016, transaksi perdagangan dan jasa akan menyatu dan berintegrasi dalam satu pasar bersama. Pelaku usaha di Indonesia khususnya pelaku usaha yang berkeinginan untuk melakukan ekspansi usaha di ASEAN atau berhubungan dengan pelaku usaha di negara-negara ASEAN lainnya harus memahami hukum usaha yang berlaku di negara-negara anggota termasuk hukum persaingan usaha. Usaha untuk menciptakan daya saing melalui hukum dan kebijakan persaingan, ASEAN melalui Sekretariat ASEAN telah melakukan sejumlah aksi. Melalui </w:t>
      </w:r>
      <w:r w:rsidRPr="00F855D9">
        <w:rPr>
          <w:rFonts w:ascii="Times New Roman" w:eastAsia="PMingLiU" w:hAnsi="Times New Roman" w:cs="Times New Roman"/>
          <w:bCs/>
          <w:i/>
          <w:color w:val="000000"/>
          <w:kern w:val="2"/>
          <w:sz w:val="24"/>
          <w:szCs w:val="24"/>
          <w:lang w:eastAsia="zh-TW"/>
        </w:rPr>
        <w:t>ASEAN Expert Group on Competition (AEGC)</w:t>
      </w:r>
      <w:r w:rsidRPr="00F855D9">
        <w:rPr>
          <w:rFonts w:ascii="Times New Roman" w:eastAsia="PMingLiU" w:hAnsi="Times New Roman" w:cs="Times New Roman"/>
          <w:bCs/>
          <w:color w:val="000000"/>
          <w:kern w:val="2"/>
          <w:sz w:val="24"/>
          <w:szCs w:val="24"/>
          <w:lang w:eastAsia="zh-TW"/>
        </w:rPr>
        <w:t xml:space="preserve"> sebagai lembaga struktural di ASEAN yang menangani implementasi hukum persaingan telah mempromosikan hal ini. Lima negara ASEAN yang telah memberlakukan hukum persaingan yaitu Indonesia dan Thailand (1999), Singapura dan Vietnam (2004) serta Malaysia (2012), sementara 5 negara lainnya masih dalam tahap legislasi.</w:t>
      </w:r>
      <w:r w:rsidRPr="00F855D9">
        <w:rPr>
          <w:rFonts w:ascii="Times New Roman" w:eastAsia="PMingLiU" w:hAnsi="Times New Roman" w:cs="Times New Roman"/>
          <w:bCs/>
          <w:color w:val="000000"/>
          <w:kern w:val="2"/>
          <w:sz w:val="24"/>
          <w:szCs w:val="24"/>
          <w:vertAlign w:val="superscript"/>
          <w:lang w:eastAsia="zh-TW"/>
        </w:rPr>
        <w:footnoteReference w:id="90"/>
      </w:r>
      <w:r w:rsidRPr="00F855D9">
        <w:rPr>
          <w:rFonts w:ascii="Times New Roman" w:eastAsia="PMingLiU" w:hAnsi="Times New Roman" w:cs="Times New Roman"/>
          <w:bCs/>
          <w:color w:val="000000"/>
          <w:kern w:val="2"/>
          <w:sz w:val="24"/>
          <w:szCs w:val="24"/>
          <w:lang w:eastAsia="zh-TW"/>
        </w:rPr>
        <w:t xml:space="preserve"> Hukum persaingan yang diberlakukan lima negara telah membuat era persaingan perdagangan jasa semakin berat dan ketat bagi negara – negara anggota ASEAN lainnya.</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Sektor konstruksi merupakan salah satu sektor perekonomian yang penting di Indonesia karena berbagai kegiatan ekonomi masyarakat memerlukan bangunan sebagai infrastruktur dan prasarana yang menjadi pembentuk modal tetap (</w:t>
      </w:r>
      <w:r w:rsidRPr="00F855D9">
        <w:rPr>
          <w:rFonts w:ascii="Times New Roman" w:eastAsia="PMingLiU" w:hAnsi="Times New Roman" w:cs="Times New Roman"/>
          <w:bCs/>
          <w:i/>
          <w:color w:val="000000"/>
          <w:kern w:val="2"/>
          <w:sz w:val="24"/>
          <w:szCs w:val="24"/>
          <w:lang w:eastAsia="zh-TW"/>
        </w:rPr>
        <w:t>gross fixed capital formation)</w:t>
      </w:r>
      <w:r w:rsidRPr="00F855D9">
        <w:rPr>
          <w:rFonts w:ascii="Times New Roman" w:eastAsia="PMingLiU" w:hAnsi="Times New Roman" w:cs="Times New Roman"/>
          <w:bCs/>
          <w:color w:val="000000"/>
          <w:kern w:val="2"/>
          <w:sz w:val="24"/>
          <w:szCs w:val="24"/>
          <w:lang w:eastAsia="zh-TW"/>
        </w:rPr>
        <w:t xml:space="preserve">. Di berbagai negara, sektor jasa konstruksi berkonstribusi terhadap </w:t>
      </w:r>
      <w:r w:rsidRPr="00F855D9">
        <w:rPr>
          <w:rFonts w:ascii="Times New Roman" w:eastAsia="PMingLiU" w:hAnsi="Times New Roman" w:cs="Times New Roman"/>
          <w:bCs/>
          <w:i/>
          <w:color w:val="000000"/>
          <w:kern w:val="2"/>
          <w:sz w:val="24"/>
          <w:szCs w:val="24"/>
          <w:lang w:eastAsia="zh-TW"/>
        </w:rPr>
        <w:t>Gross Fixed Capital Formation</w:t>
      </w:r>
      <w:r w:rsidRPr="00F855D9">
        <w:rPr>
          <w:rFonts w:ascii="Times New Roman" w:eastAsia="PMingLiU" w:hAnsi="Times New Roman" w:cs="Times New Roman"/>
          <w:bCs/>
          <w:color w:val="000000"/>
          <w:kern w:val="2"/>
          <w:sz w:val="24"/>
          <w:szCs w:val="24"/>
          <w:lang w:eastAsia="zh-TW"/>
        </w:rPr>
        <w:t xml:space="preserve"> sekitar 70%-80% (Agenda Konstruksi 2030). Sektor konstruksi berkontribusi cukup besar terhadap PDB nasional, antara 8 sampai 10 persen dan memberikan kesempatan kerja bagi lebih dari 5 juta tenaga kerja langsung dan lebih dari 10 juta harian melalui badan usaha konstruksi baik sebagai konsultan, kontraktor, pemasok material dan peralatan konstruksi maupun pemasok tenaga kerja. Selain sebagai penyumbang produk domestik bruto yang signifikan bagi negara, keluaran (</w:t>
      </w:r>
      <w:r w:rsidRPr="00F855D9">
        <w:rPr>
          <w:rFonts w:ascii="Times New Roman" w:eastAsia="PMingLiU" w:hAnsi="Times New Roman" w:cs="Times New Roman"/>
          <w:bCs/>
          <w:i/>
          <w:color w:val="000000"/>
          <w:kern w:val="2"/>
          <w:sz w:val="24"/>
          <w:szCs w:val="24"/>
          <w:lang w:eastAsia="zh-TW"/>
        </w:rPr>
        <w:t>output</w:t>
      </w:r>
      <w:r w:rsidRPr="00F855D9">
        <w:rPr>
          <w:rFonts w:ascii="Times New Roman" w:eastAsia="PMingLiU" w:hAnsi="Times New Roman" w:cs="Times New Roman"/>
          <w:bCs/>
          <w:color w:val="000000"/>
          <w:kern w:val="2"/>
          <w:sz w:val="24"/>
          <w:szCs w:val="24"/>
          <w:lang w:eastAsia="zh-TW"/>
        </w:rPr>
        <w:t>) sektor konstruksi merupakan masukan (</w:t>
      </w:r>
      <w:r w:rsidRPr="00F855D9">
        <w:rPr>
          <w:rFonts w:ascii="Times New Roman" w:eastAsia="PMingLiU" w:hAnsi="Times New Roman" w:cs="Times New Roman"/>
          <w:bCs/>
          <w:i/>
          <w:color w:val="000000"/>
          <w:kern w:val="2"/>
          <w:sz w:val="24"/>
          <w:szCs w:val="24"/>
          <w:lang w:eastAsia="zh-TW"/>
        </w:rPr>
        <w:t>input</w:t>
      </w:r>
      <w:r w:rsidRPr="00F855D9">
        <w:rPr>
          <w:rFonts w:ascii="Times New Roman" w:eastAsia="PMingLiU" w:hAnsi="Times New Roman" w:cs="Times New Roman"/>
          <w:bCs/>
          <w:color w:val="000000"/>
          <w:kern w:val="2"/>
          <w:sz w:val="24"/>
          <w:szCs w:val="24"/>
          <w:lang w:eastAsia="zh-TW"/>
        </w:rPr>
        <w:t>) bagi sektor-sektor perekonomian lainnya sehingga perannya vital dalam penentu perkembangan dan pertumbuhan sektor-sektor ekonomi lainnya.</w:t>
      </w:r>
      <w:r w:rsidRPr="00F855D9">
        <w:rPr>
          <w:rFonts w:ascii="Times New Roman" w:eastAsia="PMingLiU" w:hAnsi="Times New Roman" w:cs="Times New Roman"/>
          <w:bCs/>
          <w:color w:val="000000"/>
          <w:kern w:val="2"/>
          <w:sz w:val="24"/>
          <w:szCs w:val="24"/>
          <w:vertAlign w:val="superscript"/>
          <w:lang w:eastAsia="zh-TW"/>
        </w:rPr>
        <w:footnoteReference w:id="91"/>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Berikut adalah hambatan Pemerintah dalam persaingan perdagangan jasa di sektor konstruksi dalam MEA adalah :</w:t>
      </w:r>
    </w:p>
    <w:p w:rsidR="00F855D9" w:rsidRPr="00F855D9" w:rsidRDefault="00F855D9" w:rsidP="003D7355">
      <w:pPr>
        <w:widowControl w:val="0"/>
        <w:numPr>
          <w:ilvl w:val="0"/>
          <w:numId w:val="35"/>
        </w:numPr>
        <w:spacing w:after="0" w:line="480" w:lineRule="auto"/>
        <w:ind w:left="2127"/>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Belum adanya kolaborasi antara lembaga penelitian dan pengembangan konstruksi Indonesia.</w:t>
      </w:r>
    </w:p>
    <w:p w:rsidR="00F855D9" w:rsidRPr="00F855D9" w:rsidRDefault="00F855D9" w:rsidP="003D7355">
      <w:pPr>
        <w:widowControl w:val="0"/>
        <w:numPr>
          <w:ilvl w:val="0"/>
          <w:numId w:val="35"/>
        </w:numPr>
        <w:spacing w:after="0" w:line="480" w:lineRule="auto"/>
        <w:ind w:left="2127"/>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Koordinasi dan kerja sama oleh berbagai pihak </w:t>
      </w:r>
      <w:r w:rsidRPr="00F855D9">
        <w:rPr>
          <w:rFonts w:ascii="Times New Roman" w:eastAsia="PMingLiU" w:hAnsi="Times New Roman" w:cs="Times New Roman"/>
          <w:bCs/>
          <w:i/>
          <w:color w:val="000000"/>
          <w:kern w:val="2"/>
          <w:sz w:val="24"/>
          <w:szCs w:val="24"/>
          <w:lang w:eastAsia="zh-TW"/>
        </w:rPr>
        <w:t>stakeholders</w:t>
      </w:r>
      <w:r w:rsidRPr="00F855D9">
        <w:rPr>
          <w:rFonts w:ascii="Times New Roman" w:eastAsia="PMingLiU" w:hAnsi="Times New Roman" w:cs="Times New Roman"/>
          <w:bCs/>
          <w:color w:val="000000"/>
          <w:kern w:val="2"/>
          <w:sz w:val="24"/>
          <w:szCs w:val="24"/>
          <w:lang w:eastAsia="zh-TW"/>
        </w:rPr>
        <w:t xml:space="preserve"> masih rendah.</w:t>
      </w:r>
    </w:p>
    <w:p w:rsidR="00F855D9" w:rsidRPr="00F855D9" w:rsidRDefault="00F855D9" w:rsidP="003D7355">
      <w:pPr>
        <w:widowControl w:val="0"/>
        <w:numPr>
          <w:ilvl w:val="0"/>
          <w:numId w:val="35"/>
        </w:numPr>
        <w:spacing w:after="0" w:line="480" w:lineRule="auto"/>
        <w:ind w:left="2127"/>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Lemahnya penyelenggaraan peran masyarakat jasa konstruksi dalam melaksanakan pengembangan jasa </w:t>
      </w:r>
      <w:r w:rsidRPr="00F855D9">
        <w:rPr>
          <w:rFonts w:ascii="Times New Roman" w:eastAsia="PMingLiU" w:hAnsi="Times New Roman" w:cs="Times New Roman"/>
          <w:bCs/>
          <w:color w:val="000000"/>
          <w:kern w:val="2"/>
          <w:sz w:val="24"/>
          <w:szCs w:val="24"/>
          <w:lang w:eastAsia="zh-TW"/>
        </w:rPr>
        <w:lastRenderedPageBreak/>
        <w:t>konstruksi melalui LPJK.</w:t>
      </w:r>
    </w:p>
    <w:p w:rsidR="00F855D9" w:rsidRPr="00F855D9" w:rsidRDefault="00F855D9" w:rsidP="003D7355">
      <w:pPr>
        <w:widowControl w:val="0"/>
        <w:numPr>
          <w:ilvl w:val="0"/>
          <w:numId w:val="35"/>
        </w:numPr>
        <w:spacing w:after="0" w:line="480" w:lineRule="auto"/>
        <w:ind w:left="2127"/>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Enforcement</w:t>
      </w:r>
      <w:r w:rsidRPr="00F855D9">
        <w:rPr>
          <w:rFonts w:ascii="Times New Roman" w:eastAsia="PMingLiU" w:hAnsi="Times New Roman" w:cs="Times New Roman"/>
          <w:bCs/>
          <w:color w:val="000000"/>
          <w:kern w:val="2"/>
          <w:sz w:val="24"/>
          <w:szCs w:val="24"/>
          <w:lang w:eastAsia="zh-TW"/>
        </w:rPr>
        <w:t xml:space="preserve"> dan </w:t>
      </w:r>
      <w:r w:rsidRPr="00F855D9">
        <w:rPr>
          <w:rFonts w:ascii="Times New Roman" w:eastAsia="PMingLiU" w:hAnsi="Times New Roman" w:cs="Times New Roman"/>
          <w:bCs/>
          <w:i/>
          <w:color w:val="000000"/>
          <w:kern w:val="2"/>
          <w:sz w:val="24"/>
          <w:szCs w:val="24"/>
          <w:lang w:eastAsia="zh-TW"/>
        </w:rPr>
        <w:t xml:space="preserve">awareness </w:t>
      </w:r>
      <w:r w:rsidRPr="00F855D9">
        <w:rPr>
          <w:rFonts w:ascii="Times New Roman" w:eastAsia="PMingLiU" w:hAnsi="Times New Roman" w:cs="Times New Roman"/>
          <w:bCs/>
          <w:color w:val="000000"/>
          <w:kern w:val="2"/>
          <w:sz w:val="24"/>
          <w:szCs w:val="24"/>
          <w:lang w:eastAsia="zh-TW"/>
        </w:rPr>
        <w:t xml:space="preserve">terhadap pembinaan oleh </w:t>
      </w:r>
      <w:r w:rsidRPr="00F855D9">
        <w:rPr>
          <w:rFonts w:ascii="Times New Roman" w:eastAsia="PMingLiU" w:hAnsi="Times New Roman" w:cs="Times New Roman"/>
          <w:bCs/>
          <w:i/>
          <w:color w:val="000000"/>
          <w:kern w:val="2"/>
          <w:sz w:val="24"/>
          <w:szCs w:val="24"/>
          <w:lang w:eastAsia="zh-TW"/>
        </w:rPr>
        <w:t>stakeholders</w:t>
      </w:r>
      <w:r w:rsidRPr="00F855D9">
        <w:rPr>
          <w:rFonts w:ascii="Times New Roman" w:eastAsia="PMingLiU" w:hAnsi="Times New Roman" w:cs="Times New Roman"/>
          <w:bCs/>
          <w:color w:val="000000"/>
          <w:kern w:val="2"/>
          <w:sz w:val="24"/>
          <w:szCs w:val="24"/>
          <w:lang w:eastAsia="zh-TW"/>
        </w:rPr>
        <w:t xml:space="preserve"> masih rendah (Kegiatan pembinaan hanya dianggap sebagai kegiatan pelengkap, bukan sebagai kegiatan pokok).</w:t>
      </w:r>
    </w:p>
    <w:p w:rsidR="00F855D9" w:rsidRPr="00F855D9" w:rsidRDefault="00F855D9" w:rsidP="003D7355">
      <w:pPr>
        <w:widowControl w:val="0"/>
        <w:numPr>
          <w:ilvl w:val="0"/>
          <w:numId w:val="35"/>
        </w:numPr>
        <w:spacing w:after="0" w:line="480" w:lineRule="auto"/>
        <w:ind w:left="2127"/>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Kondisi sektor konstruksi juga diperburuk dengan masih banyaknya tenaga kerja konstruksi lepas diluar binaan BUJK. Jumlah tenaga kerja lepas (outsourcing) yang sangat banyak, dimana pembinaan dan pengembangannya tidak jelas siapa penanggungjawabnya. Sebagai gambaran, pada tahun 2011 SDM Konstruksi yang terserap sebesar 6.339 Juta, dimana terdiri atas 10% (± 633.9 ribu) Tenaga Ahli, 30% (1.901 Juta) Tenaga Terampil, dan 60% (3.803 Juta) semi dan non terampil, sedangkan pada tahun yang sama, jumlah tenaga tetap yang terdaftar pada BUJK adalah 116,031 Tenaga Ahli dan 301,332 Tenaga Terampil, sedangkan di luar angka tersebut merupakan tenaga outsourcing. Dari perbandingan angka SDM Konstruksi yang terserap dengan yang terdaftar sebagai pekerja tetap di BUJK, terdapat gap yang sangat besar yang berarti jumlah pekerja tidak tetap sangat besar (± 2.118 Juta dengan 517.950 ribu Tenaga Ahli dan 1.6 Juta Tenaga Terampil) dan gap tersebut akan lebih besar lagi bilamana dikaitkan dengan supply (tidak diketahui potensinya namun secara </w:t>
      </w:r>
      <w:r w:rsidRPr="00F855D9">
        <w:rPr>
          <w:rFonts w:ascii="Times New Roman" w:eastAsia="PMingLiU" w:hAnsi="Times New Roman" w:cs="Times New Roman"/>
          <w:bCs/>
          <w:color w:val="000000"/>
          <w:kern w:val="2"/>
          <w:sz w:val="24"/>
          <w:szCs w:val="24"/>
          <w:lang w:eastAsia="zh-TW"/>
        </w:rPr>
        <w:lastRenderedPageBreak/>
        <w:t>kuantitas lebih besar dari yang terserap).</w:t>
      </w:r>
    </w:p>
    <w:p w:rsidR="00F855D9" w:rsidRPr="00F855D9" w:rsidRDefault="00F855D9" w:rsidP="003D7355">
      <w:pPr>
        <w:widowControl w:val="0"/>
        <w:numPr>
          <w:ilvl w:val="0"/>
          <w:numId w:val="35"/>
        </w:numPr>
        <w:spacing w:after="0" w:line="480" w:lineRule="auto"/>
        <w:ind w:left="2127"/>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Masih ada regulasi yang belum dikeluarkan.</w:t>
      </w:r>
    </w:p>
    <w:p w:rsidR="00F855D9" w:rsidRPr="00F855D9" w:rsidRDefault="00F855D9" w:rsidP="003D7355">
      <w:pPr>
        <w:widowControl w:val="0"/>
        <w:numPr>
          <w:ilvl w:val="0"/>
          <w:numId w:val="35"/>
        </w:numPr>
        <w:spacing w:after="0" w:line="480" w:lineRule="auto"/>
        <w:ind w:left="2127"/>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Kegiatan litbang masih terbatas dan belum mencakup isu-isu terkini.</w:t>
      </w:r>
    </w:p>
    <w:p w:rsidR="00F855D9" w:rsidRPr="00F855D9" w:rsidRDefault="00F855D9" w:rsidP="003D7355">
      <w:pPr>
        <w:widowControl w:val="0"/>
        <w:numPr>
          <w:ilvl w:val="0"/>
          <w:numId w:val="35"/>
        </w:numPr>
        <w:spacing w:after="0" w:line="480" w:lineRule="auto"/>
        <w:ind w:left="2127"/>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Rendahnya pertumbuhan jumlah sarjana teknik dalam negeri akan mengakibatkan kekurangan sarjana teknik yang tidak dapat mengisi kebutuhan dalam negeri.</w:t>
      </w:r>
    </w:p>
    <w:p w:rsidR="00F855D9" w:rsidRPr="00F855D9" w:rsidRDefault="00F855D9" w:rsidP="003D7355">
      <w:pPr>
        <w:widowControl w:val="0"/>
        <w:numPr>
          <w:ilvl w:val="0"/>
          <w:numId w:val="35"/>
        </w:numPr>
        <w:spacing w:after="0" w:line="480" w:lineRule="auto"/>
        <w:ind w:left="2127"/>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Output pendidikan formal yang belum siap kerja.</w:t>
      </w:r>
    </w:p>
    <w:p w:rsidR="00F855D9" w:rsidRPr="00F855D9" w:rsidRDefault="00F855D9" w:rsidP="003D7355">
      <w:pPr>
        <w:widowControl w:val="0"/>
        <w:numPr>
          <w:ilvl w:val="0"/>
          <w:numId w:val="35"/>
        </w:numPr>
        <w:spacing w:after="0" w:line="480" w:lineRule="auto"/>
        <w:ind w:left="2127"/>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Kualitas SDM Indonesia yang tidak merata (kesenjangan pembangunan ekonomi, gap antara Indonesia Bagian Barat dan Bagian Timur.</w:t>
      </w:r>
    </w:p>
    <w:p w:rsidR="00F855D9" w:rsidRPr="00F855D9" w:rsidRDefault="00F855D9" w:rsidP="003D7355">
      <w:pPr>
        <w:widowControl w:val="0"/>
        <w:numPr>
          <w:ilvl w:val="0"/>
          <w:numId w:val="35"/>
        </w:numPr>
        <w:spacing w:after="0" w:line="480" w:lineRule="auto"/>
        <w:ind w:left="2127"/>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Belum semua industri merekrut tenaga kerja yang mempunyai SDM berbasis kompetensi;</w:t>
      </w:r>
    </w:p>
    <w:p w:rsidR="00F855D9" w:rsidRPr="00F855D9" w:rsidRDefault="00F855D9" w:rsidP="003D7355">
      <w:pPr>
        <w:widowControl w:val="0"/>
        <w:numPr>
          <w:ilvl w:val="0"/>
          <w:numId w:val="35"/>
        </w:numPr>
        <w:spacing w:after="0" w:line="480" w:lineRule="auto"/>
        <w:ind w:left="2127"/>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Prosedur, persyaratan dan kualifikasi/standar profesi pemasok jasa dan tenaga kerja sektor jasa belum komprehensif.</w:t>
      </w:r>
    </w:p>
    <w:p w:rsidR="00F855D9" w:rsidRPr="00F855D9" w:rsidRDefault="00F855D9" w:rsidP="003D7355">
      <w:pPr>
        <w:widowControl w:val="0"/>
        <w:numPr>
          <w:ilvl w:val="0"/>
          <w:numId w:val="35"/>
        </w:numPr>
        <w:spacing w:after="0" w:line="480" w:lineRule="auto"/>
        <w:ind w:left="2127"/>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Kurang minat ekspansi di negara ASEAN dengan tenaga kerja asing.</w:t>
      </w:r>
    </w:p>
    <w:p w:rsidR="00F855D9" w:rsidRPr="00F855D9" w:rsidRDefault="00F855D9" w:rsidP="003D7355">
      <w:pPr>
        <w:widowControl w:val="0"/>
        <w:numPr>
          <w:ilvl w:val="0"/>
          <w:numId w:val="35"/>
        </w:numPr>
        <w:spacing w:after="0" w:line="480" w:lineRule="auto"/>
        <w:ind w:left="2127"/>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Laju inflasi Indonesia yang masih tergolong tinggi bila dibandingkan dengan Negara lain di kawasan ASEAN. Stabilitas makro masih menjadi kendala peningkatan daya saing Indonesia dan tingkat kemakmuran Indonesia juga masih lebih rendah dibandingkan negara lain. </w:t>
      </w:r>
    </w:p>
    <w:p w:rsidR="00F855D9" w:rsidRPr="00F855D9" w:rsidRDefault="00F855D9" w:rsidP="003D7355">
      <w:pPr>
        <w:widowControl w:val="0"/>
        <w:numPr>
          <w:ilvl w:val="0"/>
          <w:numId w:val="35"/>
        </w:numPr>
        <w:spacing w:after="0" w:line="480" w:lineRule="auto"/>
        <w:ind w:left="2127"/>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Populasi Indonesia yang terbesar di ASEAN membawa </w:t>
      </w:r>
      <w:r w:rsidRPr="00F855D9">
        <w:rPr>
          <w:rFonts w:ascii="Times New Roman" w:eastAsia="PMingLiU" w:hAnsi="Times New Roman" w:cs="Times New Roman"/>
          <w:bCs/>
          <w:color w:val="000000"/>
          <w:kern w:val="2"/>
          <w:sz w:val="24"/>
          <w:szCs w:val="24"/>
          <w:lang w:eastAsia="zh-TW"/>
        </w:rPr>
        <w:lastRenderedPageBreak/>
        <w:t>konsekuensi tersendiri bagi pemerataan pendapatan, 3 (tiga) Negara ASEAN yang lebih baik dalam menarik PMA mempunyai pendapatan per kapita yang lebih tinggi dari Indonesia.</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bCs/>
          <w:color w:val="000000"/>
          <w:kern w:val="2"/>
          <w:sz w:val="24"/>
          <w:szCs w:val="24"/>
          <w:lang w:eastAsia="zh-TW"/>
        </w:rPr>
        <w:t>Kondisi perekonomian</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kern w:val="2"/>
          <w:sz w:val="24"/>
          <w:szCs w:val="24"/>
          <w:lang w:eastAsia="zh-TW"/>
        </w:rPr>
        <w:t>Indonesia sebelum MEA berlangsung memang kurang baik bagi iklim perdagangan jasa memicu banyak hambatan bagi perdagangan jasa di bidang konstruksi pada tahun 2016. Melemahnya nilai tukar rupiah terhadap dollar pada Agustus – November 2015 memunculkan masalah defisit neraca perdagangan, seperti  kurangnya daya beli masyarakat. Kondisi ini kurang menguntungkan pemerintah Indonesia pada awal MEA berjalan. Hambatan tersebut dilengkapi dengan kurangnya kerja sama antara pemerintah dan pihak seperti asosiasi jasa konstruksi, LPJK, dan peran masyarakat dikarenakan pemerintah lebih berfokus mengembalikan nilai tukar rupiah pada saat itu. Memasuki MEA pada tahun 2016, pemerintah Indonesia mengalami kekurangan lulusan sarjana teknik karena rendahnya minat sehingga sarjana teknik yang ada pada tahun 2016 belum bisa mem</w:t>
      </w:r>
      <w:r w:rsidR="00967E1A">
        <w:rPr>
          <w:rFonts w:ascii="Times New Roman" w:eastAsia="PMingLiU" w:hAnsi="Times New Roman" w:cs="Times New Roman"/>
          <w:kern w:val="2"/>
          <w:sz w:val="24"/>
          <w:szCs w:val="24"/>
          <w:lang w:eastAsia="zh-TW"/>
        </w:rPr>
        <w:t>e</w:t>
      </w:r>
      <w:r w:rsidRPr="00F855D9">
        <w:rPr>
          <w:rFonts w:ascii="Times New Roman" w:eastAsia="PMingLiU" w:hAnsi="Times New Roman" w:cs="Times New Roman"/>
          <w:kern w:val="2"/>
          <w:sz w:val="24"/>
          <w:szCs w:val="24"/>
          <w:lang w:eastAsia="zh-TW"/>
        </w:rPr>
        <w:t xml:space="preserve">nuhi kebutuhan dalam negeri. Kualitas SDM yang yang tidak merata di Indonesia juga menjadi salah satu hambatan tersendiri. Lulusan SMA yang memiliki sertifikat keahlian dalam pasar MEA merupakan tenaga ahli yang di Indonesia setara dengan mandor atau tukang saja. Tenaga ahli Indonesia memang cukup digemari dalam pasar jasa konstruksi, tetapi dengan jumlah penduduk terbesar di ASEAN, Indonesia hanya mampu bersaing pada level pendidikan SMA merupakan kemunduran dalam tingkat </w:t>
      </w:r>
      <w:r w:rsidRPr="00F855D9">
        <w:rPr>
          <w:rFonts w:ascii="Times New Roman" w:eastAsia="PMingLiU" w:hAnsi="Times New Roman" w:cs="Times New Roman"/>
          <w:kern w:val="2"/>
          <w:sz w:val="24"/>
          <w:szCs w:val="24"/>
          <w:lang w:eastAsia="zh-TW"/>
        </w:rPr>
        <w:lastRenderedPageBreak/>
        <w:t>perdagangan jasa. SDM untuk lulusan sarjana teknik dan arsitektur bahkan kurang dilirik pelaku usaha pada tahun 2016 lalu. Kompetensi yang masih cukup rendah memang menjadi penyebabnya. Minat terhadap sarjana teknik dan arsitektur yang masih rendah dikarenakan persyaratan dan kualifikasi yang masih dinilai sulit sesuai standar MRA ASEAN. Pemasok jasa dan  tenaga kerja juga belum komperhensif akibat beberapa peraturan yang cukup rumit. Beberapa kebijakan belum dikeluarkan oleh pemerintah Indonesia juga menjadi hambatan tersendiri. Seperti undang – undang nomor 18 tahun 1999 tentang jasa konstruksi pada tahun 2014 telah merancang pembaharuan undang – undang jasa konstruksi tersebut tetapi sampai MEA berjalan, rancangan undang – undang tersebut belum disahkan. Di Indonesia sendiri laju inflasi masih cukup tinggi pada tahun 2016, harga tenaga kerja dalam sektor jasa masih cukup tergolong tinggi dibandingan negara Thailand, Vietnam dan Filipina. Hal tersebut dipengaruhi karena populasi Indonesia yang besar dan penyetaraan harga tenaga kerja tidak bisa dilakukan karena pendapatan perkapitanya berbeda – beda di setiap daerah.</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Hambatan pemerintah Indonesia terhadap persaingan perdagangan jasa di sektor konstruksi dalam rangka era MEA tidak terlepas dari kebijakan – kebijakan yang pemerintah Indonesia buat. Untuk memenangkan persaingan, sebuah negara dapat mengandalkan keunggulan komparatif ataupun keunggulan kompetitif. Singapore dan Malaysia menjadi unggul daya saingnya karena keunggulan kompetitif, sedangkan Brunei Darussalam maupun Thailand menjadi unggul daya saingnya </w:t>
      </w:r>
      <w:r w:rsidRPr="00F855D9">
        <w:rPr>
          <w:rFonts w:ascii="Times New Roman" w:eastAsia="PMingLiU" w:hAnsi="Times New Roman" w:cs="Times New Roman"/>
          <w:bCs/>
          <w:color w:val="000000"/>
          <w:kern w:val="2"/>
          <w:sz w:val="24"/>
          <w:szCs w:val="24"/>
          <w:lang w:eastAsia="zh-TW"/>
        </w:rPr>
        <w:lastRenderedPageBreak/>
        <w:t>karena keunggulan komparatif. Thailand, negara ini sudah mengarahkan strateginya menuju keunggulan kompetitif untuk negara Philipina, Vietnam, dan Kamboja masih mengandalkan keunggulan komparatif dalam strategi perdagangannya. Kualitas sumber daya manusia Indonesia yang rendah berhubungan langsung dengan rendahnya tingkat produktivitas tenaga kerja Indonesia. Keadaan ini akan menimbulkan risiko ketenagakerjaan untuk Indonesia. Dari sisi pendidikan dan produktivitas, Indonesia masih belum dapat bersaing dengan tenaga kerja dari Malaysia, Singapura, dan Thailand. Sekitar setengah dari tenaga kerja sangat terampil di negara-negara ASEAN akan bekerja di Indonesia. Akan tetapi sebagian besar lapangan pekerjaan tersebut justru akan diperebutkan oleh para calon tenaga pekerja yang kurang terlatih serta kurangnya pendidikan. Maka dapat diperkirakan bahwa kesenjangan keterampilan tersebut akan mengurangi tingkat produktivitas serta daya saing Indonesia yang merupakan faktor penghambat bagi pemerintah Indonesia dalam bersaing dengan negera ASEAN lainnya dalam MEA.</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Selain terdapat hambatan bagi pemerintah dalam persaingan perdagangan jasa di sektor konstruksi, terdapat juga beberapa hambatan bagi pelaku usaha dalam era MEA ini. Hambatan bagi pelaku usaha  dalam persaingan perdagangan jasa di sektor konstruksi dalam MEA adalah :</w:t>
      </w:r>
    </w:p>
    <w:p w:rsidR="00F855D9" w:rsidRPr="00F855D9" w:rsidRDefault="00F855D9" w:rsidP="003D7355">
      <w:pPr>
        <w:widowControl w:val="0"/>
        <w:numPr>
          <w:ilvl w:val="0"/>
          <w:numId w:val="36"/>
        </w:numPr>
        <w:spacing w:after="0" w:line="480" w:lineRule="auto"/>
        <w:ind w:left="1276"/>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Kondisi pelaku pasar konstruksi yang masih lemah. Hal ini terlihat dari ketimpangan struktur pasar dan industri konstruksi, dimana 85% nilai pasar konstruksi dikuasai oleh kontraktor besar, sedangkan 15% sisa dari nilai pasar konstruksi diperebutkan oleh kontraktor kecil. </w:t>
      </w:r>
      <w:r w:rsidRPr="00F855D9">
        <w:rPr>
          <w:rFonts w:ascii="Times New Roman" w:eastAsia="PMingLiU" w:hAnsi="Times New Roman" w:cs="Times New Roman"/>
          <w:bCs/>
          <w:color w:val="000000"/>
          <w:kern w:val="2"/>
          <w:sz w:val="24"/>
          <w:szCs w:val="24"/>
          <w:lang w:eastAsia="zh-TW"/>
        </w:rPr>
        <w:lastRenderedPageBreak/>
        <w:t>Padahal jumlah kontraktor besar hanya 13% sedangkan 87% nya adalah kontraktor kecil. Sehingga persaingan usaha di pasar konstruksi untuk nilai kontrak yang kecil menjadi tidak sehat dan terdistorsi.</w:t>
      </w:r>
    </w:p>
    <w:p w:rsidR="00F855D9" w:rsidRPr="00F855D9" w:rsidRDefault="00F855D9" w:rsidP="003D7355">
      <w:pPr>
        <w:widowControl w:val="0"/>
        <w:numPr>
          <w:ilvl w:val="0"/>
          <w:numId w:val="36"/>
        </w:numPr>
        <w:spacing w:after="0" w:line="480" w:lineRule="auto"/>
        <w:ind w:left="1276"/>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Pelaku usaha asing di luar negara anggota ASEAN telah mendominasi pasar jasa konstruksi Indonesia, dan menyebabkan persaingan antar negara anggota ASEAN melemah.</w:t>
      </w:r>
    </w:p>
    <w:p w:rsidR="00F855D9" w:rsidRPr="00F855D9" w:rsidRDefault="00F855D9" w:rsidP="003D7355">
      <w:pPr>
        <w:widowControl w:val="0"/>
        <w:numPr>
          <w:ilvl w:val="0"/>
          <w:numId w:val="36"/>
        </w:numPr>
        <w:spacing w:after="0" w:line="480" w:lineRule="auto"/>
        <w:ind w:left="1276"/>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Kontraktor general atau umum masih mendominasi struktur industri konstruksi nasional. </w:t>
      </w:r>
    </w:p>
    <w:p w:rsidR="00F855D9" w:rsidRPr="00F855D9" w:rsidRDefault="00F855D9" w:rsidP="003D7355">
      <w:pPr>
        <w:widowControl w:val="0"/>
        <w:numPr>
          <w:ilvl w:val="0"/>
          <w:numId w:val="36"/>
        </w:numPr>
        <w:spacing w:after="0" w:line="480" w:lineRule="auto"/>
        <w:ind w:left="1276"/>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Jumlah kontraktor kecil lebih banyak bersifat kontraktor general, dan jumlah kontraktor spesialis hampir tidak ada.</w:t>
      </w:r>
    </w:p>
    <w:p w:rsidR="00F855D9" w:rsidRPr="00F855D9" w:rsidRDefault="00F855D9" w:rsidP="00F855D9">
      <w:pPr>
        <w:widowControl w:val="0"/>
        <w:spacing w:after="0" w:line="24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Pelaku konstruksi adalah pemilik, pengguna, penyedia jasa utama dan penyedia jasa penunjang. Pemilik dapat berasal dari pemerintah, </w:t>
      </w:r>
      <w:r w:rsidRPr="00F855D9">
        <w:rPr>
          <w:rFonts w:ascii="Times New Roman" w:eastAsia="PMingLiU" w:hAnsi="Times New Roman" w:cs="Times New Roman"/>
          <w:bCs/>
          <w:i/>
          <w:color w:val="000000"/>
          <w:kern w:val="2"/>
          <w:sz w:val="24"/>
          <w:szCs w:val="24"/>
          <w:lang w:eastAsia="zh-TW"/>
        </w:rPr>
        <w:t>private</w:t>
      </w:r>
      <w:r w:rsidRPr="00F855D9">
        <w:rPr>
          <w:rFonts w:ascii="Times New Roman" w:eastAsia="PMingLiU" w:hAnsi="Times New Roman" w:cs="Times New Roman"/>
          <w:bCs/>
          <w:color w:val="000000"/>
          <w:kern w:val="2"/>
          <w:sz w:val="24"/>
          <w:szCs w:val="24"/>
          <w:lang w:eastAsia="zh-TW"/>
        </w:rPr>
        <w:t xml:space="preserve">, </w:t>
      </w:r>
      <w:r w:rsidRPr="00F855D9">
        <w:rPr>
          <w:rFonts w:ascii="Times New Roman" w:eastAsia="PMingLiU" w:hAnsi="Times New Roman" w:cs="Times New Roman"/>
          <w:bCs/>
          <w:i/>
          <w:color w:val="000000"/>
          <w:kern w:val="2"/>
          <w:sz w:val="24"/>
          <w:szCs w:val="24"/>
          <w:lang w:eastAsia="zh-TW"/>
        </w:rPr>
        <w:t>developer</w:t>
      </w:r>
      <w:r w:rsidRPr="00F855D9">
        <w:rPr>
          <w:rFonts w:ascii="Times New Roman" w:eastAsia="PMingLiU" w:hAnsi="Times New Roman" w:cs="Times New Roman"/>
          <w:bCs/>
          <w:color w:val="000000"/>
          <w:kern w:val="2"/>
          <w:sz w:val="24"/>
          <w:szCs w:val="24"/>
          <w:lang w:eastAsia="zh-TW"/>
        </w:rPr>
        <w:t>, kontraktor, dan komunitas. Penyedia jasa utama adalah kontraktor dan subkontraktor, konsultan (</w:t>
      </w:r>
      <w:r w:rsidRPr="00F855D9">
        <w:rPr>
          <w:rFonts w:ascii="Times New Roman" w:eastAsia="PMingLiU" w:hAnsi="Times New Roman" w:cs="Times New Roman"/>
          <w:bCs/>
          <w:i/>
          <w:color w:val="000000"/>
          <w:kern w:val="2"/>
          <w:sz w:val="24"/>
          <w:szCs w:val="24"/>
          <w:lang w:eastAsia="zh-TW"/>
        </w:rPr>
        <w:t>planning, design, checker), suppliers (equipment, materials, labou</w:t>
      </w:r>
      <w:r w:rsidRPr="00F855D9">
        <w:rPr>
          <w:rFonts w:ascii="Times New Roman" w:eastAsia="PMingLiU" w:hAnsi="Times New Roman" w:cs="Times New Roman"/>
          <w:bCs/>
          <w:color w:val="000000"/>
          <w:kern w:val="2"/>
          <w:sz w:val="24"/>
          <w:szCs w:val="24"/>
          <w:lang w:eastAsia="zh-TW"/>
        </w:rPr>
        <w:t xml:space="preserve">r). Sedangkan penyedia jasa penunjang adalah </w:t>
      </w:r>
      <w:r w:rsidRPr="00F855D9">
        <w:rPr>
          <w:rFonts w:ascii="Times New Roman" w:eastAsia="PMingLiU" w:hAnsi="Times New Roman" w:cs="Times New Roman"/>
          <w:bCs/>
          <w:i/>
          <w:color w:val="000000"/>
          <w:kern w:val="2"/>
          <w:sz w:val="24"/>
          <w:szCs w:val="24"/>
          <w:lang w:eastAsia="zh-TW"/>
        </w:rPr>
        <w:t>insurance, financiers, intermidiary (brokers), legal advisors, warehouse and transportation, dan manufacturers (building materials and equiments)</w:t>
      </w:r>
      <w:r w:rsidRPr="00F855D9">
        <w:rPr>
          <w:rFonts w:ascii="Times New Roman" w:eastAsia="PMingLiU" w:hAnsi="Times New Roman" w:cs="Times New Roman"/>
          <w:bCs/>
          <w:color w:val="000000"/>
          <w:kern w:val="2"/>
          <w:sz w:val="24"/>
          <w:szCs w:val="24"/>
          <w:lang w:eastAsia="zh-TW"/>
        </w:rPr>
        <w:t>.</w:t>
      </w:r>
      <w:r w:rsidRPr="00F855D9">
        <w:rPr>
          <w:rFonts w:ascii="Times New Roman" w:eastAsia="PMingLiU" w:hAnsi="Times New Roman" w:cs="Times New Roman"/>
          <w:bCs/>
          <w:color w:val="000000"/>
          <w:kern w:val="2"/>
          <w:sz w:val="24"/>
          <w:szCs w:val="24"/>
          <w:vertAlign w:val="superscript"/>
          <w:lang w:eastAsia="zh-TW"/>
        </w:rPr>
        <w:footnoteReference w:id="92"/>
      </w:r>
      <w:r w:rsidRPr="00F855D9">
        <w:rPr>
          <w:rFonts w:ascii="Times New Roman" w:eastAsia="PMingLiU" w:hAnsi="Times New Roman" w:cs="Times New Roman"/>
          <w:bCs/>
          <w:color w:val="000000"/>
          <w:kern w:val="2"/>
          <w:sz w:val="24"/>
          <w:szCs w:val="24"/>
          <w:lang w:eastAsia="zh-TW"/>
        </w:rPr>
        <w:t xml:space="preserve"> Pelaku jasa konstruksi masih lemah dalam mengadopsi perkembangan teknologi yang ada terutama pada kontraktor-kontraktor kecil yang jumlahnya mencapai 87% dari jumlah kontraktor yang ada di Indonesia. Pelaku jasa konstruksi nasional harus menghadapi persaingan yang cukup berat dengan pelaku jasa konstruksi asing yang </w:t>
      </w:r>
      <w:r w:rsidRPr="00F855D9">
        <w:rPr>
          <w:rFonts w:ascii="Times New Roman" w:eastAsia="PMingLiU" w:hAnsi="Times New Roman" w:cs="Times New Roman"/>
          <w:bCs/>
          <w:color w:val="000000"/>
          <w:kern w:val="2"/>
          <w:sz w:val="24"/>
          <w:szCs w:val="24"/>
          <w:lang w:eastAsia="zh-TW"/>
        </w:rPr>
        <w:lastRenderedPageBreak/>
        <w:t xml:space="preserve">akan mudah masuk ke pasar konstruksi nasional dengan adanya MEA 2015. Lemahnya kondisi pelaku pasar konstruksi di Indonesia, akan memudahkan pelaku jasa konstruksi asing untuk merebut pasar dalam negeri. Saat ini jumlah pelaku jasa konstruksi asing dari negara-negara Asia, Eropa dan USA yang beroperasi dan teregistrasi di Indonesia, baik konsultan maupun kontraktor terus bertambah sejak tahun 2004. </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Di sisi lain, Badan Koordinasi Penanaman Modal (BKPM) harus segera mengeluarkan Daftar Negatif Investasi (DNI) karena berhubungan dengan MEA DNI terutama di sektor distribusi, retail, dan </w:t>
      </w:r>
      <w:r w:rsidRPr="00F855D9">
        <w:rPr>
          <w:rFonts w:ascii="Times New Roman" w:eastAsia="PMingLiU" w:hAnsi="Times New Roman" w:cs="Times New Roman"/>
          <w:bCs/>
          <w:i/>
          <w:color w:val="000000"/>
          <w:kern w:val="2"/>
          <w:sz w:val="24"/>
          <w:szCs w:val="24"/>
          <w:lang w:eastAsia="zh-TW"/>
        </w:rPr>
        <w:t>service industry</w:t>
      </w:r>
      <w:r w:rsidRPr="00F855D9">
        <w:rPr>
          <w:rFonts w:ascii="Times New Roman" w:eastAsia="PMingLiU" w:hAnsi="Times New Roman" w:cs="Times New Roman"/>
          <w:bCs/>
          <w:color w:val="000000"/>
          <w:kern w:val="2"/>
          <w:sz w:val="24"/>
          <w:szCs w:val="24"/>
          <w:lang w:eastAsia="zh-TW"/>
        </w:rPr>
        <w:t xml:space="preserve"> harus dipegang oleh pengusaha nasional dan jangan diserahkan ke pihak asing. Pasalnya industri manufaktur telah dikuasai oleh asing, baik dari segi modal maupun teknologi. Sehingga, apabila ada pihak asing yang masuk dalam DNI, maka harus melakukan </w:t>
      </w:r>
      <w:r w:rsidRPr="00F855D9">
        <w:rPr>
          <w:rFonts w:ascii="Times New Roman" w:eastAsia="PMingLiU" w:hAnsi="Times New Roman" w:cs="Times New Roman"/>
          <w:bCs/>
          <w:i/>
          <w:color w:val="000000"/>
          <w:kern w:val="2"/>
          <w:sz w:val="24"/>
          <w:szCs w:val="24"/>
          <w:lang w:eastAsia="zh-TW"/>
        </w:rPr>
        <w:t>join venture</w:t>
      </w:r>
      <w:r w:rsidRPr="00F855D9">
        <w:rPr>
          <w:rFonts w:ascii="Times New Roman" w:eastAsia="PMingLiU" w:hAnsi="Times New Roman" w:cs="Times New Roman"/>
          <w:bCs/>
          <w:color w:val="000000"/>
          <w:kern w:val="2"/>
          <w:sz w:val="24"/>
          <w:szCs w:val="24"/>
          <w:lang w:eastAsia="zh-TW"/>
        </w:rPr>
        <w:t xml:space="preserve"> dengan perusahaan lokal. </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Ketua Umum Asosiasi Pengusaha Indonesia (Apindo) Hariyadi B. Sukamdani menjelakan bahwa :</w:t>
      </w:r>
    </w:p>
    <w:p w:rsidR="00F855D9" w:rsidRPr="00F855D9" w:rsidRDefault="00F855D9" w:rsidP="00915C1B">
      <w:pPr>
        <w:widowControl w:val="0"/>
        <w:spacing w:after="0" w:line="24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 MEA bisa menjadi ancaman bagi Indonesia ketika masih ada sektor-sektor tertentu yang belum siap bersaing dengan negara lain. Sofjan mencontohkan, agrikultur Indonesia masih kalah saing dengan Thailand. Di bidang </w:t>
      </w:r>
      <w:r w:rsidRPr="00F855D9">
        <w:rPr>
          <w:rFonts w:ascii="Times New Roman" w:eastAsia="PMingLiU" w:hAnsi="Times New Roman" w:cs="Times New Roman"/>
          <w:bCs/>
          <w:i/>
          <w:color w:val="000000"/>
          <w:kern w:val="2"/>
          <w:sz w:val="24"/>
          <w:szCs w:val="24"/>
          <w:lang w:eastAsia="zh-TW"/>
        </w:rPr>
        <w:t>service industry</w:t>
      </w:r>
      <w:r w:rsidRPr="00F855D9">
        <w:rPr>
          <w:rFonts w:ascii="Times New Roman" w:eastAsia="PMingLiU" w:hAnsi="Times New Roman" w:cs="Times New Roman"/>
          <w:bCs/>
          <w:color w:val="000000"/>
          <w:kern w:val="2"/>
          <w:sz w:val="24"/>
          <w:szCs w:val="24"/>
          <w:lang w:eastAsia="zh-TW"/>
        </w:rPr>
        <w:t xml:space="preserve"> Singapura lebih unggul dari Indonesia. MEA akan dapat menjadi keuntungan bagi Indonesia bila semua pihak terkait bisa mempersiapkan diri secara matang sehingga nantinya bisa menghadapi persaingan yang pastinya tidak mudah. Pemerintah harus bisa membenahi sejumlah hal utama seperti </w:t>
      </w:r>
      <w:r w:rsidRPr="00F855D9">
        <w:rPr>
          <w:rFonts w:ascii="Times New Roman" w:eastAsia="PMingLiU" w:hAnsi="Times New Roman" w:cs="Times New Roman"/>
          <w:bCs/>
          <w:i/>
          <w:color w:val="000000"/>
          <w:kern w:val="2"/>
          <w:sz w:val="24"/>
          <w:szCs w:val="24"/>
          <w:lang w:eastAsia="zh-TW"/>
        </w:rPr>
        <w:t xml:space="preserve">high cost economy </w:t>
      </w:r>
      <w:r w:rsidRPr="00F855D9">
        <w:rPr>
          <w:rFonts w:ascii="Times New Roman" w:eastAsia="PMingLiU" w:hAnsi="Times New Roman" w:cs="Times New Roman"/>
          <w:bCs/>
          <w:color w:val="000000"/>
          <w:kern w:val="2"/>
          <w:sz w:val="24"/>
          <w:szCs w:val="24"/>
          <w:lang w:eastAsia="zh-TW"/>
        </w:rPr>
        <w:t>dan kondisi infrastruktur, demi kepentingan nasional.</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Pernyataan ketua umum APINDO tersebut didasarkan pada banyaknya perusahaan konstruksi asing yang berada di Indonesia dan menjadi ancaman yang berbahaya karena beberapa jenis sektor tertentu </w:t>
      </w:r>
      <w:r w:rsidRPr="00F855D9">
        <w:rPr>
          <w:rFonts w:ascii="Times New Roman" w:eastAsia="PMingLiU" w:hAnsi="Times New Roman" w:cs="Times New Roman"/>
          <w:bCs/>
          <w:color w:val="000000"/>
          <w:kern w:val="2"/>
          <w:sz w:val="24"/>
          <w:szCs w:val="24"/>
          <w:lang w:eastAsia="zh-TW"/>
        </w:rPr>
        <w:lastRenderedPageBreak/>
        <w:t xml:space="preserve">telah direbut pangsa pasarnya oleh negara ASEAN lain dan menjadikan MEA sebagai ancaman bagi Indonesia. Berikut ini adalah tabel tentang Jumlah Perusahaan Konsultan dan Kontraktor Asing di Indonesia. </w:t>
      </w:r>
    </w:p>
    <w:p w:rsidR="00F855D9" w:rsidRPr="00F855D9" w:rsidRDefault="00F855D9" w:rsidP="00F855D9">
      <w:pPr>
        <w:widowControl w:val="0"/>
        <w:spacing w:after="0" w:line="480" w:lineRule="auto"/>
        <w:contextualSpacing/>
        <w:jc w:val="center"/>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Tabel 3.2 : Jumlah Perusahaan Konsultan dan Kontraktor Asing di Indonesia</w:t>
      </w:r>
    </w:p>
    <w:tbl>
      <w:tblPr>
        <w:tblStyle w:val="TableGrid"/>
        <w:tblW w:w="8364" w:type="dxa"/>
        <w:tblInd w:w="-176" w:type="dxa"/>
        <w:tblLook w:val="04A0" w:firstRow="1" w:lastRow="0" w:firstColumn="1" w:lastColumn="0" w:noHBand="0" w:noVBand="1"/>
      </w:tblPr>
      <w:tblGrid>
        <w:gridCol w:w="2552"/>
        <w:gridCol w:w="851"/>
        <w:gridCol w:w="992"/>
        <w:gridCol w:w="992"/>
        <w:gridCol w:w="1134"/>
        <w:gridCol w:w="993"/>
        <w:gridCol w:w="850"/>
      </w:tblGrid>
      <w:tr w:rsidR="00F855D9" w:rsidRPr="00F855D9" w:rsidTr="00F855D9">
        <w:trPr>
          <w:trHeight w:val="411"/>
        </w:trPr>
        <w:tc>
          <w:tcPr>
            <w:tcW w:w="2552"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Tahun</w:t>
            </w:r>
          </w:p>
        </w:tc>
        <w:tc>
          <w:tcPr>
            <w:tcW w:w="851"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2006</w:t>
            </w:r>
          </w:p>
        </w:tc>
        <w:tc>
          <w:tcPr>
            <w:tcW w:w="992"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2008</w:t>
            </w:r>
          </w:p>
        </w:tc>
        <w:tc>
          <w:tcPr>
            <w:tcW w:w="992"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2010</w:t>
            </w:r>
          </w:p>
        </w:tc>
        <w:tc>
          <w:tcPr>
            <w:tcW w:w="1134"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2012</w:t>
            </w:r>
          </w:p>
        </w:tc>
        <w:tc>
          <w:tcPr>
            <w:tcW w:w="993"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2014</w:t>
            </w:r>
          </w:p>
        </w:tc>
        <w:tc>
          <w:tcPr>
            <w:tcW w:w="850"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2016</w:t>
            </w:r>
          </w:p>
        </w:tc>
      </w:tr>
      <w:tr w:rsidR="00F855D9" w:rsidRPr="00F855D9" w:rsidTr="00F855D9">
        <w:tc>
          <w:tcPr>
            <w:tcW w:w="2552" w:type="dxa"/>
          </w:tcPr>
          <w:p w:rsidR="00F855D9" w:rsidRPr="00F855D9" w:rsidRDefault="00F855D9" w:rsidP="00F855D9">
            <w:pPr>
              <w:widowControl w:val="0"/>
              <w:spacing w:line="480" w:lineRule="auto"/>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BUJK ASEAN</w:t>
            </w:r>
          </w:p>
        </w:tc>
        <w:tc>
          <w:tcPr>
            <w:tcW w:w="851"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7</w:t>
            </w:r>
          </w:p>
        </w:tc>
        <w:tc>
          <w:tcPr>
            <w:tcW w:w="992"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14</w:t>
            </w:r>
          </w:p>
        </w:tc>
        <w:tc>
          <w:tcPr>
            <w:tcW w:w="992"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14</w:t>
            </w:r>
          </w:p>
        </w:tc>
        <w:tc>
          <w:tcPr>
            <w:tcW w:w="1134"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16</w:t>
            </w:r>
          </w:p>
        </w:tc>
        <w:tc>
          <w:tcPr>
            <w:tcW w:w="993"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14</w:t>
            </w:r>
          </w:p>
        </w:tc>
        <w:tc>
          <w:tcPr>
            <w:tcW w:w="850"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19</w:t>
            </w:r>
          </w:p>
        </w:tc>
      </w:tr>
      <w:tr w:rsidR="00F855D9" w:rsidRPr="00F855D9" w:rsidTr="00F855D9">
        <w:tc>
          <w:tcPr>
            <w:tcW w:w="2552" w:type="dxa"/>
          </w:tcPr>
          <w:p w:rsidR="00F855D9" w:rsidRPr="00F855D9" w:rsidRDefault="00F855D9" w:rsidP="00F855D9">
            <w:pPr>
              <w:widowControl w:val="0"/>
              <w:spacing w:line="480" w:lineRule="auto"/>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BUJK NON ASEAN</w:t>
            </w:r>
          </w:p>
        </w:tc>
        <w:tc>
          <w:tcPr>
            <w:tcW w:w="851"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160</w:t>
            </w:r>
          </w:p>
        </w:tc>
        <w:tc>
          <w:tcPr>
            <w:tcW w:w="992"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181</w:t>
            </w:r>
          </w:p>
        </w:tc>
        <w:tc>
          <w:tcPr>
            <w:tcW w:w="992"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193</w:t>
            </w:r>
          </w:p>
        </w:tc>
        <w:tc>
          <w:tcPr>
            <w:tcW w:w="1134"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239</w:t>
            </w:r>
          </w:p>
        </w:tc>
        <w:tc>
          <w:tcPr>
            <w:tcW w:w="993"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276</w:t>
            </w:r>
          </w:p>
        </w:tc>
        <w:tc>
          <w:tcPr>
            <w:tcW w:w="850"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284</w:t>
            </w:r>
          </w:p>
        </w:tc>
      </w:tr>
      <w:tr w:rsidR="00F855D9" w:rsidRPr="00F855D9" w:rsidTr="00F855D9">
        <w:tc>
          <w:tcPr>
            <w:tcW w:w="2552" w:type="dxa"/>
          </w:tcPr>
          <w:p w:rsidR="00F855D9" w:rsidRPr="00F855D9" w:rsidRDefault="00F855D9" w:rsidP="00F855D9">
            <w:pPr>
              <w:widowControl w:val="0"/>
              <w:spacing w:line="480" w:lineRule="auto"/>
              <w:contextualSpacing/>
              <w:jc w:val="center"/>
              <w:rPr>
                <w:rFonts w:ascii="Times New Roman" w:hAnsi="Times New Roman" w:cs="Times New Roman"/>
                <w:b/>
                <w:bCs/>
                <w:color w:val="000000"/>
                <w:kern w:val="2"/>
                <w:sz w:val="24"/>
                <w:szCs w:val="24"/>
                <w:lang w:eastAsia="zh-TW"/>
              </w:rPr>
            </w:pPr>
            <w:r w:rsidRPr="00F855D9">
              <w:rPr>
                <w:rFonts w:ascii="Times New Roman" w:hAnsi="Times New Roman" w:cs="Times New Roman"/>
                <w:b/>
                <w:bCs/>
                <w:color w:val="000000"/>
                <w:kern w:val="2"/>
                <w:sz w:val="24"/>
                <w:szCs w:val="24"/>
                <w:lang w:eastAsia="zh-TW"/>
              </w:rPr>
              <w:t>Total BUJKA</w:t>
            </w:r>
          </w:p>
        </w:tc>
        <w:tc>
          <w:tcPr>
            <w:tcW w:w="851"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167</w:t>
            </w:r>
          </w:p>
        </w:tc>
        <w:tc>
          <w:tcPr>
            <w:tcW w:w="992"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195</w:t>
            </w:r>
          </w:p>
        </w:tc>
        <w:tc>
          <w:tcPr>
            <w:tcW w:w="992"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207</w:t>
            </w:r>
          </w:p>
        </w:tc>
        <w:tc>
          <w:tcPr>
            <w:tcW w:w="1134"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255</w:t>
            </w:r>
          </w:p>
        </w:tc>
        <w:tc>
          <w:tcPr>
            <w:tcW w:w="993"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290</w:t>
            </w:r>
          </w:p>
        </w:tc>
        <w:tc>
          <w:tcPr>
            <w:tcW w:w="850" w:type="dxa"/>
          </w:tcPr>
          <w:p w:rsidR="00F855D9" w:rsidRPr="00F855D9" w:rsidRDefault="00F855D9" w:rsidP="00F855D9">
            <w:pPr>
              <w:widowControl w:val="0"/>
              <w:spacing w:line="480" w:lineRule="auto"/>
              <w:contextualSpacing/>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298</w:t>
            </w:r>
          </w:p>
        </w:tc>
      </w:tr>
    </w:tbl>
    <w:p w:rsidR="00F855D9" w:rsidRPr="00F855D9" w:rsidRDefault="00F855D9" w:rsidP="00F855D9">
      <w:pPr>
        <w:widowControl w:val="0"/>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Sumber : Diolah Penulis</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val="en-US" w:eastAsia="zh-TW"/>
        </w:rPr>
        <w:t>Kepala Badan Pembinaan Konstruksi Kementerian Pekerjaan Umum</w:t>
      </w:r>
      <w:r w:rsidRPr="00F855D9">
        <w:rPr>
          <w:rFonts w:ascii="Times New Roman" w:eastAsia="PMingLiU" w:hAnsi="Times New Roman" w:cs="Times New Roman"/>
          <w:kern w:val="2"/>
          <w:sz w:val="24"/>
          <w:szCs w:val="24"/>
          <w:lang w:eastAsia="zh-TW"/>
        </w:rPr>
        <w:t>, Hediyanto W. Husaeni menjelaskan bahwa  :</w:t>
      </w:r>
    </w:p>
    <w:p w:rsidR="00F855D9" w:rsidRPr="00F855D9" w:rsidRDefault="00F855D9" w:rsidP="00915C1B">
      <w:pPr>
        <w:widowControl w:val="0"/>
        <w:spacing w:after="0" w:line="240" w:lineRule="auto"/>
        <w:ind w:left="720" w:firstLine="720"/>
        <w:contextualSpacing/>
        <w:jc w:val="both"/>
        <w:rPr>
          <w:rFonts w:ascii="Times New Roman" w:eastAsia="PMingLiU" w:hAnsi="Times New Roman" w:cs="Times New Roman"/>
          <w:kern w:val="2"/>
          <w:sz w:val="24"/>
          <w:szCs w:val="24"/>
          <w:lang w:val="en-US" w:eastAsia="zh-TW"/>
        </w:rPr>
      </w:pPr>
      <w:r w:rsidRPr="00F855D9">
        <w:rPr>
          <w:rFonts w:ascii="Times New Roman" w:eastAsia="PMingLiU" w:hAnsi="Times New Roman" w:cs="Times New Roman"/>
          <w:kern w:val="2"/>
          <w:sz w:val="24"/>
          <w:szCs w:val="24"/>
          <w:lang w:eastAsia="zh-TW"/>
        </w:rPr>
        <w:t>J</w:t>
      </w:r>
      <w:r w:rsidRPr="00F855D9">
        <w:rPr>
          <w:rFonts w:ascii="Times New Roman" w:eastAsia="PMingLiU" w:hAnsi="Times New Roman" w:cs="Times New Roman"/>
          <w:kern w:val="2"/>
          <w:sz w:val="24"/>
          <w:szCs w:val="24"/>
          <w:lang w:val="en-US" w:eastAsia="zh-TW"/>
        </w:rPr>
        <w:t xml:space="preserve">umlah kontraktor dan konsultan konstruksi asing yang beroperasi di Indonesia dalam dua tahun terakhir terus meningkat, terutama dari Jepang, China dan Korea Selatan. Banyaknya pelaku jasa konstruksi asing, khususnya asal tiga negara tersebut, karena negara tersebut masih tercatat sebagai pemberi pinjaman terbesar bagi Indonesia. Pelaku jasa konstruksi asal Jepang, Korea, dan China selalu mendominasi, namun kita juga upayakan agar mereka tidak membanjir dengan adanya persyaratan tertentu untuk dapat masuk ke Indonesia. Pada 2007, kontraktor dan konsultan asing berjumlah 200 perusahaan. Jumlahnya sempat turun pada  2008 berjumlah 195 perusahaan dan 2009 sebanyak 198 perusahaan. Kemudian, pada 2010, jumlahnya kembali naik menjadi 207 perusahaan. Sementara pada tahun ini, hingga Mei, jumlah kontraktor dan konsultan asing mencapai 213 perusahaan. Berdasarkan data Kementerian Pekerjaan Umum, pada tahun ini jumlah kontraktor asal Jepang tercatat sebanyak 37, konsultan sebanyak 22, kontraktor dan sekaligus konsultan 16 perusahaan. Total berjumlah 75 perusahaan. Kontraktor asal Korea Selatan tercatat 27 perusahaan dan konsultan 11 perusahaan, perusahaan kontraktor sekaligus konsultan 1 perusahaan, sehingga total berjumlah 39 perusahaan. Kemudian kontraktor asal China ada 29 perusahaan, konsultan 2 perusahaan, kontraktor sekaligus konsultan 2 perusahaan, sehingga totalnya mencapai 33 perusahaan. Untuk mengantisipasi semakin bertambahnya perusahaan jasa konstruksi asing di Indonesia, pemerintah juga memberikan persyartan khusus seperti mereka wajib mendirikan kantor di Indonesia sesuai dengan Peraturan Menteri Pekerjaan Umum Nomor 10 Tahun 2011 tentang Izin Usaha Badan Usaha Asing. Selain itu, ungkap Bambang, sesuai dalam Keputusan Presiden Nomor  54 Tahun </w:t>
      </w:r>
      <w:r w:rsidRPr="00F855D9">
        <w:rPr>
          <w:rFonts w:ascii="Times New Roman" w:eastAsia="PMingLiU" w:hAnsi="Times New Roman" w:cs="Times New Roman"/>
          <w:kern w:val="2"/>
          <w:sz w:val="24"/>
          <w:szCs w:val="24"/>
          <w:lang w:val="en-US" w:eastAsia="zh-TW"/>
        </w:rPr>
        <w:lastRenderedPageBreak/>
        <w:t>2010, pelaku jasa konstruksi yang masuk ke Indonesia itu harus mengerjakan proyek di atas Rp 100 miliar. Dengan demikian, kehadiran mereka tidak mengganggu pasar konstruksi kecil yang ada di Indonesia. Sedangkan untuk proyek yang menggunakan pinjaman luar negeri yang selalu menggunakan kontraktor asal donor, Hediyanto W. Husaeni men</w:t>
      </w:r>
      <w:r w:rsidRPr="00F855D9">
        <w:rPr>
          <w:rFonts w:ascii="Times New Roman" w:eastAsia="PMingLiU" w:hAnsi="Times New Roman" w:cs="Times New Roman"/>
          <w:kern w:val="2"/>
          <w:sz w:val="24"/>
          <w:szCs w:val="24"/>
          <w:lang w:eastAsia="zh-TW"/>
        </w:rPr>
        <w:t>jelaskan,</w:t>
      </w:r>
      <w:r w:rsidRPr="00F855D9">
        <w:rPr>
          <w:rFonts w:ascii="Times New Roman" w:eastAsia="PMingLiU" w:hAnsi="Times New Roman" w:cs="Times New Roman"/>
          <w:kern w:val="2"/>
          <w:sz w:val="24"/>
          <w:szCs w:val="24"/>
          <w:lang w:val="en-US" w:eastAsia="zh-TW"/>
        </w:rPr>
        <w:t xml:space="preserve"> pihaknya selalu mewajibkan untuk menggandeng kontraktor nasional yang berpengalaman dalam membangun proyek tersebut atau mempunyai karakteristik. Dengan demikian akan lebih mudah dalam menyerap ilmu dari kontraktor asing tersebut.</w:t>
      </w:r>
    </w:p>
    <w:p w:rsidR="00F855D9" w:rsidRPr="00F855D9" w:rsidRDefault="00F855D9" w:rsidP="00F855D9">
      <w:pPr>
        <w:widowControl w:val="0"/>
        <w:spacing w:after="0" w:line="240" w:lineRule="auto"/>
        <w:contextualSpacing/>
        <w:jc w:val="both"/>
        <w:rPr>
          <w:rFonts w:ascii="Times New Roman" w:eastAsia="PMingLiU" w:hAnsi="Times New Roman" w:cs="Times New Roman"/>
          <w:kern w:val="2"/>
          <w:sz w:val="24"/>
          <w:szCs w:val="24"/>
          <w:lang w:val="en-US" w:eastAsia="zh-TW"/>
        </w:rPr>
      </w:pPr>
      <w:r w:rsidRPr="00F855D9">
        <w:rPr>
          <w:rFonts w:ascii="Times New Roman" w:eastAsia="PMingLiU" w:hAnsi="Times New Roman" w:cs="Times New Roman"/>
          <w:kern w:val="2"/>
          <w:sz w:val="24"/>
          <w:szCs w:val="24"/>
          <w:lang w:val="en-US" w:eastAsia="zh-TW"/>
        </w:rPr>
        <w:t xml:space="preserve"> </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Jumlah kontraktor asing yang banyak telah mengganggu pasar konstruksi untuk kontraktor dalam negeri, sebelum MEA berlangsung perusahaan konstruksi dari China, Korea dan India telah menguasai pasar jasa konstruksi, hambatan bagi pemerintah Indonesia semakin berat dengan berlangsungnya MEA pada Desember 2015. Persaingan yang semakin ketat mendorong pemerintah Indonesia mengeluarkan kebijakan daftar bidang usaha yang tertutup dan bidang usaha tebuka dengan pembatasan kepemilikan modal. Meskipun adanya pembatasan bidang usaha atas kepemilikan modal, banyak pihak asing yang masuk menjadi hambatan yang cukup berat bagi Indonesia mengingat pihak asing tersebut memiliki keunggulan teknologi dan daya saing tenaga kerja yang lebih baik dibandingkan dengan Indonesia. Hal ini senada dengan penjelasan dari ketua gabungan pelaksana konstruksi Indonesia, bapak Suharsojo.</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val="en-US" w:eastAsia="zh-TW"/>
        </w:rPr>
        <w:t xml:space="preserve">Suharsojo, Ketua Gabungan Pelaksana Konstruksi </w:t>
      </w:r>
      <w:r w:rsidRPr="00F855D9">
        <w:rPr>
          <w:rFonts w:ascii="Times New Roman" w:eastAsia="PMingLiU" w:hAnsi="Times New Roman" w:cs="Times New Roman"/>
          <w:kern w:val="2"/>
          <w:sz w:val="24"/>
          <w:szCs w:val="24"/>
          <w:lang w:eastAsia="zh-TW"/>
        </w:rPr>
        <w:t xml:space="preserve"> </w:t>
      </w:r>
      <w:r w:rsidRPr="00F855D9">
        <w:rPr>
          <w:rFonts w:ascii="Times New Roman" w:eastAsia="PMingLiU" w:hAnsi="Times New Roman" w:cs="Times New Roman"/>
          <w:kern w:val="2"/>
          <w:sz w:val="24"/>
          <w:szCs w:val="24"/>
          <w:lang w:val="en-US" w:eastAsia="zh-TW"/>
        </w:rPr>
        <w:t>Indonesia, menjelaskan</w:t>
      </w:r>
      <w:r w:rsidRPr="00F855D9">
        <w:rPr>
          <w:rFonts w:ascii="Times New Roman" w:eastAsia="PMingLiU" w:hAnsi="Times New Roman" w:cs="Times New Roman"/>
          <w:kern w:val="2"/>
          <w:sz w:val="24"/>
          <w:szCs w:val="24"/>
          <w:lang w:eastAsia="zh-TW"/>
        </w:rPr>
        <w:t xml:space="preserve"> bahwa :</w:t>
      </w:r>
    </w:p>
    <w:p w:rsidR="00F855D9" w:rsidRPr="00F855D9" w:rsidRDefault="00F855D9" w:rsidP="00915C1B">
      <w:pPr>
        <w:widowControl w:val="0"/>
        <w:spacing w:after="0" w:line="240" w:lineRule="auto"/>
        <w:ind w:left="709"/>
        <w:contextualSpacing/>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val="en-US" w:eastAsia="zh-TW"/>
        </w:rPr>
        <w:t xml:space="preserve"> </w:t>
      </w:r>
      <w:r w:rsidR="00915C1B">
        <w:rPr>
          <w:rFonts w:ascii="Times New Roman" w:eastAsia="PMingLiU" w:hAnsi="Times New Roman" w:cs="Times New Roman"/>
          <w:kern w:val="2"/>
          <w:sz w:val="24"/>
          <w:szCs w:val="24"/>
          <w:lang w:val="en-US" w:eastAsia="zh-TW"/>
        </w:rPr>
        <w:tab/>
      </w:r>
      <w:r w:rsidRPr="00F855D9">
        <w:rPr>
          <w:rFonts w:ascii="Times New Roman" w:eastAsia="PMingLiU" w:hAnsi="Times New Roman" w:cs="Times New Roman"/>
          <w:kern w:val="2"/>
          <w:sz w:val="24"/>
          <w:szCs w:val="24"/>
          <w:lang w:val="en-US" w:eastAsia="zh-TW"/>
        </w:rPr>
        <w:t xml:space="preserve">Semakin banyak kontraktor asing masuk ke Indonesia karena di Indonesia semakin banyak lelang internasional. Lelang secara internasional dilakukan </w:t>
      </w:r>
      <w:r w:rsidRPr="00F855D9">
        <w:rPr>
          <w:rFonts w:ascii="Times New Roman" w:eastAsia="PMingLiU" w:hAnsi="Times New Roman" w:cs="Times New Roman"/>
          <w:kern w:val="2"/>
          <w:sz w:val="24"/>
          <w:szCs w:val="24"/>
          <w:lang w:eastAsia="zh-TW"/>
        </w:rPr>
        <w:t xml:space="preserve">dengan </w:t>
      </w:r>
      <w:r w:rsidRPr="00F855D9">
        <w:rPr>
          <w:rFonts w:ascii="Times New Roman" w:eastAsia="PMingLiU" w:hAnsi="Times New Roman" w:cs="Times New Roman"/>
          <w:kern w:val="2"/>
          <w:sz w:val="24"/>
          <w:szCs w:val="24"/>
          <w:lang w:val="en-US" w:eastAsia="zh-TW"/>
        </w:rPr>
        <w:t>nilai investasi yang besar, banyak modal asing di dalamnya, serta memerlukan penguasaan teknologi seperti pada pembangunan pada proyek migas, seperti Kilang dan lainnya. Sekarang sudah era globalisasi, sehingga</w:t>
      </w:r>
      <w:r w:rsidRPr="00F855D9">
        <w:rPr>
          <w:rFonts w:ascii="Times New Roman" w:eastAsia="PMingLiU" w:hAnsi="Times New Roman" w:cs="Times New Roman"/>
          <w:kern w:val="2"/>
          <w:sz w:val="24"/>
          <w:szCs w:val="24"/>
          <w:lang w:eastAsia="zh-TW"/>
        </w:rPr>
        <w:t xml:space="preserve"> pihak</w:t>
      </w:r>
      <w:r w:rsidRPr="00F855D9">
        <w:rPr>
          <w:rFonts w:ascii="Times New Roman" w:eastAsia="PMingLiU" w:hAnsi="Times New Roman" w:cs="Times New Roman"/>
          <w:kern w:val="2"/>
          <w:sz w:val="24"/>
          <w:szCs w:val="24"/>
          <w:lang w:val="en-US" w:eastAsia="zh-TW"/>
        </w:rPr>
        <w:t xml:space="preserve"> asing bisa masu</w:t>
      </w:r>
      <w:r w:rsidRPr="00F855D9">
        <w:rPr>
          <w:rFonts w:ascii="Times New Roman" w:eastAsia="PMingLiU" w:hAnsi="Times New Roman" w:cs="Times New Roman"/>
          <w:kern w:val="2"/>
          <w:sz w:val="24"/>
          <w:szCs w:val="24"/>
          <w:lang w:eastAsia="zh-TW"/>
        </w:rPr>
        <w:t>k.</w:t>
      </w:r>
    </w:p>
    <w:p w:rsidR="00F855D9" w:rsidRPr="00F855D9" w:rsidRDefault="00F855D9" w:rsidP="00F855D9">
      <w:pPr>
        <w:widowControl w:val="0"/>
        <w:spacing w:after="0" w:line="240" w:lineRule="auto"/>
        <w:contextualSpacing/>
        <w:jc w:val="both"/>
        <w:rPr>
          <w:rFonts w:ascii="Times New Roman" w:eastAsia="PMingLiU" w:hAnsi="Times New Roman" w:cs="Times New Roman"/>
          <w:kern w:val="2"/>
          <w:sz w:val="24"/>
          <w:szCs w:val="24"/>
          <w:lang w:eastAsia="zh-TW"/>
        </w:rPr>
      </w:pP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Banyaknya kontraktor asing juga berkaitan erat dengan kualitas </w:t>
      </w:r>
      <w:r w:rsidRPr="00F855D9">
        <w:rPr>
          <w:rFonts w:ascii="Times New Roman" w:eastAsia="PMingLiU" w:hAnsi="Times New Roman" w:cs="Times New Roman"/>
          <w:bCs/>
          <w:color w:val="000000"/>
          <w:kern w:val="2"/>
          <w:sz w:val="24"/>
          <w:szCs w:val="24"/>
          <w:lang w:eastAsia="zh-TW"/>
        </w:rPr>
        <w:lastRenderedPageBreak/>
        <w:t>dari kontraktor tersebut yang lebih unggul daripada kontraktor dalam negeri. Bintang Perbowo selaku Direktur Utama PT. Wijaya Karya menjelaskan bahwa :</w:t>
      </w:r>
    </w:p>
    <w:p w:rsidR="00F855D9" w:rsidRPr="00F855D9" w:rsidRDefault="00F855D9" w:rsidP="00915C1B">
      <w:pPr>
        <w:widowControl w:val="0"/>
        <w:spacing w:after="0" w:line="240" w:lineRule="auto"/>
        <w:ind w:left="709"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Kualitas kontraktor, konsultan, dan tenaga ahli di Indonesia masih harus ditingkatkan lagi. Sebab, MEA menantang mereka untuk lebih memiliki nilai. Posisi Indonesia di bawah India, Filipina, Cina, dengan indikator kerangka regulasi dinilai paling rendah, skor 46,9. Hasil evaluasi lain menunjukkan Indonesia memiliki peringkat kedua dalam hal menarik investasi asing. Tercatat, Indonesia pada 2015 berhasil memikat investasi asing sebesar 59,9 juta dolar AS, satu peringkat di bawah Cina dengan nilai 71 juta dolar AS. Peringkat ketiga, keempat, dan kelima, berturut-turut diraih oleh India (57,9 juta dolar AS), Malaysia (42,1 juta dolar AS), dan Singapura (41,2 juta dolar AS). Sementara, hasil ekspor jasa konstruksi Indonesia ke negara ASEAN, khususnya Timor Leste dan Myanmar, selama 2015, yakni sekitar 184 juta dolar AS. Disumbang dari perolehan BUJK PT Wika, PT Bhakti Timor Karya, PT Duta Graha, PT Sasmito, PT Warisila Indonesia, PT PP, PT Pendaman Putra Utama, dan PT Daya Mulia Turangga. Maka, menghadapi tantangan ke depan, harus ada sinergi pemerintah bergandengan tangan dengan para </w:t>
      </w:r>
      <w:r w:rsidRPr="00F855D9">
        <w:rPr>
          <w:rFonts w:ascii="Times New Roman" w:eastAsia="PMingLiU" w:hAnsi="Times New Roman" w:cs="Times New Roman"/>
          <w:bCs/>
          <w:i/>
          <w:color w:val="000000"/>
          <w:kern w:val="2"/>
          <w:sz w:val="24"/>
          <w:szCs w:val="24"/>
          <w:lang w:eastAsia="zh-TW"/>
        </w:rPr>
        <w:t>stakeholder</w:t>
      </w:r>
      <w:r w:rsidRPr="00F855D9">
        <w:rPr>
          <w:rFonts w:ascii="Times New Roman" w:eastAsia="PMingLiU" w:hAnsi="Times New Roman" w:cs="Times New Roman"/>
          <w:bCs/>
          <w:color w:val="000000"/>
          <w:kern w:val="2"/>
          <w:sz w:val="24"/>
          <w:szCs w:val="24"/>
          <w:lang w:eastAsia="zh-TW"/>
        </w:rPr>
        <w:t xml:space="preserve"> jasa konstruksi Indonesia dibangun agenda memperbaiki iklim investasi di sektor konstruksi dan meningkatkan kapasitas perusahaan di sektor konstruksi.</w:t>
      </w:r>
    </w:p>
    <w:p w:rsidR="00F855D9" w:rsidRPr="00F855D9" w:rsidRDefault="00F855D9" w:rsidP="00F855D9">
      <w:pPr>
        <w:widowControl w:val="0"/>
        <w:spacing w:after="0" w:line="480" w:lineRule="auto"/>
        <w:jc w:val="both"/>
        <w:rPr>
          <w:rFonts w:ascii="Times New Roman" w:eastAsia="PMingLiU" w:hAnsi="Times New Roman" w:cs="Times New Roman"/>
          <w:kern w:val="2"/>
          <w:sz w:val="24"/>
          <w:szCs w:val="24"/>
          <w:lang w:eastAsia="zh-TW"/>
        </w:rPr>
      </w:pPr>
    </w:p>
    <w:p w:rsidR="00F855D9" w:rsidRPr="00F855D9" w:rsidRDefault="00F855D9" w:rsidP="00915C1B">
      <w:pPr>
        <w:widowControl w:val="0"/>
        <w:spacing w:after="0" w:line="480" w:lineRule="auto"/>
        <w:ind w:left="709" w:firstLine="720"/>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 xml:space="preserve">Kualitas kontraktor, konsultan, artistek dan tenaga ahli yang kurang juga mempengaruhi iklim investasi di Indonesia. Apabila pangsa pasarnya menjanjikan tetapi tenaga kerjanya memiliki kualitas yang kurang juga  mendorong investor lebih memilih menggunakan tenaga kerja asing. Di Indonesia sendiri jumlah kontraktor kecil memang lebih banyak daripada kontraktor yang berskala besar. Dengan jumlah yang besar, mereka mendominasi setiap pekerjaan konstruksi dengan nilai rendah sampai sedang tanpa spesialisasi untuk pekerjaan konstruksi yang  mereka kerjakan. Hal ini terjadi karena rata – rata kontraktor kecil tidak terlalu susah mendapatkan kualifikasi pekerjaan karena syaratnya yang cukup mudah. Tetapi di satu sisi pekerjaan konstruksi dengan skala besar kurang </w:t>
      </w:r>
      <w:r w:rsidRPr="00F855D9">
        <w:rPr>
          <w:rFonts w:ascii="Times New Roman" w:eastAsia="PMingLiU" w:hAnsi="Times New Roman" w:cs="Times New Roman"/>
          <w:kern w:val="2"/>
          <w:sz w:val="24"/>
          <w:szCs w:val="24"/>
          <w:lang w:eastAsia="zh-TW"/>
        </w:rPr>
        <w:lastRenderedPageBreak/>
        <w:t>diminati para kontraktor dikarenakan persyaratan dan kualifikasi pekerjaan sangat sulit. Para kontraktor lebih cenderung memilih skala pekerjaan kecil agar mudah mendapatkan pekerjaan konstruksi dengan spesifikasi general. Jumlah kontraktor spesialis hampir tidak ada untuk saat ini, ketentuan dari standar MRA sebagai kualifikasi pekerjaan konstruksi yang harus dimiliki masih dinilai beberapa kontraktor dalam negeri cukup sulit dan pengurusan izin kualifikasi kontraktor cukup lama membuat kontraktor dengan spesialis pekerjaan konstruksi di Indonesia masih sedikit jumlahnya.</w:t>
      </w:r>
    </w:p>
    <w:p w:rsidR="00F855D9" w:rsidRPr="00F855D9" w:rsidRDefault="00F855D9" w:rsidP="00915C1B">
      <w:pPr>
        <w:widowControl w:val="0"/>
        <w:spacing w:after="0" w:line="480" w:lineRule="auto"/>
        <w:ind w:left="709" w:firstLine="720"/>
        <w:jc w:val="both"/>
        <w:rPr>
          <w:rFonts w:ascii="Times New Roman" w:eastAsia="PMingLiU" w:hAnsi="Times New Roman" w:cs="Times New Roman"/>
          <w:kern w:val="2"/>
          <w:sz w:val="24"/>
          <w:szCs w:val="24"/>
          <w:lang w:eastAsia="zh-TW"/>
        </w:rPr>
      </w:pPr>
      <w:r w:rsidRPr="00F855D9">
        <w:rPr>
          <w:rFonts w:ascii="Times New Roman" w:eastAsia="PMingLiU" w:hAnsi="Times New Roman" w:cs="Times New Roman"/>
          <w:kern w:val="2"/>
          <w:sz w:val="24"/>
          <w:szCs w:val="24"/>
          <w:lang w:eastAsia="zh-TW"/>
        </w:rPr>
        <w:t xml:space="preserve">Hambatan bagi pemerintah maupun hambatan bagi pelaku usaha dalam persaingan perdagangan jasa di sektor konstruksi terjadi dikarenakan kondisi perekonomian dan kondisi sumber daya manusia yang kurang siap dalam menjalani MEA. Faktor – faktor penghambat tersebut juga terjadi karena beberapa kebijakan pemerintah Indonesia yang diterapkan kurang mampu mengakomodasi persaingan perdagangan jasa di sektor konstruksi pada saat itu. Hambatan yang terjadi pada era MEA yang telah setahun berjalan ini memang menandakan bahwa perdagangan jasa di bidang konstruksi Indonesia tidak membawa pengaruh yang positif bagi pemerintah Indonesia dan pelaku usaha terkait iklim perdagangan jasa konstruksi di Indonesia yang cenderung pasif. Hambatan – hambatan tersebut juga mendorong rendahnya minat investor untuk berinvestasi dalam bidang konstruksi di Indonesia. Para pelaku usaha konstruksi dalam negeri juga enggan untuk melakukan ekspansi ke berbagai negara di ASEAN. Selain faktor internal juga tersebut juga faktor eksternal berperan </w:t>
      </w:r>
      <w:r w:rsidRPr="00F855D9">
        <w:rPr>
          <w:rFonts w:ascii="Times New Roman" w:eastAsia="PMingLiU" w:hAnsi="Times New Roman" w:cs="Times New Roman"/>
          <w:kern w:val="2"/>
          <w:sz w:val="24"/>
          <w:szCs w:val="24"/>
          <w:lang w:eastAsia="zh-TW"/>
        </w:rPr>
        <w:lastRenderedPageBreak/>
        <w:t>dalam menghambat perdagangan jasa konstruksi pada era MEA. Faktor eksternal tersebut adalah persaingan yang ketat dari pelaku usah di luar negara anggota ASEAN seperti dari negara Jepang, Korea dan China yang telah menguasai pasar jasa konstruksi sebelum era MEA berlangsung. Hambatan – hambatan tersebut juga dapat menentukan bahwa tujuan dari integrasi ekonomi melalui MEA tidak berjalan seperti yang diharapkan.</w:t>
      </w:r>
    </w:p>
    <w:p w:rsidR="00F855D9" w:rsidRPr="00F855D9" w:rsidRDefault="00F855D9" w:rsidP="003D7355">
      <w:pPr>
        <w:widowControl w:val="0"/>
        <w:numPr>
          <w:ilvl w:val="0"/>
          <w:numId w:val="37"/>
        </w:numPr>
        <w:spacing w:after="0" w:line="480" w:lineRule="auto"/>
        <w:ind w:left="426"/>
        <w:contextualSpacing/>
        <w:jc w:val="both"/>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kern w:val="2"/>
          <w:sz w:val="24"/>
          <w:szCs w:val="24"/>
          <w:lang w:eastAsia="zh-TW"/>
        </w:rPr>
        <w:t>Perbandingan persaingan perdagangan jasa di bidang konstruksi antara Indonesia dengan negara anggota ASEAN lainnya dalam Masyarakat Ekonomi ASEAN</w:t>
      </w:r>
    </w:p>
    <w:p w:rsidR="00F855D9" w:rsidRPr="00F855D9" w:rsidRDefault="00F855D9" w:rsidP="003D7355">
      <w:pPr>
        <w:widowControl w:val="0"/>
        <w:numPr>
          <w:ilvl w:val="0"/>
          <w:numId w:val="39"/>
        </w:numPr>
        <w:spacing w:after="0" w:line="480" w:lineRule="auto"/>
        <w:ind w:left="426"/>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Perbandingan kemudahan berbisnis jasa di bidang  konstruksi antara Indonesia dengan negara anggota ASEAN lainnya</w:t>
      </w:r>
    </w:p>
    <w:p w:rsidR="00F855D9" w:rsidRPr="00F855D9" w:rsidRDefault="00F855D9" w:rsidP="00915C1B">
      <w:pPr>
        <w:widowControl w:val="0"/>
        <w:spacing w:after="0" w:line="480" w:lineRule="auto"/>
        <w:ind w:left="426"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Dalam rangka menjaga stabilitas politik dan keamanan regional ASEAN, meningkatkan daya saing kawasan secara keseluruhan dipasar dunia, dan mendorong pertumbuhan ekonomi, mengurangi kemiskinan serta meningkatkan standar hidup penduduk anggota ASEAN. Seluruh anggota ASEAN telah sepakat untuk mewujudkan </w:t>
      </w:r>
      <w:r w:rsidRPr="00F855D9">
        <w:rPr>
          <w:rFonts w:ascii="Times New Roman" w:eastAsia="PMingLiU" w:hAnsi="Times New Roman" w:cs="Times New Roman"/>
          <w:bCs/>
          <w:i/>
          <w:color w:val="000000"/>
          <w:kern w:val="2"/>
          <w:sz w:val="24"/>
          <w:szCs w:val="24"/>
          <w:lang w:eastAsia="zh-TW"/>
        </w:rPr>
        <w:t>ASEAN Economic Community</w:t>
      </w:r>
      <w:r w:rsidRPr="00F855D9">
        <w:rPr>
          <w:rFonts w:ascii="Times New Roman" w:eastAsia="PMingLiU" w:hAnsi="Times New Roman" w:cs="Times New Roman"/>
          <w:bCs/>
          <w:color w:val="000000"/>
          <w:kern w:val="2"/>
          <w:sz w:val="24"/>
          <w:szCs w:val="24"/>
          <w:lang w:eastAsia="zh-TW"/>
        </w:rPr>
        <w:t xml:space="preserve"> (AEC) atau yang lebih akrab dikenal dengan sebutan Masyarakat Ekonomi Asean (MEA). MEA adalah suatu bentuk integrasi Ekonomi ASEAN yang telah disepakati pada bulan November 2007 di Singapura oleh seluruh anggota ASEAN. Pelaksanaan rencana kerja strategis tersebut dijabarkan lebih lanjut melalui </w:t>
      </w:r>
      <w:r w:rsidRPr="00F855D9">
        <w:rPr>
          <w:rFonts w:ascii="Times New Roman" w:eastAsia="PMingLiU" w:hAnsi="Times New Roman" w:cs="Times New Roman"/>
          <w:bCs/>
          <w:i/>
          <w:color w:val="000000"/>
          <w:kern w:val="2"/>
          <w:sz w:val="24"/>
          <w:szCs w:val="24"/>
          <w:lang w:eastAsia="zh-TW"/>
        </w:rPr>
        <w:t>priority actions</w:t>
      </w:r>
      <w:r w:rsidRPr="00F855D9">
        <w:rPr>
          <w:rFonts w:ascii="Times New Roman" w:eastAsia="PMingLiU" w:hAnsi="Times New Roman" w:cs="Times New Roman"/>
          <w:bCs/>
          <w:color w:val="000000"/>
          <w:kern w:val="2"/>
          <w:sz w:val="24"/>
          <w:szCs w:val="24"/>
          <w:lang w:eastAsia="zh-TW"/>
        </w:rPr>
        <w:t xml:space="preserve"> yang pencapaiannya dievaluasi dan dimonitor dengan menggunakan </w:t>
      </w:r>
      <w:r w:rsidRPr="00F855D9">
        <w:rPr>
          <w:rFonts w:ascii="Times New Roman" w:eastAsia="PMingLiU" w:hAnsi="Times New Roman" w:cs="Times New Roman"/>
          <w:bCs/>
          <w:i/>
          <w:color w:val="000000"/>
          <w:kern w:val="2"/>
          <w:sz w:val="24"/>
          <w:szCs w:val="24"/>
          <w:lang w:eastAsia="zh-TW"/>
        </w:rPr>
        <w:t>score card</w:t>
      </w:r>
      <w:r w:rsidRPr="00F855D9">
        <w:rPr>
          <w:rFonts w:ascii="Times New Roman" w:eastAsia="PMingLiU" w:hAnsi="Times New Roman" w:cs="Times New Roman"/>
          <w:bCs/>
          <w:color w:val="000000"/>
          <w:kern w:val="2"/>
          <w:sz w:val="24"/>
          <w:szCs w:val="24"/>
          <w:lang w:eastAsia="zh-TW"/>
        </w:rPr>
        <w:t>. Di samping itu, diperlukan dukungan berupa kemauan politik, koordinasi dan mobilisasi sumber daya, pengaturan pelaksanaan, peningkatan kemampuan (</w:t>
      </w:r>
      <w:r w:rsidRPr="00F855D9">
        <w:rPr>
          <w:rFonts w:ascii="Times New Roman" w:eastAsia="PMingLiU" w:hAnsi="Times New Roman" w:cs="Times New Roman"/>
          <w:bCs/>
          <w:i/>
          <w:color w:val="000000"/>
          <w:kern w:val="2"/>
          <w:sz w:val="24"/>
          <w:szCs w:val="24"/>
          <w:lang w:eastAsia="zh-TW"/>
        </w:rPr>
        <w:t>capacity building</w:t>
      </w:r>
      <w:r w:rsidRPr="00F855D9">
        <w:rPr>
          <w:rFonts w:ascii="Times New Roman" w:eastAsia="PMingLiU" w:hAnsi="Times New Roman" w:cs="Times New Roman"/>
          <w:bCs/>
          <w:color w:val="000000"/>
          <w:kern w:val="2"/>
          <w:sz w:val="24"/>
          <w:szCs w:val="24"/>
          <w:lang w:eastAsia="zh-TW"/>
        </w:rPr>
        <w:t xml:space="preserve">) dan </w:t>
      </w:r>
      <w:r w:rsidRPr="00F855D9">
        <w:rPr>
          <w:rFonts w:ascii="Times New Roman" w:eastAsia="PMingLiU" w:hAnsi="Times New Roman" w:cs="Times New Roman"/>
          <w:bCs/>
          <w:color w:val="000000"/>
          <w:kern w:val="2"/>
          <w:sz w:val="24"/>
          <w:szCs w:val="24"/>
          <w:lang w:eastAsia="zh-TW"/>
        </w:rPr>
        <w:lastRenderedPageBreak/>
        <w:t>penguatan institusi, serta peningkatan konsultasi antara pemerintah dan sektor swasta. Pelaksanaan rencana kerja strategis tersebut juga akan didukung dengan program pengembangan sumber daya manusia dan kegiatan penelitian serta pengembangan di masing-masing negara.</w:t>
      </w:r>
    </w:p>
    <w:p w:rsidR="00F855D9" w:rsidRPr="00F855D9" w:rsidRDefault="00F855D9" w:rsidP="00915C1B">
      <w:pPr>
        <w:widowControl w:val="0"/>
        <w:spacing w:after="0" w:line="480" w:lineRule="auto"/>
        <w:ind w:left="34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Pembentukan MEA tak lepas dari semakin meningkatnya kerjasama ekonomi antar negara dalam ASEAN. Tercatat sejak tahun 2003 perdagangan intra-ASEAN telah mengalami kenaikan volume secara terus menerus. Hal ini menjadi pemicu integrasi ekonomi yang lebih erat diantara negara-negara ASEAN. Selain itu pembentukan MEA disebabkan adanya dinamika eksternal dan dinamika internal. Maksud dari dinamika eksternal dan dinamika internal adalah sebagai berikut :</w:t>
      </w:r>
      <w:r w:rsidRPr="00F855D9">
        <w:rPr>
          <w:rFonts w:ascii="Times New Roman" w:eastAsia="PMingLiU" w:hAnsi="Times New Roman" w:cs="Times New Roman"/>
          <w:bCs/>
          <w:color w:val="000000"/>
          <w:kern w:val="2"/>
          <w:sz w:val="24"/>
          <w:szCs w:val="24"/>
          <w:vertAlign w:val="superscript"/>
          <w:lang w:eastAsia="zh-TW"/>
        </w:rPr>
        <w:footnoteReference w:id="93"/>
      </w:r>
    </w:p>
    <w:p w:rsidR="00F855D9" w:rsidRPr="00F855D9" w:rsidRDefault="00F855D9" w:rsidP="003D7355">
      <w:pPr>
        <w:widowControl w:val="0"/>
        <w:numPr>
          <w:ilvl w:val="1"/>
          <w:numId w:val="37"/>
        </w:numPr>
        <w:spacing w:after="0" w:line="24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Dinamika Eksternal</w:t>
      </w:r>
    </w:p>
    <w:p w:rsidR="00F855D9" w:rsidRPr="00F855D9" w:rsidRDefault="00F855D9" w:rsidP="003D7355">
      <w:pPr>
        <w:widowControl w:val="0"/>
        <w:numPr>
          <w:ilvl w:val="0"/>
          <w:numId w:val="78"/>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Terdapat kecendrungan perubahan lingkungan strategis global yang menuntut negara-negara di dunia untuk senantiasa meningkatkan daya saingnya.</w:t>
      </w:r>
    </w:p>
    <w:p w:rsidR="00F855D9" w:rsidRPr="00F855D9" w:rsidRDefault="00F855D9" w:rsidP="003D7355">
      <w:pPr>
        <w:widowControl w:val="0"/>
        <w:numPr>
          <w:ilvl w:val="0"/>
          <w:numId w:val="78"/>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Pada tataran regional, terdapat gerakan kearah pengintegrasikan kekuatan ekonomi yang berbasis pada pasar tunggal (single market) dan produksi tunggal yang terintegrasi (</w:t>
      </w:r>
      <w:r w:rsidRPr="00F855D9">
        <w:rPr>
          <w:rFonts w:ascii="Times New Roman" w:eastAsia="PMingLiU" w:hAnsi="Times New Roman" w:cs="Times New Roman"/>
          <w:bCs/>
          <w:i/>
          <w:color w:val="000000"/>
          <w:kern w:val="2"/>
          <w:sz w:val="24"/>
          <w:szCs w:val="24"/>
          <w:lang w:eastAsia="zh-TW"/>
        </w:rPr>
        <w:t>simple production</w:t>
      </w:r>
      <w:r w:rsidRPr="00F855D9">
        <w:rPr>
          <w:rFonts w:ascii="Times New Roman" w:eastAsia="PMingLiU" w:hAnsi="Times New Roman" w:cs="Times New Roman"/>
          <w:bCs/>
          <w:color w:val="000000"/>
          <w:kern w:val="2"/>
          <w:sz w:val="24"/>
          <w:szCs w:val="24"/>
          <w:lang w:eastAsia="zh-TW"/>
        </w:rPr>
        <w:t>).</w:t>
      </w:r>
    </w:p>
    <w:p w:rsidR="00F855D9" w:rsidRPr="00F855D9" w:rsidRDefault="00F855D9" w:rsidP="003D7355">
      <w:pPr>
        <w:widowControl w:val="0"/>
        <w:numPr>
          <w:ilvl w:val="0"/>
          <w:numId w:val="78"/>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Munculnya China dan India sebagai kekuatan ekonomi dunia yang merubah arsitektur perdagangan dunia, khususnya dikawasan Asia Timur.</w:t>
      </w:r>
    </w:p>
    <w:p w:rsidR="00F855D9" w:rsidRPr="00F855D9" w:rsidRDefault="00F855D9" w:rsidP="003D7355">
      <w:pPr>
        <w:widowControl w:val="0"/>
        <w:numPr>
          <w:ilvl w:val="1"/>
          <w:numId w:val="37"/>
        </w:numPr>
        <w:spacing w:after="0" w:line="24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Dinamika Internal</w:t>
      </w:r>
    </w:p>
    <w:p w:rsidR="00F855D9" w:rsidRPr="00F855D9" w:rsidRDefault="00F855D9" w:rsidP="003D7355">
      <w:pPr>
        <w:widowControl w:val="0"/>
        <w:numPr>
          <w:ilvl w:val="0"/>
          <w:numId w:val="79"/>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Potensi pasar yang cukup besar.</w:t>
      </w:r>
    </w:p>
    <w:p w:rsidR="00F855D9" w:rsidRPr="00F855D9" w:rsidRDefault="00F855D9" w:rsidP="003D7355">
      <w:pPr>
        <w:widowControl w:val="0"/>
        <w:numPr>
          <w:ilvl w:val="0"/>
          <w:numId w:val="79"/>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Pertumbuhan kerjasama ekonomi masih cukup rendah dibandingkan dengan potensi yang dimiliki.</w:t>
      </w:r>
    </w:p>
    <w:p w:rsidR="00F855D9" w:rsidRPr="00F855D9" w:rsidRDefault="00F855D9" w:rsidP="003D7355">
      <w:pPr>
        <w:widowControl w:val="0"/>
        <w:numPr>
          <w:ilvl w:val="0"/>
          <w:numId w:val="79"/>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Implementasi AFTA, AFAS, ada AIA masih sangat rendah (30%).</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firstLine="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Konsep MEA dilandasi oleh empat pilar utama sebagai berikut :</w:t>
      </w:r>
      <w:r w:rsidRPr="00F855D9">
        <w:rPr>
          <w:rFonts w:ascii="Times New Roman" w:eastAsia="PMingLiU" w:hAnsi="Times New Roman" w:cs="Times New Roman"/>
          <w:bCs/>
          <w:color w:val="000000"/>
          <w:kern w:val="2"/>
          <w:sz w:val="24"/>
          <w:szCs w:val="24"/>
          <w:vertAlign w:val="superscript"/>
          <w:lang w:eastAsia="zh-TW"/>
        </w:rPr>
        <w:footnoteReference w:id="94"/>
      </w:r>
    </w:p>
    <w:p w:rsidR="00F855D9" w:rsidRPr="00F855D9" w:rsidRDefault="00F855D9" w:rsidP="003D7355">
      <w:pPr>
        <w:widowControl w:val="0"/>
        <w:numPr>
          <w:ilvl w:val="3"/>
          <w:numId w:val="80"/>
        </w:numPr>
        <w:spacing w:after="0" w:line="24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Free Movement of Goods and Services</w:t>
      </w:r>
      <w:r w:rsidRPr="00F855D9">
        <w:rPr>
          <w:rFonts w:ascii="Times New Roman" w:eastAsia="PMingLiU" w:hAnsi="Times New Roman" w:cs="Times New Roman"/>
          <w:bCs/>
          <w:color w:val="000000"/>
          <w:kern w:val="2"/>
          <w:sz w:val="24"/>
          <w:szCs w:val="24"/>
          <w:lang w:eastAsia="zh-TW"/>
        </w:rPr>
        <w:t xml:space="preserve">. Konsep ini memungkinkan terjadinya pergerakan barang-barang dan jasa tanpa ada hambatan (pajak bea masuk, tarif, quota), yang merupakan bentuk lanjut dari kawasan perdagangan bebas dengan menghilangkan segala bentuk hambatan </w:t>
      </w:r>
      <w:r w:rsidRPr="00F855D9">
        <w:rPr>
          <w:rFonts w:ascii="Times New Roman" w:eastAsia="PMingLiU" w:hAnsi="Times New Roman" w:cs="Times New Roman"/>
          <w:bCs/>
          <w:color w:val="000000"/>
          <w:kern w:val="2"/>
          <w:sz w:val="24"/>
          <w:szCs w:val="24"/>
          <w:lang w:eastAsia="zh-TW"/>
        </w:rPr>
        <w:lastRenderedPageBreak/>
        <w:t>perdagangan yang tersisa.</w:t>
      </w:r>
    </w:p>
    <w:p w:rsidR="00F855D9" w:rsidRPr="00F855D9" w:rsidRDefault="00F855D9" w:rsidP="003D7355">
      <w:pPr>
        <w:widowControl w:val="0"/>
        <w:numPr>
          <w:ilvl w:val="3"/>
          <w:numId w:val="80"/>
        </w:numPr>
        <w:spacing w:after="0" w:line="24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Freedom of Establishment and Provision of Services and Mutual Recognition of Diplomas</w:t>
      </w:r>
      <w:r w:rsidRPr="00F855D9">
        <w:rPr>
          <w:rFonts w:ascii="Times New Roman" w:eastAsia="PMingLiU" w:hAnsi="Times New Roman" w:cs="Times New Roman"/>
          <w:bCs/>
          <w:color w:val="000000"/>
          <w:kern w:val="2"/>
          <w:sz w:val="24"/>
          <w:szCs w:val="24"/>
          <w:lang w:eastAsia="zh-TW"/>
        </w:rPr>
        <w:t>. Konsep ini menjamin setiap warga negara ASEAN akan bebas membuka praktek layanan (profesional) di setiap wilayah ASEAN tanpa ada diskriminasi kewarganegaraan.</w:t>
      </w:r>
    </w:p>
    <w:p w:rsidR="00F855D9" w:rsidRPr="00F855D9" w:rsidRDefault="00F855D9" w:rsidP="003D7355">
      <w:pPr>
        <w:widowControl w:val="0"/>
        <w:numPr>
          <w:ilvl w:val="3"/>
          <w:numId w:val="80"/>
        </w:numPr>
        <w:spacing w:after="0" w:line="24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Freedom of Movement for Skilled and Talented Labours</w:t>
      </w:r>
      <w:r w:rsidRPr="00F855D9">
        <w:rPr>
          <w:rFonts w:ascii="Times New Roman" w:eastAsia="PMingLiU" w:hAnsi="Times New Roman" w:cs="Times New Roman"/>
          <w:bCs/>
          <w:color w:val="000000"/>
          <w:kern w:val="2"/>
          <w:sz w:val="24"/>
          <w:szCs w:val="24"/>
          <w:lang w:eastAsia="zh-TW"/>
        </w:rPr>
        <w:t>. Konsep ini dimaksudkan untuk mendorong terjadinya mobilitas tenaga kerja sesuai dengan tuntutan pasar dan memberi kesempatan para pekerja untuk menemukn pekerjaan terbaik sesuai dengan kualifikasi yang dimiliki.</w:t>
      </w:r>
    </w:p>
    <w:p w:rsidR="00F855D9" w:rsidRPr="00F855D9" w:rsidRDefault="00F855D9" w:rsidP="003D7355">
      <w:pPr>
        <w:widowControl w:val="0"/>
        <w:numPr>
          <w:ilvl w:val="3"/>
          <w:numId w:val="80"/>
        </w:numPr>
        <w:spacing w:after="0" w:line="24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Free Movement of Capital</w:t>
      </w:r>
      <w:r w:rsidRPr="00F855D9">
        <w:rPr>
          <w:rFonts w:ascii="Times New Roman" w:eastAsia="PMingLiU" w:hAnsi="Times New Roman" w:cs="Times New Roman"/>
          <w:bCs/>
          <w:color w:val="000000"/>
          <w:kern w:val="2"/>
          <w:sz w:val="24"/>
          <w:szCs w:val="24"/>
          <w:lang w:eastAsia="zh-TW"/>
        </w:rPr>
        <w:t>. Konsep ini akan menjamin bahwa modal atau kapital akan bisa berpindah secara leluasa diantara negara-negara ASEAN, yang secara teoritis memungkinkan terjadinya penanaman modal secara bebas dan efisien.</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349"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The  Doing  Business  dari  World  Bank</w:t>
      </w:r>
      <w:r w:rsidRPr="00F855D9">
        <w:rPr>
          <w:rFonts w:ascii="Times New Roman" w:eastAsia="PMingLiU" w:hAnsi="Times New Roman" w:cs="Times New Roman"/>
          <w:bCs/>
          <w:color w:val="000000"/>
          <w:kern w:val="2"/>
          <w:sz w:val="24"/>
          <w:szCs w:val="24"/>
          <w:lang w:eastAsia="zh-TW"/>
        </w:rPr>
        <w:t xml:space="preserve">  menggambarkan  peran  penting kebijakan pemerintah dalam aktifitas keseharian  perusahaan kecil dan  menengah. Tujuan dari laporan ini adalah untuk mendorong agar peraturan dibuat lebih efisien, dapat diakses oleh yang  berkepentingan dan mudah diimplementasikan.  Para pengusaha  akan bisa menjalankan usahanya dengan berkompetisi secara adil serta bisa mengembangkan diri dengan berinovasi.  Indonesia hanya menempati rangking 114 di tingkat dunia dalam kemudahan berbisnis,  tertinggal jauh  dari negara-negara di sekitarnya.Singapura berada  di peringkat 1, Malaysia  18,</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 xml:space="preserve">Thailand 26, Vietnam 78, Filipina 95 dan Brunei 101. Indonesia hanya lebih baik dari Kamboja, Laos dan Myanmar yang ekonominya masih belum berkembang. Hal ini menggambarkan betapa tidak mudahnya untuk menjalankan bisnis di Indonesia. Ada banyak hambatan dan rintangan yang harus dihadapi oleh seorang investor untuk memulai usahanya. Sementara di negara-negara lain, investor  yang masuk diberikan banyak kemudahan agar mau menjalankan bisnis di negara mereka. Birokrasi yang mudah, murah dan cepat adalah daya tarik bagi para pengusaha untuk membuka usaha di suatu negara.  MEA mengharuskan semuanya dilakukan </w:t>
      </w:r>
      <w:r w:rsidRPr="00F855D9">
        <w:rPr>
          <w:rFonts w:ascii="Times New Roman" w:eastAsia="PMingLiU" w:hAnsi="Times New Roman" w:cs="Times New Roman"/>
          <w:bCs/>
          <w:color w:val="000000"/>
          <w:kern w:val="2"/>
          <w:sz w:val="24"/>
          <w:szCs w:val="24"/>
          <w:lang w:eastAsia="zh-TW"/>
        </w:rPr>
        <w:lastRenderedPageBreak/>
        <w:t xml:space="preserve">secara mudah, termasuk dalam melakukan bisnis. Kemudahan berbisnis atau </w:t>
      </w:r>
      <w:r w:rsidRPr="00F855D9">
        <w:rPr>
          <w:rFonts w:ascii="Times New Roman" w:eastAsia="PMingLiU" w:hAnsi="Times New Roman" w:cs="Times New Roman"/>
          <w:bCs/>
          <w:i/>
          <w:color w:val="000000"/>
          <w:kern w:val="2"/>
          <w:sz w:val="24"/>
          <w:szCs w:val="24"/>
          <w:lang w:eastAsia="zh-TW"/>
        </w:rPr>
        <w:t>ease of doing business</w:t>
      </w:r>
      <w:r w:rsidRPr="00F855D9">
        <w:rPr>
          <w:rFonts w:ascii="Times New Roman" w:eastAsia="PMingLiU" w:hAnsi="Times New Roman" w:cs="Times New Roman"/>
          <w:bCs/>
          <w:color w:val="000000"/>
          <w:kern w:val="2"/>
          <w:sz w:val="24"/>
          <w:szCs w:val="24"/>
          <w:lang w:eastAsia="zh-TW"/>
        </w:rPr>
        <w:t xml:space="preserve"> merupakan peraturan untuk berbisnis yang lebih baik, artinya, ada upaya-upaya yang harus dilakukan untuk memberikan kemudahan dalam berinvestasi.</w:t>
      </w:r>
    </w:p>
    <w:p w:rsidR="00F855D9" w:rsidRPr="00F855D9" w:rsidRDefault="00F855D9" w:rsidP="00915C1B">
      <w:pPr>
        <w:widowControl w:val="0"/>
        <w:spacing w:after="0" w:line="480" w:lineRule="auto"/>
        <w:ind w:left="349"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Berikut adalah tabel standart pembatasan perdagangan dan investasi di sektor Jasa :</w:t>
      </w:r>
    </w:p>
    <w:p w:rsidR="00F855D9" w:rsidRPr="00F855D9" w:rsidRDefault="00F855D9" w:rsidP="00F855D9">
      <w:pPr>
        <w:widowControl w:val="0"/>
        <w:spacing w:after="0" w:line="480" w:lineRule="auto"/>
        <w:contextualSpacing/>
        <w:jc w:val="center"/>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Tabel 3.3 : Tabel pembatasan perdagangan dan investasi di sektor Jasa</w:t>
      </w:r>
    </w:p>
    <w:tbl>
      <w:tblPr>
        <w:tblStyle w:val="TableGrid"/>
        <w:tblW w:w="0" w:type="auto"/>
        <w:tblInd w:w="284" w:type="dxa"/>
        <w:tblLook w:val="04A0" w:firstRow="1" w:lastRow="0" w:firstColumn="1" w:lastColumn="0" w:noHBand="0" w:noVBand="1"/>
      </w:tblPr>
      <w:tblGrid>
        <w:gridCol w:w="3963"/>
        <w:gridCol w:w="3906"/>
      </w:tblGrid>
      <w:tr w:rsidR="00F855D9" w:rsidRPr="00F855D9" w:rsidTr="00F855D9">
        <w:tc>
          <w:tcPr>
            <w:tcW w:w="3963" w:type="dxa"/>
          </w:tcPr>
          <w:p w:rsidR="00F855D9" w:rsidRPr="00F855D9" w:rsidRDefault="00F855D9" w:rsidP="00F855D9">
            <w:pPr>
              <w:widowControl w:val="0"/>
              <w:spacing w:line="480" w:lineRule="auto"/>
              <w:contextualSpacing/>
              <w:jc w:val="center"/>
              <w:rPr>
                <w:rFonts w:ascii="Times New Roman" w:hAnsi="Times New Roman" w:cs="Times New Roman"/>
                <w:b/>
                <w:bCs/>
                <w:i/>
                <w:color w:val="000000"/>
                <w:kern w:val="2"/>
                <w:sz w:val="24"/>
                <w:szCs w:val="24"/>
                <w:lang w:eastAsia="zh-TW"/>
              </w:rPr>
            </w:pPr>
            <w:r w:rsidRPr="00F855D9">
              <w:rPr>
                <w:rFonts w:ascii="Times New Roman" w:hAnsi="Times New Roman" w:cs="Times New Roman"/>
                <w:b/>
                <w:bCs/>
                <w:i/>
                <w:color w:val="000000"/>
                <w:kern w:val="2"/>
                <w:sz w:val="24"/>
                <w:szCs w:val="24"/>
                <w:lang w:eastAsia="zh-TW"/>
              </w:rPr>
              <w:t>Market Access Restrictions</w:t>
            </w:r>
          </w:p>
        </w:tc>
        <w:tc>
          <w:tcPr>
            <w:tcW w:w="3907" w:type="dxa"/>
          </w:tcPr>
          <w:p w:rsidR="00F855D9" w:rsidRPr="00F855D9" w:rsidRDefault="00F855D9" w:rsidP="00F855D9">
            <w:pPr>
              <w:widowControl w:val="0"/>
              <w:spacing w:line="480" w:lineRule="auto"/>
              <w:contextualSpacing/>
              <w:jc w:val="center"/>
              <w:rPr>
                <w:rFonts w:ascii="Times New Roman" w:hAnsi="Times New Roman" w:cs="Times New Roman"/>
                <w:b/>
                <w:bCs/>
                <w:i/>
                <w:color w:val="000000"/>
                <w:kern w:val="2"/>
                <w:sz w:val="24"/>
                <w:szCs w:val="24"/>
                <w:lang w:eastAsia="zh-TW"/>
              </w:rPr>
            </w:pPr>
            <w:r w:rsidRPr="00F855D9">
              <w:rPr>
                <w:rFonts w:ascii="Times New Roman" w:hAnsi="Times New Roman" w:cs="Times New Roman"/>
                <w:b/>
                <w:bCs/>
                <w:i/>
                <w:color w:val="000000"/>
                <w:kern w:val="2"/>
                <w:sz w:val="24"/>
                <w:szCs w:val="24"/>
                <w:lang w:eastAsia="zh-TW"/>
              </w:rPr>
              <w:t>Discriminatory Measures</w:t>
            </w:r>
          </w:p>
        </w:tc>
      </w:tr>
      <w:tr w:rsidR="00F855D9" w:rsidRPr="00F855D9" w:rsidTr="00F855D9">
        <w:tc>
          <w:tcPr>
            <w:tcW w:w="3963" w:type="dxa"/>
          </w:tcPr>
          <w:p w:rsidR="00F855D9" w:rsidRPr="00F855D9" w:rsidRDefault="00F855D9" w:rsidP="003D7355">
            <w:pPr>
              <w:widowControl w:val="0"/>
              <w:numPr>
                <w:ilvl w:val="0"/>
                <w:numId w:val="41"/>
              </w:numPr>
              <w:spacing w:line="480" w:lineRule="auto"/>
              <w:contextualSpacing/>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Monopoly / exclusive service suppliers</w:t>
            </w:r>
          </w:p>
          <w:p w:rsidR="00F855D9" w:rsidRPr="00F855D9" w:rsidRDefault="00F855D9" w:rsidP="003D7355">
            <w:pPr>
              <w:widowControl w:val="0"/>
              <w:numPr>
                <w:ilvl w:val="0"/>
                <w:numId w:val="41"/>
              </w:numPr>
              <w:spacing w:line="480" w:lineRule="auto"/>
              <w:contextualSpacing/>
              <w:rPr>
                <w:rFonts w:ascii="Times New Roman" w:hAnsi="Times New Roman" w:cs="Times New Roman"/>
                <w:bCs/>
                <w:i/>
                <w:color w:val="000000"/>
                <w:kern w:val="2"/>
                <w:sz w:val="24"/>
                <w:szCs w:val="24"/>
                <w:lang w:eastAsia="zh-TW"/>
              </w:rPr>
            </w:pPr>
            <w:r w:rsidRPr="00F855D9">
              <w:rPr>
                <w:rFonts w:ascii="Times New Roman" w:hAnsi="Times New Roman" w:cs="Times New Roman" w:hint="eastAsia"/>
                <w:bCs/>
                <w:i/>
                <w:color w:val="000000"/>
                <w:kern w:val="2"/>
                <w:sz w:val="24"/>
                <w:szCs w:val="24"/>
                <w:lang w:eastAsia="zh-TW"/>
              </w:rPr>
              <w:t>Quantitative limitations on</w:t>
            </w:r>
          </w:p>
          <w:p w:rsidR="00F855D9" w:rsidRPr="00F855D9" w:rsidRDefault="00F855D9" w:rsidP="003D7355">
            <w:pPr>
              <w:widowControl w:val="0"/>
              <w:numPr>
                <w:ilvl w:val="3"/>
                <w:numId w:val="37"/>
              </w:numPr>
              <w:spacing w:line="480" w:lineRule="auto"/>
              <w:ind w:left="709"/>
              <w:contextualSpacing/>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number of services providers</w:t>
            </w:r>
          </w:p>
          <w:p w:rsidR="00F855D9" w:rsidRPr="00F855D9" w:rsidRDefault="00F855D9" w:rsidP="003D7355">
            <w:pPr>
              <w:widowControl w:val="0"/>
              <w:numPr>
                <w:ilvl w:val="3"/>
                <w:numId w:val="37"/>
              </w:numPr>
              <w:spacing w:line="480" w:lineRule="auto"/>
              <w:ind w:left="709"/>
              <w:contextualSpacing/>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services transactions</w:t>
            </w:r>
          </w:p>
          <w:p w:rsidR="00F855D9" w:rsidRPr="00F855D9" w:rsidRDefault="00F855D9" w:rsidP="003D7355">
            <w:pPr>
              <w:widowControl w:val="0"/>
              <w:numPr>
                <w:ilvl w:val="3"/>
                <w:numId w:val="37"/>
              </w:numPr>
              <w:spacing w:line="480" w:lineRule="auto"/>
              <w:ind w:left="709"/>
              <w:contextualSpacing/>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operations / output</w:t>
            </w:r>
          </w:p>
          <w:p w:rsidR="00F855D9" w:rsidRPr="00F855D9" w:rsidRDefault="00F855D9" w:rsidP="003D7355">
            <w:pPr>
              <w:widowControl w:val="0"/>
              <w:numPr>
                <w:ilvl w:val="3"/>
                <w:numId w:val="37"/>
              </w:numPr>
              <w:spacing w:line="480" w:lineRule="auto"/>
              <w:ind w:left="709"/>
              <w:contextualSpacing/>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number of employees</w:t>
            </w:r>
          </w:p>
          <w:p w:rsidR="00F855D9" w:rsidRPr="00F855D9" w:rsidRDefault="00F855D9" w:rsidP="00F855D9">
            <w:pPr>
              <w:widowControl w:val="0"/>
              <w:spacing w:line="480" w:lineRule="auto"/>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3.</w:t>
            </w:r>
            <w:r w:rsidRPr="00F855D9">
              <w:rPr>
                <w:rFonts w:ascii="Times New Roman" w:hAnsi="Times New Roman" w:cs="Times New Roman" w:hint="eastAsia"/>
                <w:bCs/>
                <w:i/>
                <w:color w:val="000000"/>
                <w:kern w:val="2"/>
                <w:sz w:val="24"/>
                <w:szCs w:val="24"/>
                <w:lang w:eastAsia="zh-TW"/>
              </w:rPr>
              <w:t xml:space="preserve"> Geographic restrictions</w:t>
            </w:r>
          </w:p>
          <w:p w:rsidR="00F855D9" w:rsidRPr="00F855D9" w:rsidRDefault="00F855D9" w:rsidP="00F855D9">
            <w:pPr>
              <w:widowControl w:val="0"/>
              <w:spacing w:line="480" w:lineRule="auto"/>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 xml:space="preserve">4. </w:t>
            </w:r>
            <w:r w:rsidRPr="00F855D9">
              <w:rPr>
                <w:rFonts w:ascii="Times New Roman" w:hAnsi="Times New Roman" w:cs="Times New Roman" w:hint="eastAsia"/>
                <w:bCs/>
                <w:i/>
                <w:color w:val="000000"/>
                <w:kern w:val="2"/>
                <w:sz w:val="24"/>
                <w:szCs w:val="24"/>
                <w:lang w:eastAsia="zh-TW"/>
              </w:rPr>
              <w:t>Limitations to foreign equity</w:t>
            </w:r>
          </w:p>
          <w:p w:rsidR="00F855D9" w:rsidRPr="00F855D9" w:rsidRDefault="00F855D9" w:rsidP="00F855D9">
            <w:pPr>
              <w:widowControl w:val="0"/>
              <w:spacing w:line="480" w:lineRule="auto"/>
              <w:contextualSpacing/>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Participation</w:t>
            </w:r>
          </w:p>
          <w:p w:rsidR="00F855D9" w:rsidRPr="00F855D9" w:rsidRDefault="00F855D9" w:rsidP="00F855D9">
            <w:pPr>
              <w:widowControl w:val="0"/>
              <w:spacing w:line="480" w:lineRule="auto"/>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5.</w:t>
            </w:r>
            <w:r w:rsidRPr="00F855D9">
              <w:rPr>
                <w:rFonts w:ascii="Times New Roman" w:hAnsi="Times New Roman" w:cs="Times New Roman" w:hint="eastAsia"/>
                <w:bCs/>
                <w:i/>
                <w:color w:val="000000"/>
                <w:kern w:val="2"/>
                <w:sz w:val="24"/>
                <w:szCs w:val="24"/>
                <w:lang w:eastAsia="zh-TW"/>
              </w:rPr>
              <w:t>Economic needs tests</w:t>
            </w:r>
          </w:p>
          <w:p w:rsidR="00F855D9" w:rsidRPr="00F855D9" w:rsidRDefault="00F855D9" w:rsidP="00F855D9">
            <w:pPr>
              <w:widowControl w:val="0"/>
              <w:spacing w:line="480" w:lineRule="auto"/>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 xml:space="preserve">6. </w:t>
            </w:r>
            <w:r w:rsidRPr="00F855D9">
              <w:rPr>
                <w:rFonts w:ascii="Times New Roman" w:hAnsi="Times New Roman" w:cs="Times New Roman" w:hint="eastAsia"/>
                <w:bCs/>
                <w:i/>
                <w:color w:val="000000"/>
                <w:kern w:val="2"/>
                <w:sz w:val="24"/>
                <w:szCs w:val="24"/>
                <w:lang w:eastAsia="zh-TW"/>
              </w:rPr>
              <w:t>Limitations on form of establishment</w:t>
            </w:r>
          </w:p>
          <w:p w:rsidR="00F855D9" w:rsidRPr="00F855D9" w:rsidRDefault="00F855D9" w:rsidP="00F855D9">
            <w:pPr>
              <w:widowControl w:val="0"/>
              <w:spacing w:line="480" w:lineRule="auto"/>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 xml:space="preserve">7. </w:t>
            </w:r>
            <w:r w:rsidRPr="00F855D9">
              <w:rPr>
                <w:rFonts w:ascii="Times New Roman" w:hAnsi="Times New Roman" w:cs="Times New Roman" w:hint="eastAsia"/>
                <w:bCs/>
                <w:i/>
                <w:color w:val="000000"/>
                <w:kern w:val="2"/>
                <w:sz w:val="24"/>
                <w:szCs w:val="24"/>
                <w:lang w:eastAsia="zh-TW"/>
              </w:rPr>
              <w:t>Joint-venture requirements</w:t>
            </w:r>
          </w:p>
          <w:p w:rsidR="00F855D9" w:rsidRPr="00F855D9" w:rsidRDefault="00F855D9" w:rsidP="00F855D9">
            <w:pPr>
              <w:widowControl w:val="0"/>
              <w:spacing w:line="480" w:lineRule="auto"/>
              <w:contextualSpacing/>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 xml:space="preserve">8. </w:t>
            </w:r>
            <w:r w:rsidRPr="00F855D9">
              <w:rPr>
                <w:rFonts w:ascii="Times New Roman" w:hAnsi="Times New Roman" w:cs="Times New Roman" w:hint="eastAsia"/>
                <w:bCs/>
                <w:i/>
                <w:color w:val="000000"/>
                <w:kern w:val="2"/>
                <w:sz w:val="24"/>
                <w:szCs w:val="24"/>
                <w:lang w:eastAsia="zh-TW"/>
              </w:rPr>
              <w:t>Prohibitions on participation</w:t>
            </w:r>
          </w:p>
        </w:tc>
        <w:tc>
          <w:tcPr>
            <w:tcW w:w="3907" w:type="dxa"/>
          </w:tcPr>
          <w:p w:rsidR="00F855D9" w:rsidRPr="00F855D9" w:rsidRDefault="00F855D9" w:rsidP="00F855D9">
            <w:pPr>
              <w:widowControl w:val="0"/>
              <w:spacing w:line="480" w:lineRule="auto"/>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1. Discriminatory licensing requirements on</w:t>
            </w:r>
          </w:p>
          <w:p w:rsidR="00F855D9" w:rsidRPr="00F855D9" w:rsidRDefault="00F855D9" w:rsidP="00F855D9">
            <w:pPr>
              <w:widowControl w:val="0"/>
              <w:spacing w:line="480" w:lineRule="auto"/>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a. Qualifications / education</w:t>
            </w:r>
          </w:p>
          <w:p w:rsidR="00F855D9" w:rsidRPr="00F855D9" w:rsidRDefault="00F855D9" w:rsidP="00F855D9">
            <w:pPr>
              <w:widowControl w:val="0"/>
              <w:spacing w:line="480" w:lineRule="auto"/>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b. Technical capacity</w:t>
            </w:r>
          </w:p>
          <w:p w:rsidR="00F855D9" w:rsidRPr="00F855D9" w:rsidRDefault="00F855D9" w:rsidP="00F855D9">
            <w:pPr>
              <w:widowControl w:val="0"/>
              <w:spacing w:line="480" w:lineRule="auto"/>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c. experience</w:t>
            </w:r>
          </w:p>
          <w:p w:rsidR="00F855D9" w:rsidRPr="00F855D9" w:rsidRDefault="00F855D9" w:rsidP="00F855D9">
            <w:pPr>
              <w:widowControl w:val="0"/>
              <w:spacing w:line="480" w:lineRule="auto"/>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 xml:space="preserve">2. </w:t>
            </w:r>
            <w:r w:rsidRPr="00F855D9">
              <w:rPr>
                <w:rFonts w:ascii="Times New Roman" w:hAnsi="Times New Roman" w:cs="Times New Roman" w:hint="eastAsia"/>
                <w:bCs/>
                <w:i/>
                <w:color w:val="000000"/>
                <w:kern w:val="2"/>
                <w:sz w:val="24"/>
                <w:szCs w:val="24"/>
                <w:lang w:eastAsia="zh-TW"/>
              </w:rPr>
              <w:t>Nationality / residency of service providers</w:t>
            </w:r>
            <w:r w:rsidRPr="00F855D9">
              <w:rPr>
                <w:rFonts w:ascii="Times New Roman" w:hAnsi="Times New Roman" w:cs="Times New Roman"/>
                <w:bCs/>
                <w:i/>
                <w:color w:val="000000"/>
                <w:kern w:val="2"/>
                <w:sz w:val="24"/>
                <w:szCs w:val="24"/>
                <w:lang w:eastAsia="zh-TW"/>
              </w:rPr>
              <w:t xml:space="preserve"> and managers, boards of directors</w:t>
            </w:r>
          </w:p>
          <w:p w:rsidR="00F855D9" w:rsidRPr="00F855D9" w:rsidRDefault="00F855D9" w:rsidP="00F855D9">
            <w:pPr>
              <w:widowControl w:val="0"/>
              <w:spacing w:line="480" w:lineRule="auto"/>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 xml:space="preserve">3. </w:t>
            </w:r>
            <w:r w:rsidRPr="00F855D9">
              <w:rPr>
                <w:rFonts w:ascii="Times New Roman" w:hAnsi="Times New Roman" w:cs="Times New Roman" w:hint="eastAsia"/>
                <w:bCs/>
                <w:i/>
                <w:color w:val="000000"/>
                <w:kern w:val="2"/>
                <w:sz w:val="24"/>
                <w:szCs w:val="24"/>
                <w:lang w:eastAsia="zh-TW"/>
              </w:rPr>
              <w:t>Discriminatory taxation</w:t>
            </w:r>
          </w:p>
          <w:p w:rsidR="00F855D9" w:rsidRPr="00F855D9" w:rsidRDefault="00F855D9" w:rsidP="00F855D9">
            <w:pPr>
              <w:widowControl w:val="0"/>
              <w:spacing w:line="480" w:lineRule="auto"/>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 xml:space="preserve">4. </w:t>
            </w:r>
            <w:r w:rsidRPr="00F855D9">
              <w:rPr>
                <w:rFonts w:ascii="Times New Roman" w:hAnsi="Times New Roman" w:cs="Times New Roman" w:hint="eastAsia"/>
                <w:bCs/>
                <w:i/>
                <w:color w:val="000000"/>
                <w:kern w:val="2"/>
                <w:sz w:val="24"/>
                <w:szCs w:val="24"/>
                <w:lang w:eastAsia="zh-TW"/>
              </w:rPr>
              <w:t>Sectors reserved to domestic investors</w:t>
            </w:r>
          </w:p>
          <w:p w:rsidR="00F855D9" w:rsidRPr="00F855D9" w:rsidRDefault="00F855D9" w:rsidP="00F855D9">
            <w:pPr>
              <w:widowControl w:val="0"/>
              <w:spacing w:line="480" w:lineRule="auto"/>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 xml:space="preserve">5. </w:t>
            </w:r>
            <w:r w:rsidRPr="00F855D9">
              <w:rPr>
                <w:rFonts w:ascii="Times New Roman" w:hAnsi="Times New Roman" w:cs="Times New Roman" w:hint="eastAsia"/>
                <w:bCs/>
                <w:i/>
                <w:color w:val="000000"/>
                <w:kern w:val="2"/>
                <w:sz w:val="24"/>
                <w:szCs w:val="24"/>
                <w:lang w:eastAsia="zh-TW"/>
              </w:rPr>
              <w:t xml:space="preserve"> Landownership restrictions</w:t>
            </w:r>
          </w:p>
          <w:p w:rsidR="00F855D9" w:rsidRPr="00F855D9" w:rsidRDefault="00F855D9" w:rsidP="00F855D9">
            <w:pPr>
              <w:widowControl w:val="0"/>
              <w:spacing w:line="480" w:lineRule="auto"/>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 xml:space="preserve">6. </w:t>
            </w:r>
            <w:r w:rsidRPr="00F855D9">
              <w:rPr>
                <w:rFonts w:ascii="Times New Roman" w:hAnsi="Times New Roman" w:cs="Times New Roman" w:hint="eastAsia"/>
                <w:bCs/>
                <w:i/>
                <w:color w:val="000000"/>
                <w:kern w:val="2"/>
                <w:sz w:val="24"/>
                <w:szCs w:val="24"/>
                <w:lang w:eastAsia="zh-TW"/>
              </w:rPr>
              <w:t>Type of shares owned by foreigners</w:t>
            </w:r>
          </w:p>
          <w:p w:rsidR="00F855D9" w:rsidRPr="00F855D9" w:rsidRDefault="00F855D9" w:rsidP="00F855D9">
            <w:pPr>
              <w:widowControl w:val="0"/>
              <w:spacing w:line="480" w:lineRule="auto"/>
              <w:contextualSpacing/>
              <w:rPr>
                <w:rFonts w:ascii="Times New Roman" w:hAnsi="Times New Roman" w:cs="Times New Roman"/>
                <w:bCs/>
                <w:i/>
                <w:color w:val="000000"/>
                <w:kern w:val="2"/>
                <w:sz w:val="24"/>
                <w:szCs w:val="24"/>
                <w:lang w:eastAsia="zh-TW"/>
              </w:rPr>
            </w:pPr>
            <w:r w:rsidRPr="00F855D9">
              <w:rPr>
                <w:rFonts w:ascii="Times New Roman" w:hAnsi="Times New Roman" w:cs="Times New Roman"/>
                <w:bCs/>
                <w:i/>
                <w:color w:val="000000"/>
                <w:kern w:val="2"/>
                <w:sz w:val="24"/>
                <w:szCs w:val="24"/>
                <w:lang w:eastAsia="zh-TW"/>
              </w:rPr>
              <w:t xml:space="preserve">7. </w:t>
            </w:r>
            <w:r w:rsidRPr="00F855D9">
              <w:rPr>
                <w:rFonts w:ascii="Times New Roman" w:hAnsi="Times New Roman" w:cs="Times New Roman" w:hint="eastAsia"/>
                <w:bCs/>
                <w:i/>
                <w:color w:val="000000"/>
                <w:kern w:val="2"/>
                <w:sz w:val="24"/>
                <w:szCs w:val="24"/>
                <w:lang w:eastAsia="zh-TW"/>
              </w:rPr>
              <w:t>Other forms of discriminatory measures</w:t>
            </w:r>
          </w:p>
        </w:tc>
      </w:tr>
    </w:tbl>
    <w:p w:rsidR="00F855D9" w:rsidRPr="00F855D9" w:rsidRDefault="00F855D9" w:rsidP="00F855D9">
      <w:pPr>
        <w:widowControl w:val="0"/>
        <w:tabs>
          <w:tab w:val="left" w:pos="6711"/>
        </w:tabs>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Sumber : Sekretariat ASEAN</w:t>
      </w:r>
      <w:r w:rsidRPr="00F855D9">
        <w:rPr>
          <w:rFonts w:ascii="Times New Roman" w:eastAsia="PMingLiU" w:hAnsi="Times New Roman" w:cs="Times New Roman"/>
          <w:bCs/>
          <w:color w:val="000000"/>
          <w:kern w:val="2"/>
          <w:sz w:val="24"/>
          <w:szCs w:val="24"/>
          <w:lang w:eastAsia="zh-TW"/>
        </w:rPr>
        <w:tab/>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 xml:space="preserve">Perdagangan dan investasi di sektor jasa dapat dibatasi melalui pembatasan formal atau melalui berbagai peraturan dalam negeri. Pembatasan formal untuk jasa yang ditujukan untuk membatasi akses ke pasar jasa dalam negeri dengan lokal dan/atau perusahaan asing, atau </w:t>
      </w:r>
      <w:r w:rsidRPr="00F855D9">
        <w:rPr>
          <w:rFonts w:ascii="Times New Roman" w:eastAsia="PMingLiU" w:hAnsi="Times New Roman" w:cs="Times New Roman"/>
          <w:bCs/>
          <w:i/>
          <w:color w:val="000000"/>
          <w:kern w:val="2"/>
          <w:sz w:val="24"/>
          <w:szCs w:val="24"/>
          <w:lang w:eastAsia="zh-TW"/>
        </w:rPr>
        <w:t xml:space="preserve">affording </w:t>
      </w:r>
      <w:r w:rsidRPr="00F855D9">
        <w:rPr>
          <w:rFonts w:ascii="Times New Roman" w:eastAsia="PMingLiU" w:hAnsi="Times New Roman" w:cs="Times New Roman"/>
          <w:bCs/>
          <w:color w:val="000000"/>
          <w:kern w:val="2"/>
          <w:sz w:val="24"/>
          <w:szCs w:val="24"/>
          <w:lang w:eastAsia="zh-TW"/>
        </w:rPr>
        <w:t>pemasok jasa domestik yang mempunyai keunggulan kompetitif melalui langkah-langkah yang mendiskriminasi pemasok jasa asing, disebut sebagai pembatasan akses pasar dan langkah-langkah diskriminatif. Langkah-langkah yang membatasi akses pasar biasanya bersifat kuantitatif, tetapi juga mungkin memerlukan jumlah larangan atau pembatasan yang dapat diterima semua pihak. Tabel diatas menawarkan contoh pembatasan formal untuk perdagangan dan investasi dalam sektor jasa yang merupakan inti dari negosiasi perdagangan jasa, di dalam AFAS. Dalam perjanjian perdagangan AFAS yang terinspirasi oleh GATS, jenis pembatasan perdagangan dan investasi jatuh di bawah lingkup ketentuan tentang "akses pasar" dan "perlakuan nasional," yang merupakan kewajiban utama menuju liberalisasi jasa untuk menghilangkan hambatan dan mempermudah laju bisnis.</w:t>
      </w:r>
      <w:r w:rsidRPr="00F855D9">
        <w:rPr>
          <w:rFonts w:ascii="Times New Roman" w:eastAsia="PMingLiU" w:hAnsi="Times New Roman" w:cs="Times New Roman"/>
          <w:bCs/>
          <w:color w:val="000000"/>
          <w:kern w:val="2"/>
          <w:sz w:val="24"/>
          <w:szCs w:val="24"/>
          <w:vertAlign w:val="superscript"/>
          <w:lang w:eastAsia="zh-TW"/>
        </w:rPr>
        <w:footnoteReference w:id="95"/>
      </w:r>
    </w:p>
    <w:p w:rsidR="00915C1B" w:rsidRPr="00F855D9" w:rsidRDefault="00F855D9" w:rsidP="000A776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Berikut ini adalah grafik kemudahan berbisnis di sektor jasa konstruksi antar negara di ASEAN :</w:t>
      </w:r>
    </w:p>
    <w:p w:rsidR="00F855D9" w:rsidRPr="00F855D9" w:rsidRDefault="00F855D9" w:rsidP="00F855D9">
      <w:pPr>
        <w:widowControl w:val="0"/>
        <w:spacing w:after="0" w:line="480" w:lineRule="auto"/>
        <w:contextualSpacing/>
        <w:jc w:val="center"/>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Grafik 3.1 : Kemudahan berbisnis di sektor jasa konstruksi antar negara ASEAN</w:t>
      </w:r>
    </w:p>
    <w:p w:rsidR="00F855D9" w:rsidRPr="00F855D9" w:rsidRDefault="00F855D9" w:rsidP="00F855D9">
      <w:pPr>
        <w:widowControl w:val="0"/>
        <w:spacing w:after="0" w:line="48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noProof/>
          <w:color w:val="000000"/>
          <w:kern w:val="2"/>
          <w:sz w:val="24"/>
          <w:szCs w:val="24"/>
          <w:lang w:eastAsia="id-ID"/>
        </w:rPr>
        <w:lastRenderedPageBreak/>
        <w:drawing>
          <wp:anchor distT="0" distB="0" distL="114300" distR="114300" simplePos="0" relativeHeight="251640320" behindDoc="0" locked="0" layoutInCell="1" allowOverlap="1" wp14:anchorId="1A3EC1C4" wp14:editId="749C37C5">
            <wp:simplePos x="0" y="0"/>
            <wp:positionH relativeFrom="column">
              <wp:posOffset>-721305</wp:posOffset>
            </wp:positionH>
            <wp:positionV relativeFrom="paragraph">
              <wp:posOffset>-277660</wp:posOffset>
            </wp:positionV>
            <wp:extent cx="6550025" cy="2940050"/>
            <wp:effectExtent l="0" t="0" r="3175" b="1270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F855D9">
        <w:rPr>
          <w:rFonts w:ascii="Times New Roman" w:eastAsia="PMingLiU" w:hAnsi="Times New Roman" w:cs="Times New Roman"/>
          <w:bCs/>
          <w:color w:val="000000"/>
          <w:kern w:val="2"/>
          <w:sz w:val="24"/>
          <w:szCs w:val="24"/>
          <w:lang w:eastAsia="zh-TW"/>
        </w:rPr>
        <w:t>Sumber : Diolah dari berbagai sumber</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Indikator kemudahan berbisnis di sektor jasa konstruksi dari semua negara di ASEAN, Singapuralah yang menjadi negara dengan kemudahan berbisnis paling tinggi. Singapura menduduki peringkat 1 dari 10 negara di ASEAN, itu berarti hanya terdapat 1 kesulitan dalam berbisnis di Singapura. Malaysia menjadi negara kedua yang mempunyai tingkat kemudahan berbisnis di sektor jasa yang masih bisa dikatakan mudah dengan 18 masalah dalam kesulitan berbisnis di Malaysia. Thailand menduduki peringkat ke 3 dengan 26 kesulitan berbisnis di negara yang berjuluk gajah putih tersebut. Sedangkan Vietnam meroket tajam ke peringkat 4 pada tahun 2016 dengan 78 kesulitan berbisnis yang mana mengalahkan Indonesia. Thailand pada tahun 2014 bersaing ketat dengan Indonesia di peringkat 5 dan 6 dari 10 negara anggota ASEAN atas kemudahan berbisnis kini pada tahun 2016 telah jauh mengungguli Indonesia. Filipina juga menjadi negara yang terus memperkecil tingkat kesulitan berbisnis di sektor jasa konstruksi dengan 95 kesulitan berbisnis . Brunei menjadi negara ke 6 dengan kemudahan berbisnis di sektor jasa </w:t>
      </w:r>
      <w:r w:rsidRPr="00F855D9">
        <w:rPr>
          <w:rFonts w:ascii="Times New Roman" w:eastAsia="PMingLiU" w:hAnsi="Times New Roman" w:cs="Times New Roman"/>
          <w:bCs/>
          <w:color w:val="000000"/>
          <w:kern w:val="2"/>
          <w:sz w:val="24"/>
          <w:szCs w:val="24"/>
          <w:lang w:eastAsia="zh-TW"/>
        </w:rPr>
        <w:lastRenderedPageBreak/>
        <w:t xml:space="preserve">konstruksi antar negara ASEAN, peringkat brunei jauh menurun dari tahun-tahun sebelumnya dikarenakan regulasi dari pemerintah Brunei dalam membatasi pelaku usaha dalam berbisnis di Brunei dengan alasan untuk meningkatkan peran pelaku usaha dalam negeri agar lebih aktif daripada pelaku usaha luar negeri. </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Indonesia yang berada di peringkat 7 dengan kesulitan berbisnis sebesar 105 kesulitan menjadikan negara Indonesia salah satu dari negara yang paling sulit dalam berbisnis di sektor jasa konstruksi di ASEAN, berbagai regulasi yang dianggap menyulitkan pelaku usaha masih menjadi kendala terbesar dalam melakukan usaha di Indonesia. Berbeda dengan 3 negara ASEAN yang berda di 3 peringkat bawah dalam hal kemudahan berbisnis di sektor jasa konstruksi yaitu Kamboja, Laos, dan Myanmar. Kamboja yang memiliki tingkat kesulitan berbisnis sebesar 135, memiliki tingkat kesulitan tersebut karena kondisi negara Kamboja yang belum stabil dan maraknya korupsi di negara tersebut. Sedangkan Laos dengan 148 masalah atas kemudahan berbisnis di sektor jasa konstruksi, merupakan negara yang masih dalam tahap awal berkembang, belum adanya sarana dan prasarana yang mencukupi juga masih menjadi kendala dalam berbisnis di Laos. Peringkat terakhir masih tetap dipengang oleh Myanmar dengan 177 masalah atas kemudahan berbisnis di sektor jasa konstruksi, Laos maupun Myanmar adalah negara paling miskin dari negara anggota ASEAN lainnya. Tingkat pendapatan perkapita yang rendah, pendidikan yang masih tertinggal dan juga belum adanya kesiapan atas MEA menjadikan dua negara tersebut tidak bisa berkembang dengan </w:t>
      </w:r>
      <w:r w:rsidRPr="00F855D9">
        <w:rPr>
          <w:rFonts w:ascii="Times New Roman" w:eastAsia="PMingLiU" w:hAnsi="Times New Roman" w:cs="Times New Roman"/>
          <w:bCs/>
          <w:color w:val="000000"/>
          <w:kern w:val="2"/>
          <w:sz w:val="24"/>
          <w:szCs w:val="24"/>
          <w:lang w:eastAsia="zh-TW"/>
        </w:rPr>
        <w:lastRenderedPageBreak/>
        <w:t>baik dalam MEA yang teah berjalan sehingga untuk tingkat kemudahan berbisnis dalam sektor konstruksi masih rendah.</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Rendahnya daya saing nasional disebabkan oleh ekonomi biaya tinggi yang masih terjadi di Indonesia khususnya terkait masalah infrastruktur, kelembagaan  dan logistik. Dalam hal infrastruktur, anggaran belanja Indonesia hanya sebesar 2% dari total Anggaran Pendapatan dan Belanja Negara (APBN). Hal ini dirasa masih sangat rendah mengingat besarnya luas wilayah negara Indonesia. Oleh karenanya, masalah konektifitas antar kota dan antar pulau di Indonesia masih merupakan hal yang menimbulkan biaya tinggi bagi proses ekonomi di Indonesia. Anggaran untuk infrastruktur di Indonesia idealnya mencapai minimal 5% dari total APBN. Jika kita melihat China yang mengalokasikan sekitar 10% dan bahkan Vietnam yang menganggarkan kurang lebih 8% dari total APBNnya untuk infrastruktur, maka Indonesia akan semakin susah bersaing dengan negara-negara lain dalam menciptakan produk yang berdaya saing. Rendahnya daya saing Indonesia dapat juga dilihat dari mayoritas produk ekspor Indonesia ke ASEAN yang masih didominasi oleh produk-produk bahan baku alam yaitu batubara, gas alam, minyak nabati, dan minyak bumi yang nilainya mencapai sekitar 40% dari total ekspor Indonesia. Selain itu, sistem logistik di Indonesia cenderung masih rendah. Berdasarkan </w:t>
      </w:r>
      <w:r w:rsidRPr="00F855D9">
        <w:rPr>
          <w:rFonts w:ascii="Times New Roman" w:eastAsia="PMingLiU" w:hAnsi="Times New Roman" w:cs="Times New Roman"/>
          <w:bCs/>
          <w:i/>
          <w:color w:val="000000"/>
          <w:kern w:val="2"/>
          <w:sz w:val="24"/>
          <w:szCs w:val="24"/>
          <w:lang w:eastAsia="zh-TW"/>
        </w:rPr>
        <w:t>Logistic Performance Index</w:t>
      </w:r>
      <w:r w:rsidRPr="00F855D9">
        <w:rPr>
          <w:rFonts w:ascii="Times New Roman" w:eastAsia="PMingLiU" w:hAnsi="Times New Roman" w:cs="Times New Roman"/>
          <w:bCs/>
          <w:color w:val="000000"/>
          <w:kern w:val="2"/>
          <w:sz w:val="24"/>
          <w:szCs w:val="24"/>
          <w:lang w:eastAsia="zh-TW"/>
        </w:rPr>
        <w:t xml:space="preserve"> (LPI), di tahun 2010 Indonesia menduduki peringkat ke-75 dimana dalam penilaian 1 (terburuk) – 5 (terbaik), kepabeanan Indonesia mendapatkan nilai 2.76, infrastruktur = 2.54, </w:t>
      </w:r>
      <w:r w:rsidRPr="00F855D9">
        <w:rPr>
          <w:rFonts w:ascii="Times New Roman" w:eastAsia="PMingLiU" w:hAnsi="Times New Roman" w:cs="Times New Roman"/>
          <w:bCs/>
          <w:i/>
          <w:color w:val="000000"/>
          <w:kern w:val="2"/>
          <w:sz w:val="24"/>
          <w:szCs w:val="24"/>
          <w:lang w:eastAsia="zh-TW"/>
        </w:rPr>
        <w:t>international shipments</w:t>
      </w:r>
      <w:r w:rsidRPr="00F855D9">
        <w:rPr>
          <w:rFonts w:ascii="Times New Roman" w:eastAsia="PMingLiU" w:hAnsi="Times New Roman" w:cs="Times New Roman"/>
          <w:bCs/>
          <w:color w:val="000000"/>
          <w:kern w:val="2"/>
          <w:sz w:val="24"/>
          <w:szCs w:val="24"/>
          <w:lang w:eastAsia="zh-TW"/>
        </w:rPr>
        <w:t xml:space="preserve"> = 2.82, kemampuan logistik = 2.47, </w:t>
      </w:r>
      <w:r w:rsidRPr="00F855D9">
        <w:rPr>
          <w:rFonts w:ascii="Times New Roman" w:eastAsia="PMingLiU" w:hAnsi="Times New Roman" w:cs="Times New Roman"/>
          <w:bCs/>
          <w:i/>
          <w:color w:val="000000"/>
          <w:kern w:val="2"/>
          <w:sz w:val="24"/>
          <w:szCs w:val="24"/>
          <w:lang w:eastAsia="zh-TW"/>
        </w:rPr>
        <w:lastRenderedPageBreak/>
        <w:t>tracking dan tracing</w:t>
      </w:r>
      <w:r w:rsidRPr="00F855D9">
        <w:rPr>
          <w:rFonts w:ascii="Times New Roman" w:eastAsia="PMingLiU" w:hAnsi="Times New Roman" w:cs="Times New Roman"/>
          <w:bCs/>
          <w:color w:val="000000"/>
          <w:kern w:val="2"/>
          <w:sz w:val="24"/>
          <w:szCs w:val="24"/>
          <w:lang w:eastAsia="zh-TW"/>
        </w:rPr>
        <w:t xml:space="preserve"> = 2.77, dan t</w:t>
      </w:r>
      <w:r w:rsidRPr="00F855D9">
        <w:rPr>
          <w:rFonts w:ascii="Times New Roman" w:eastAsia="PMingLiU" w:hAnsi="Times New Roman" w:cs="Times New Roman"/>
          <w:bCs/>
          <w:i/>
          <w:color w:val="000000"/>
          <w:kern w:val="2"/>
          <w:sz w:val="24"/>
          <w:szCs w:val="24"/>
          <w:lang w:eastAsia="zh-TW"/>
        </w:rPr>
        <w:t xml:space="preserve">imeliness </w:t>
      </w:r>
      <w:r w:rsidRPr="00F855D9">
        <w:rPr>
          <w:rFonts w:ascii="Times New Roman" w:eastAsia="PMingLiU" w:hAnsi="Times New Roman" w:cs="Times New Roman"/>
          <w:bCs/>
          <w:color w:val="000000"/>
          <w:kern w:val="2"/>
          <w:sz w:val="24"/>
          <w:szCs w:val="24"/>
          <w:lang w:eastAsia="zh-TW"/>
        </w:rPr>
        <w:t xml:space="preserve">= 3.46, dengan total nilai LPI sebesar 2.76. lebih lanjut, masalah teknis di </w:t>
      </w:r>
      <w:r w:rsidRPr="00F855D9">
        <w:rPr>
          <w:rFonts w:ascii="Times New Roman" w:eastAsia="PMingLiU" w:hAnsi="Times New Roman" w:cs="Times New Roman"/>
          <w:bCs/>
          <w:i/>
          <w:color w:val="000000"/>
          <w:kern w:val="2"/>
          <w:sz w:val="24"/>
          <w:szCs w:val="24"/>
          <w:lang w:eastAsia="zh-TW"/>
        </w:rPr>
        <w:t>entry points</w:t>
      </w:r>
      <w:r w:rsidRPr="00F855D9">
        <w:rPr>
          <w:rFonts w:ascii="Times New Roman" w:eastAsia="PMingLiU" w:hAnsi="Times New Roman" w:cs="Times New Roman"/>
          <w:bCs/>
          <w:color w:val="000000"/>
          <w:kern w:val="2"/>
          <w:sz w:val="24"/>
          <w:szCs w:val="24"/>
          <w:lang w:eastAsia="zh-TW"/>
        </w:rPr>
        <w:t xml:space="preserve"> Indonesia seperti antrian di pelabuhan, akses pelabuhan ke kawasan industri, dan jalur distribusi antar wilayah/kawasan ekonomi di daerah cenderung masih dibawah Negara ASEAN-6 lainnya.</w:t>
      </w:r>
      <w:r w:rsidRPr="00F855D9">
        <w:rPr>
          <w:rFonts w:ascii="Times New Roman" w:eastAsia="PMingLiU" w:hAnsi="Times New Roman" w:cs="Times New Roman"/>
          <w:bCs/>
          <w:color w:val="000000"/>
          <w:kern w:val="2"/>
          <w:sz w:val="24"/>
          <w:szCs w:val="24"/>
          <w:vertAlign w:val="superscript"/>
          <w:lang w:eastAsia="zh-TW"/>
        </w:rPr>
        <w:footnoteReference w:id="96"/>
      </w:r>
    </w:p>
    <w:p w:rsid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Daya saing nasional yang rendah juga disebabkan oleh masalah-masalah kelembagaan seperti korupsi, penyalahgunaan wewenang, lemahnya penegakan hukum, iklim usaha yang belum stabil (rendahnya pasokan energi, lemahnya akses finansial untuk usaha), belum harmonisnya kebijakan-kebijakan daerah dengan pusat, dan rendahnya jaminan keamanan melakukan usaha di Indonesia. Berdasarkan data dari </w:t>
      </w:r>
      <w:r w:rsidRPr="00F855D9">
        <w:rPr>
          <w:rFonts w:ascii="Times New Roman" w:eastAsia="PMingLiU" w:hAnsi="Times New Roman" w:cs="Times New Roman"/>
          <w:bCs/>
          <w:i/>
          <w:color w:val="000000"/>
          <w:kern w:val="2"/>
          <w:sz w:val="24"/>
          <w:szCs w:val="24"/>
          <w:lang w:eastAsia="zh-TW"/>
        </w:rPr>
        <w:t>International Finance Corporation</w:t>
      </w:r>
      <w:r w:rsidRPr="00F855D9">
        <w:rPr>
          <w:rFonts w:ascii="Times New Roman" w:eastAsia="PMingLiU" w:hAnsi="Times New Roman" w:cs="Times New Roman"/>
          <w:bCs/>
          <w:color w:val="000000"/>
          <w:kern w:val="2"/>
          <w:sz w:val="24"/>
          <w:szCs w:val="24"/>
          <w:lang w:eastAsia="zh-TW"/>
        </w:rPr>
        <w:t xml:space="preserve"> dan The World Bank, kemudahan berusaha di Indonesia masih sangat rendah. Untuk kemudahan melakukan usaha, Indonesia berada di ranking 7 di kawasan ASEAN, bahkan di bawah Vietnam. Berikut tabel kemudahan berbisnis secara umum antar negara – negara di ASEAN :</w:t>
      </w:r>
    </w:p>
    <w:p w:rsidR="00915C1B" w:rsidRPr="00F855D9" w:rsidRDefault="00915C1B"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contextualSpacing/>
        <w:jc w:val="center"/>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Tabel 3.4 : Kemudahan berbisnis secara umum antar negara – negara </w:t>
      </w:r>
    </w:p>
    <w:p w:rsidR="00F855D9" w:rsidRPr="00F855D9" w:rsidRDefault="00F855D9" w:rsidP="00F855D9">
      <w:pPr>
        <w:widowControl w:val="0"/>
        <w:spacing w:after="0" w:line="480" w:lineRule="auto"/>
        <w:contextualSpacing/>
        <w:jc w:val="center"/>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di ASEAN</w:t>
      </w:r>
    </w:p>
    <w:p w:rsidR="00F855D9" w:rsidRPr="00F855D9" w:rsidRDefault="00F855D9" w:rsidP="00F855D9">
      <w:pPr>
        <w:widowControl w:val="0"/>
        <w:spacing w:after="0" w:line="480" w:lineRule="auto"/>
        <w:contextualSpacing/>
        <w:jc w:val="center"/>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noProof/>
          <w:kern w:val="2"/>
          <w:sz w:val="24"/>
          <w:szCs w:val="24"/>
          <w:lang w:eastAsia="id-ID"/>
        </w:rPr>
        <w:lastRenderedPageBreak/>
        <mc:AlternateContent>
          <mc:Choice Requires="wps">
            <w:drawing>
              <wp:anchor distT="0" distB="0" distL="114300" distR="114300" simplePos="0" relativeHeight="251660800" behindDoc="0" locked="0" layoutInCell="1" allowOverlap="1" wp14:anchorId="281469EB" wp14:editId="32301ED5">
                <wp:simplePos x="0" y="0"/>
                <wp:positionH relativeFrom="column">
                  <wp:posOffset>-131233</wp:posOffset>
                </wp:positionH>
                <wp:positionV relativeFrom="paragraph">
                  <wp:posOffset>4404995</wp:posOffset>
                </wp:positionV>
                <wp:extent cx="4351867" cy="304800"/>
                <wp:effectExtent l="0" t="0" r="10795" b="19050"/>
                <wp:wrapNone/>
                <wp:docPr id="14" name="Rectangle 14"/>
                <wp:cNvGraphicFramePr/>
                <a:graphic xmlns:a="http://schemas.openxmlformats.org/drawingml/2006/main">
                  <a:graphicData uri="http://schemas.microsoft.com/office/word/2010/wordprocessingShape">
                    <wps:wsp>
                      <wps:cNvSpPr/>
                      <wps:spPr>
                        <a:xfrm>
                          <a:off x="0" y="0"/>
                          <a:ext cx="4351867" cy="304800"/>
                        </a:xfrm>
                        <a:prstGeom prst="rect">
                          <a:avLst/>
                        </a:prstGeom>
                        <a:solidFill>
                          <a:sysClr val="window" lastClr="FFFFFF"/>
                        </a:solidFill>
                        <a:ln w="25400" cap="flat" cmpd="sng" algn="ctr">
                          <a:solidFill>
                            <a:sysClr val="window" lastClr="FFFFFF"/>
                          </a:solidFill>
                          <a:prstDash val="solid"/>
                        </a:ln>
                        <a:effectLst/>
                      </wps:spPr>
                      <wps:txbx>
                        <w:txbxContent>
                          <w:p w:rsidR="00967E1A" w:rsidRPr="00203D3C" w:rsidRDefault="00967E1A" w:rsidP="00F855D9">
                            <w:pPr>
                              <w:jc w:val="both"/>
                            </w:pPr>
                            <w:r>
                              <w:t>Sumber : Kementrian Perdagangan 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1469EB" id="Rectangle 14" o:spid="_x0000_s1037" style="position:absolute;left:0;text-align:left;margin-left:-10.35pt;margin-top:346.85pt;width:342.65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" fillcolor="window" strokecolor="window" strokeweight="2pt">
                <v:textbox>
                  <w:txbxContent>
                    <w:p w:rsidR="00967E1A" w:rsidRPr="00203D3C" w:rsidRDefault="00967E1A" w:rsidP="00F855D9">
                      <w:pPr>
                        <w:jc w:val="both"/>
                      </w:pPr>
                      <w:r>
                        <w:t>Sumber : Kementrian Perdagangan RI</w:t>
                      </w:r>
                    </w:p>
                  </w:txbxContent>
                </v:textbox>
              </v:rect>
            </w:pict>
          </mc:Fallback>
        </mc:AlternateContent>
      </w:r>
      <w:r w:rsidRPr="00F855D9">
        <w:rPr>
          <w:rFonts w:ascii="Times New Roman" w:eastAsia="PMingLiU" w:hAnsi="Times New Roman" w:cs="Times New Roman"/>
          <w:noProof/>
          <w:kern w:val="2"/>
          <w:sz w:val="24"/>
          <w:szCs w:val="24"/>
          <w:lang w:eastAsia="id-ID"/>
        </w:rPr>
        <w:drawing>
          <wp:inline distT="0" distB="0" distL="0" distR="0" wp14:anchorId="7B1BAFA3" wp14:editId="702DED62">
            <wp:extent cx="5832233" cy="4826000"/>
            <wp:effectExtent l="0" t="0" r="0" b="0"/>
            <wp:docPr id="11" name="__mcenew"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undefin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7874" cy="4855492"/>
                    </a:xfrm>
                    <a:prstGeom prst="rect">
                      <a:avLst/>
                    </a:prstGeom>
                    <a:noFill/>
                    <a:ln>
                      <a:noFill/>
                    </a:ln>
                  </pic:spPr>
                </pic:pic>
              </a:graphicData>
            </a:graphic>
          </wp:inline>
        </w:drawing>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Investor yang  akan memulai bisnis di  Indonesia  memerlukan 10  prosedur dan 52,5 hari kerja. Singapura hanya  membutuhkan  3  tahapan  dan  2,5  hari  kerja  saja.  Begitu  juga  dengan  pengusaha  yang  akan  melakukan kegiatan ekspor dan impor. Untuk  ekspor, mereka memerlukan  4 dokumen  dengan  proses  selama  17 hari  dan  biaya  mencapai  572  USD. Sementara  untuk  impor,  diperlukan  4  dokumen  selama 26  hari  kerja dengan  biaya 647  USD per  kontainer.  Apabila  dibandingkan  dengan Malaysia, Indonesia kalah efisien. Untuk ekspor,  Malaysia perlu 4 dokumen dengan 11 hari  kerja dan biaya 525 USD. Begitu dengan impor, mereka hanya membutuhkan 8 hari kerja dengan  biaya 560 USD per </w:t>
      </w:r>
      <w:r w:rsidRPr="00F855D9">
        <w:rPr>
          <w:rFonts w:ascii="Times New Roman" w:eastAsia="PMingLiU" w:hAnsi="Times New Roman" w:cs="Times New Roman"/>
          <w:bCs/>
          <w:color w:val="000000"/>
          <w:kern w:val="2"/>
          <w:sz w:val="24"/>
          <w:szCs w:val="24"/>
          <w:lang w:eastAsia="zh-TW"/>
        </w:rPr>
        <w:lastRenderedPageBreak/>
        <w:t>kontainer.</w:t>
      </w:r>
      <w:r w:rsidRPr="00F855D9">
        <w:rPr>
          <w:rFonts w:ascii="Times New Roman" w:eastAsia="PMingLiU" w:hAnsi="Times New Roman" w:cs="Times New Roman"/>
          <w:bCs/>
          <w:color w:val="000000"/>
          <w:kern w:val="2"/>
          <w:sz w:val="24"/>
          <w:szCs w:val="24"/>
          <w:vertAlign w:val="superscript"/>
          <w:lang w:eastAsia="zh-TW"/>
        </w:rPr>
        <w:footnoteReference w:id="97"/>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Kemudahan berbisnis Indonesia yang berada di peringkat 7 dari 10 kemudahan berbisnis di negara ASEAN lainnya menandakan kurangnya komitmen kebijakan pemerintah Indonesia untuk membuat iklim berbisnis di Indonesia bagi pelaku usaha untuk berbisnis di Indonesia. Pelaku bisnis yang ingin memulai usaha di Indonesia sangat sedikit pada tahun 2016, hal in dikarenakan sangatlah susah untuk memulai bisnis di Indonesia. Indonesia menduduki urutan ke 9 dari negara anggota ASEAN terhadap kemudahan dalam memulai bisnis di suatu negara. Laos sebagai negara yang penduduknya mempunyai pendapatan perkapita telah mengalahkan Indonesia dalam kemudahan memulai bisnis di negaranya. Rata – rata kemudahan berbisnis di Indonesia dibandingkan negara anggota ASEAN lainnya adalah tingkat sulit. Filipina dan Vietnam yang merupakan negara berkembang memiliki askes terhadap kemudahan pasar yang sangat baik dibandingkan Indonesia. Terlepas dari Singapura, Malaysia, Thailand dan Brunei yang memiliki tingkat kemudahan berbisnis yang tinggi, Indonesia masih jauh tertinggal dari negara- negara tersebut jika mengingat Indonesia memiliki jumlah penduduk dan jumlah wilayah yang paling banyak dan luas diantara negara anggota ASEAN tersebut.</w:t>
      </w:r>
    </w:p>
    <w:p w:rsidR="00F855D9" w:rsidRPr="00F855D9" w:rsidRDefault="00F855D9" w:rsidP="00915C1B">
      <w:pPr>
        <w:widowControl w:val="0"/>
        <w:spacing w:after="0" w:line="48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Staf Ahli Bidang Perdagangan Jasa Kementrian Perdagangan Republik Indonesia,</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Lasminingsih, SH, LLM, menjelaskan bahwa :</w:t>
      </w:r>
    </w:p>
    <w:p w:rsidR="00F855D9" w:rsidRPr="00F855D9" w:rsidRDefault="00F855D9" w:rsidP="00915C1B">
      <w:pPr>
        <w:widowControl w:val="0"/>
        <w:spacing w:after="0" w:line="24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Pemerintah Indonesia telah mengeluarkan paket kebijakan deregulasi ekonomi agar dinamika ekonomi Indonesia terangkat kembali. Paket kebijakan yang meliputi sektor investasi, industri, logistik, pariwisata, ekspor, dan </w:t>
      </w:r>
      <w:r w:rsidRPr="00F855D9">
        <w:rPr>
          <w:rFonts w:ascii="Times New Roman" w:eastAsia="PMingLiU" w:hAnsi="Times New Roman" w:cs="Times New Roman"/>
          <w:bCs/>
          <w:i/>
          <w:color w:val="000000"/>
          <w:kern w:val="2"/>
          <w:sz w:val="24"/>
          <w:szCs w:val="24"/>
          <w:lang w:eastAsia="zh-TW"/>
        </w:rPr>
        <w:t>purchasing power</w:t>
      </w:r>
      <w:r w:rsidRPr="00F855D9">
        <w:rPr>
          <w:rFonts w:ascii="Times New Roman" w:eastAsia="PMingLiU" w:hAnsi="Times New Roman" w:cs="Times New Roman"/>
          <w:bCs/>
          <w:color w:val="000000"/>
          <w:kern w:val="2"/>
          <w:sz w:val="24"/>
          <w:szCs w:val="24"/>
          <w:lang w:eastAsia="zh-TW"/>
        </w:rPr>
        <w:t xml:space="preserve"> tersebut difokuskan untuk </w:t>
      </w:r>
      <w:r w:rsidRPr="00F855D9">
        <w:rPr>
          <w:rFonts w:ascii="Times New Roman" w:eastAsia="PMingLiU" w:hAnsi="Times New Roman" w:cs="Times New Roman"/>
          <w:bCs/>
          <w:color w:val="000000"/>
          <w:kern w:val="2"/>
          <w:sz w:val="24"/>
          <w:szCs w:val="24"/>
          <w:lang w:eastAsia="zh-TW"/>
        </w:rPr>
        <w:lastRenderedPageBreak/>
        <w:t>memperbaiki tingkat kemudahan berbisnis (</w:t>
      </w:r>
      <w:r w:rsidRPr="00F855D9">
        <w:rPr>
          <w:rFonts w:ascii="Times New Roman" w:eastAsia="PMingLiU" w:hAnsi="Times New Roman" w:cs="Times New Roman"/>
          <w:bCs/>
          <w:i/>
          <w:color w:val="000000"/>
          <w:kern w:val="2"/>
          <w:sz w:val="24"/>
          <w:szCs w:val="24"/>
          <w:lang w:eastAsia="zh-TW"/>
        </w:rPr>
        <w:t>ease of doing business</w:t>
      </w:r>
      <w:r w:rsidRPr="00F855D9">
        <w:rPr>
          <w:rFonts w:ascii="Times New Roman" w:eastAsia="PMingLiU" w:hAnsi="Times New Roman" w:cs="Times New Roman"/>
          <w:bCs/>
          <w:color w:val="000000"/>
          <w:kern w:val="2"/>
          <w:sz w:val="24"/>
          <w:szCs w:val="24"/>
          <w:lang w:eastAsia="zh-TW"/>
        </w:rPr>
        <w:t>) di Indonesia. Indonesia berkeinginan masuk peringkat 40 besar dunia. Saat ini, Indonesia berada pada peringkat ke-109 dari 189 negara. Deregulasi kebijakan akan menciptakan kemudahan berbisnis di Indonesia sehingga diyakini akan mampu mendorong daya saing nasional dan pada akhirnya dapat menggerakkan ekonomi nasional. Kemudahan berusaha di Indonesia akan menjadi ukuran tumbuhnya investasi di Indonesia. Pertumbuhan investasi diharapkan mampu mendongkrak pertumbuhan ekonomi nasional. Kemendag berharap melalui beberapa forum kerja sama dapat menarik minat para calon investor dan mitra dagang untuk melakukan kerja sama perdagangan dan investasi. Bagi investor yang ingin merelokasi pabriknya ke Indonesia, Kemendag meyakinkan bahwa Indonesia siap untuk menjadi basis produksi dan investasi untuk target ekspor ke kawasan ASEAN dan dunia.</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09"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Kebijakan paket deregulasi ekonomi yang dicanangkan kementrian perdagangan merupakan salah satu langkah daam memepermudah kemudahan berbisnis di Indonesia. Meskipun Indonesia merupakan salah satu negara yang kemudahan berbisnisnya cenderung rendah tetapi pemerintah selalu berusaha untuk membuat jarak yang semakin dekat dengan kemudahan berbisnis di Indonesia. Perbandingan daya saing kemudahan berbisnis di sektor jasa konstruksi dalam MEA antar negara anggota ASEAN tersebut menandakan belum adanya kesepekatan antar negara ASEAN untuk saling berkomitmen mempermudah perlaku bisnis dalam berbisnis di berbagai negara di ASEAN. Sehingga masih banyak kesenjangan antar pelaku usaha dalam negeri dengan pelaku usaha dari luar negeri dalam melakukan bisnis di negara tujuan berbisnis. Dari perbandingan antar negara di ASEAN  terdapat 10 indikator yang harus dituntaskan terkait dengan kemudahan berbisnis, meliputi cara memulai usaha, perizinan, pendaftaran properti, kelistrikan, pembayaran pajak, perdagangan lintas negara, akses kredit, penegakan kontrak dan penyelesaian perkara kepailitan usaha, serta perlindungan terhadap </w:t>
      </w:r>
      <w:r w:rsidRPr="00F855D9">
        <w:rPr>
          <w:rFonts w:ascii="Times New Roman" w:eastAsia="PMingLiU" w:hAnsi="Times New Roman" w:cs="Times New Roman"/>
          <w:bCs/>
          <w:color w:val="000000"/>
          <w:kern w:val="2"/>
          <w:sz w:val="24"/>
          <w:szCs w:val="24"/>
          <w:lang w:eastAsia="zh-TW"/>
        </w:rPr>
        <w:lastRenderedPageBreak/>
        <w:t xml:space="preserve">investor minoritas. Kesemuanya ini harus menjadi perhatian semua elemen pemerintah agar segera dilakukan tindakan pembenahan. Peninjauan secara serius agar peringkat Indonesia dapat segera naik. Misi sesungguhnya meningkatkan para investor untuk melakukan investasi di tanah air. Pemerintah harus menghadirkan kemudahan berbisnis bagi semua investor dengan tujuan agar mereka tertarik menanamkan modal besarnya di Indonesia. Menghadapi MEA pemerintah harus sensitif untuk menghadirkan hal-hal positif yang sifatnya menarik. Setiap kemudahan tetap harus ada aturan yang mengawasi dan berperan sebagai kontrol agar ada batasan-batasan rasional, dengan tujuan untuk mencegah terjadinya kebablasan dalam proses-proses yang dilakukan. Peraturan Kepala BKPM Nomor 14 Tahun 2015 terkait syarat-syarat yang harus dipenuhi investor. Syarat bukan untuk mempersulit, tetapi lebih ke pengaturan etika. </w:t>
      </w:r>
    </w:p>
    <w:p w:rsidR="00F855D9" w:rsidRPr="00F855D9" w:rsidRDefault="00F855D9" w:rsidP="003D7355">
      <w:pPr>
        <w:widowControl w:val="0"/>
        <w:numPr>
          <w:ilvl w:val="0"/>
          <w:numId w:val="39"/>
        </w:numPr>
        <w:spacing w:after="0" w:line="480" w:lineRule="auto"/>
        <w:ind w:left="709"/>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Perbandingan daya saing investasi</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di bidang jasa konstruksi antara Indonesia dengan negara anggota ASEAN lainnya</w:t>
      </w:r>
    </w:p>
    <w:p w:rsidR="00F855D9" w:rsidRPr="00F855D9" w:rsidRDefault="00F855D9" w:rsidP="00915C1B">
      <w:pPr>
        <w:widowControl w:val="0"/>
        <w:spacing w:after="0" w:line="480" w:lineRule="auto"/>
        <w:ind w:left="709"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Berada dalam satu kawasan bukan jaminan Indonesia aman dari persaingan dengan negara-negara ASEAN lainnya. Memasuki era Masyarakat Ekonomi ASEAN (MEA) pada awal tahun 2016 ini, Indonesia ditantang untuk mampu bersaing dengan sembilan negara ASEAN lainnya, terutama Malaysia, Vietnam, dan Thailand. Sesuai Cetak Biru MEA, Jasa Konstruksi sebagai jasa non PIS (</w:t>
      </w:r>
      <w:r w:rsidRPr="00F855D9">
        <w:rPr>
          <w:rFonts w:ascii="Times New Roman" w:eastAsia="PMingLiU" w:hAnsi="Times New Roman" w:cs="Times New Roman"/>
          <w:bCs/>
          <w:i/>
          <w:color w:val="000000"/>
          <w:kern w:val="2"/>
          <w:sz w:val="24"/>
          <w:szCs w:val="24"/>
          <w:lang w:eastAsia="zh-TW"/>
        </w:rPr>
        <w:t>Priority Integration Sector</w:t>
      </w:r>
      <w:r w:rsidRPr="00F855D9">
        <w:rPr>
          <w:rFonts w:ascii="Times New Roman" w:eastAsia="PMingLiU" w:hAnsi="Times New Roman" w:cs="Times New Roman"/>
          <w:bCs/>
          <w:color w:val="000000"/>
          <w:kern w:val="2"/>
          <w:sz w:val="24"/>
          <w:szCs w:val="24"/>
          <w:lang w:eastAsia="zh-TW"/>
        </w:rPr>
        <w:t>) harus memenuhi komitmen dengan membuka akses pasar bagi pemasok jasa asing negara-negara anggota ASEAN dengan kepemilikan modal asing FEP (</w:t>
      </w:r>
      <w:r w:rsidRPr="00F855D9">
        <w:rPr>
          <w:rFonts w:ascii="Times New Roman" w:eastAsia="PMingLiU" w:hAnsi="Times New Roman" w:cs="Times New Roman"/>
          <w:bCs/>
          <w:i/>
          <w:color w:val="000000"/>
          <w:kern w:val="2"/>
          <w:sz w:val="24"/>
          <w:szCs w:val="24"/>
          <w:lang w:eastAsia="zh-TW"/>
        </w:rPr>
        <w:t>Foreign Equity Participation</w:t>
      </w:r>
      <w:r w:rsidRPr="00F855D9">
        <w:rPr>
          <w:rFonts w:ascii="Times New Roman" w:eastAsia="PMingLiU" w:hAnsi="Times New Roman" w:cs="Times New Roman"/>
          <w:bCs/>
          <w:color w:val="000000"/>
          <w:kern w:val="2"/>
          <w:sz w:val="24"/>
          <w:szCs w:val="24"/>
          <w:lang w:eastAsia="zh-TW"/>
        </w:rPr>
        <w:t xml:space="preserve">) 70% dalam AFAS Paket 10 tahun </w:t>
      </w:r>
      <w:r w:rsidRPr="00F855D9">
        <w:rPr>
          <w:rFonts w:ascii="Times New Roman" w:eastAsia="PMingLiU" w:hAnsi="Times New Roman" w:cs="Times New Roman"/>
          <w:bCs/>
          <w:color w:val="000000"/>
          <w:kern w:val="2"/>
          <w:sz w:val="24"/>
          <w:szCs w:val="24"/>
          <w:lang w:eastAsia="zh-TW"/>
        </w:rPr>
        <w:lastRenderedPageBreak/>
        <w:t xml:space="preserve">2015. Saat ini Indonesia baru memberikan komitmen kepemilikan modal asing tidak melebihi 55% dalam bentuk Perusahaan Terbatas (PT) dan dalam bentuk </w:t>
      </w:r>
      <w:r w:rsidRPr="00F855D9">
        <w:rPr>
          <w:rFonts w:ascii="Times New Roman" w:eastAsia="PMingLiU" w:hAnsi="Times New Roman" w:cs="Times New Roman"/>
          <w:bCs/>
          <w:i/>
          <w:color w:val="000000"/>
          <w:kern w:val="2"/>
          <w:sz w:val="24"/>
          <w:szCs w:val="24"/>
          <w:lang w:eastAsia="zh-TW"/>
        </w:rPr>
        <w:t>Joint Operation</w:t>
      </w:r>
      <w:r w:rsidRPr="00F855D9">
        <w:rPr>
          <w:rFonts w:ascii="Times New Roman" w:eastAsia="PMingLiU" w:hAnsi="Times New Roman" w:cs="Times New Roman"/>
          <w:bCs/>
          <w:color w:val="000000"/>
          <w:kern w:val="2"/>
          <w:sz w:val="24"/>
          <w:szCs w:val="24"/>
          <w:lang w:eastAsia="zh-TW"/>
        </w:rPr>
        <w:t>.</w:t>
      </w:r>
    </w:p>
    <w:p w:rsidR="00F855D9" w:rsidRPr="00F855D9" w:rsidRDefault="00F855D9" w:rsidP="00915C1B">
      <w:pPr>
        <w:widowControl w:val="0"/>
        <w:spacing w:after="0" w:line="480" w:lineRule="auto"/>
        <w:ind w:left="633"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ASEAN </w:t>
      </w:r>
      <w:r w:rsidRPr="00F855D9">
        <w:rPr>
          <w:rFonts w:ascii="Times New Roman" w:eastAsia="PMingLiU" w:hAnsi="Times New Roman" w:cs="Times New Roman"/>
          <w:bCs/>
          <w:i/>
          <w:color w:val="000000"/>
          <w:kern w:val="2"/>
          <w:sz w:val="24"/>
          <w:szCs w:val="24"/>
          <w:lang w:eastAsia="zh-TW"/>
        </w:rPr>
        <w:t>Comprehensive Investment Agreement</w:t>
      </w:r>
      <w:r w:rsidRPr="00F855D9">
        <w:rPr>
          <w:rFonts w:ascii="Times New Roman" w:eastAsia="PMingLiU" w:hAnsi="Times New Roman" w:cs="Times New Roman"/>
          <w:bCs/>
          <w:color w:val="000000"/>
          <w:kern w:val="2"/>
          <w:sz w:val="24"/>
          <w:szCs w:val="24"/>
          <w:lang w:eastAsia="zh-TW"/>
        </w:rPr>
        <w:t xml:space="preserve"> (ACIA) pada dasarnya merupakan peleburan ASEAN </w:t>
      </w:r>
      <w:r w:rsidRPr="00F855D9">
        <w:rPr>
          <w:rFonts w:ascii="Times New Roman" w:eastAsia="PMingLiU" w:hAnsi="Times New Roman" w:cs="Times New Roman"/>
          <w:bCs/>
          <w:i/>
          <w:color w:val="000000"/>
          <w:kern w:val="2"/>
          <w:sz w:val="24"/>
          <w:szCs w:val="24"/>
          <w:lang w:eastAsia="zh-TW"/>
        </w:rPr>
        <w:t>Investment Agreement</w:t>
      </w:r>
      <w:r w:rsidRPr="00F855D9">
        <w:rPr>
          <w:rFonts w:ascii="Times New Roman" w:eastAsia="PMingLiU" w:hAnsi="Times New Roman" w:cs="Times New Roman"/>
          <w:bCs/>
          <w:color w:val="000000"/>
          <w:kern w:val="2"/>
          <w:sz w:val="24"/>
          <w:szCs w:val="24"/>
          <w:lang w:eastAsia="zh-TW"/>
        </w:rPr>
        <w:t xml:space="preserve"> (AIA) dan ASEAN </w:t>
      </w:r>
      <w:r w:rsidRPr="00F855D9">
        <w:rPr>
          <w:rFonts w:ascii="Times New Roman" w:eastAsia="PMingLiU" w:hAnsi="Times New Roman" w:cs="Times New Roman"/>
          <w:bCs/>
          <w:i/>
          <w:color w:val="000000"/>
          <w:kern w:val="2"/>
          <w:sz w:val="24"/>
          <w:szCs w:val="24"/>
          <w:lang w:eastAsia="zh-TW"/>
        </w:rPr>
        <w:t>Investment Guarantee Agreement</w:t>
      </w:r>
      <w:r w:rsidRPr="00F855D9">
        <w:rPr>
          <w:rFonts w:ascii="Times New Roman" w:eastAsia="PMingLiU" w:hAnsi="Times New Roman" w:cs="Times New Roman"/>
          <w:bCs/>
          <w:color w:val="000000"/>
          <w:kern w:val="2"/>
          <w:sz w:val="24"/>
          <w:szCs w:val="24"/>
          <w:lang w:eastAsia="zh-TW"/>
        </w:rPr>
        <w:t xml:space="preserve"> (IGA) sehingga ASEAN memiliki persetujuan bidang investasi yang lebih komprehensif dan </w:t>
      </w:r>
      <w:r w:rsidRPr="00F855D9">
        <w:rPr>
          <w:rFonts w:ascii="Times New Roman" w:eastAsia="PMingLiU" w:hAnsi="Times New Roman" w:cs="Times New Roman"/>
          <w:bCs/>
          <w:i/>
          <w:color w:val="000000"/>
          <w:kern w:val="2"/>
          <w:sz w:val="24"/>
          <w:szCs w:val="24"/>
          <w:lang w:eastAsia="zh-TW"/>
        </w:rPr>
        <w:t>forward looking</w:t>
      </w:r>
      <w:r w:rsidRPr="00F855D9">
        <w:rPr>
          <w:rFonts w:ascii="Times New Roman" w:eastAsia="PMingLiU" w:hAnsi="Times New Roman" w:cs="Times New Roman"/>
          <w:bCs/>
          <w:color w:val="000000"/>
          <w:kern w:val="2"/>
          <w:sz w:val="24"/>
          <w:szCs w:val="24"/>
          <w:lang w:eastAsia="zh-TW"/>
        </w:rPr>
        <w:t xml:space="preserve">, dengan 4 (empat) pilar pembaharuan sebagaimana tertuang dalam </w:t>
      </w:r>
      <w:r w:rsidRPr="00F855D9">
        <w:rPr>
          <w:rFonts w:ascii="Times New Roman" w:eastAsia="PMingLiU" w:hAnsi="Times New Roman" w:cs="Times New Roman"/>
          <w:bCs/>
          <w:i/>
          <w:color w:val="000000"/>
          <w:kern w:val="2"/>
          <w:sz w:val="24"/>
          <w:szCs w:val="24"/>
          <w:lang w:eastAsia="zh-TW"/>
        </w:rPr>
        <w:t>AEC Blueprint,</w:t>
      </w:r>
      <w:r w:rsidRPr="00F855D9">
        <w:rPr>
          <w:rFonts w:ascii="Times New Roman" w:eastAsia="PMingLiU" w:hAnsi="Times New Roman" w:cs="Times New Roman"/>
          <w:bCs/>
          <w:color w:val="000000"/>
          <w:kern w:val="2"/>
          <w:sz w:val="24"/>
          <w:szCs w:val="24"/>
          <w:lang w:eastAsia="zh-TW"/>
        </w:rPr>
        <w:t xml:space="preserve"> yaitu : </w:t>
      </w:r>
      <w:r w:rsidRPr="00F855D9">
        <w:rPr>
          <w:rFonts w:ascii="Times New Roman" w:eastAsia="PMingLiU" w:hAnsi="Times New Roman" w:cs="Times New Roman"/>
          <w:bCs/>
          <w:color w:val="000000"/>
          <w:kern w:val="2"/>
          <w:sz w:val="24"/>
          <w:szCs w:val="24"/>
          <w:vertAlign w:val="superscript"/>
          <w:lang w:eastAsia="zh-TW"/>
        </w:rPr>
        <w:footnoteReference w:id="98"/>
      </w:r>
    </w:p>
    <w:p w:rsidR="00F855D9" w:rsidRPr="00F855D9" w:rsidRDefault="00F855D9" w:rsidP="003D7355">
      <w:pPr>
        <w:widowControl w:val="0"/>
        <w:numPr>
          <w:ilvl w:val="1"/>
          <w:numId w:val="41"/>
        </w:numPr>
        <w:spacing w:after="0" w:line="240" w:lineRule="auto"/>
        <w:ind w:left="993"/>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Perlindungan investasi, bertujuan untuk menyediakan perlindungan kepada semua investor dan investasi yang dicakup dalam perjanjian tersebut. Tindakan yang dilakukan antara lain untuk memperkuat:</w:t>
      </w:r>
    </w:p>
    <w:p w:rsidR="00F855D9" w:rsidRPr="00F855D9" w:rsidRDefault="00F855D9" w:rsidP="003D7355">
      <w:pPr>
        <w:widowControl w:val="0"/>
        <w:numPr>
          <w:ilvl w:val="2"/>
          <w:numId w:val="41"/>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Aturan mekanisme penyelesaian sengketa investor-state;</w:t>
      </w:r>
    </w:p>
    <w:p w:rsidR="00F855D9" w:rsidRPr="00F855D9" w:rsidRDefault="00F855D9" w:rsidP="003D7355">
      <w:pPr>
        <w:widowControl w:val="0"/>
        <w:numPr>
          <w:ilvl w:val="2"/>
          <w:numId w:val="41"/>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Aturan transfer dan repatriasi modal, keuntungan, dividends dan lain-lain</w:t>
      </w:r>
    </w:p>
    <w:p w:rsidR="00F855D9" w:rsidRPr="00F855D9" w:rsidRDefault="00F855D9" w:rsidP="003D7355">
      <w:pPr>
        <w:widowControl w:val="0"/>
        <w:numPr>
          <w:ilvl w:val="2"/>
          <w:numId w:val="41"/>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Cakupan ekspropriasi dan kompensasi yang transparan;</w:t>
      </w:r>
    </w:p>
    <w:p w:rsidR="00F855D9" w:rsidRPr="00F855D9" w:rsidRDefault="00F855D9" w:rsidP="003D7355">
      <w:pPr>
        <w:widowControl w:val="0"/>
        <w:numPr>
          <w:ilvl w:val="2"/>
          <w:numId w:val="41"/>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Perlindungan dan keamanan penuh; dan</w:t>
      </w:r>
    </w:p>
    <w:p w:rsidR="00F855D9" w:rsidRPr="00F855D9" w:rsidRDefault="00F855D9" w:rsidP="003D7355">
      <w:pPr>
        <w:widowControl w:val="0"/>
        <w:numPr>
          <w:ilvl w:val="2"/>
          <w:numId w:val="41"/>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Perlakuan kompensasi atas kerugian akibat sengketa.</w:t>
      </w:r>
    </w:p>
    <w:p w:rsidR="00F855D9" w:rsidRPr="00915C1B" w:rsidRDefault="00F855D9" w:rsidP="003D7355">
      <w:pPr>
        <w:pStyle w:val="ListParagraph"/>
        <w:widowControl w:val="0"/>
        <w:numPr>
          <w:ilvl w:val="1"/>
          <w:numId w:val="41"/>
        </w:numPr>
        <w:spacing w:after="0" w:line="240" w:lineRule="auto"/>
        <w:ind w:left="993"/>
        <w:jc w:val="both"/>
        <w:rPr>
          <w:rFonts w:ascii="Times New Roman" w:eastAsia="PMingLiU" w:hAnsi="Times New Roman" w:cs="Times New Roman"/>
          <w:bCs/>
          <w:color w:val="000000"/>
          <w:kern w:val="2"/>
          <w:sz w:val="24"/>
          <w:szCs w:val="24"/>
          <w:lang w:eastAsia="zh-TW"/>
        </w:rPr>
      </w:pPr>
      <w:r w:rsidRPr="00915C1B">
        <w:rPr>
          <w:rFonts w:ascii="Times New Roman" w:eastAsia="PMingLiU" w:hAnsi="Times New Roman" w:cs="Times New Roman"/>
          <w:bCs/>
          <w:color w:val="000000"/>
          <w:kern w:val="2"/>
          <w:sz w:val="24"/>
          <w:szCs w:val="24"/>
          <w:lang w:eastAsia="zh-TW"/>
        </w:rPr>
        <w:t>Fasilitasi dan kerjasama, bertujuan untuk menyediakan peraturan, ketentuan, kebijakan,dan prosedur investasi yang transparan, konsisten dan dapat diprediksi. Tindakan yang dilakukan antara lain:</w:t>
      </w:r>
    </w:p>
    <w:p w:rsidR="00F855D9" w:rsidRPr="00F855D9" w:rsidRDefault="00F855D9" w:rsidP="003D7355">
      <w:pPr>
        <w:widowControl w:val="0"/>
        <w:numPr>
          <w:ilvl w:val="0"/>
          <w:numId w:val="81"/>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Mengharmonisasikan kebijakan investasi;</w:t>
      </w:r>
    </w:p>
    <w:p w:rsidR="00F855D9" w:rsidRPr="00F855D9" w:rsidRDefault="00F855D9" w:rsidP="003D7355">
      <w:pPr>
        <w:widowControl w:val="0"/>
        <w:numPr>
          <w:ilvl w:val="0"/>
          <w:numId w:val="81"/>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Mengefektifkan dan menyederhanakan prosedur aplikasi dan persetujuan investasi;</w:t>
      </w:r>
    </w:p>
    <w:p w:rsidR="00F855D9" w:rsidRPr="00F855D9" w:rsidRDefault="00F855D9" w:rsidP="003D7355">
      <w:pPr>
        <w:widowControl w:val="0"/>
        <w:numPr>
          <w:ilvl w:val="0"/>
          <w:numId w:val="81"/>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Mempromosikan disseminasi informasi penanaman modal: aturan, peraturan, kebijakan dan prosedur, termasuk melalui </w:t>
      </w:r>
      <w:r w:rsidRPr="00F855D9">
        <w:rPr>
          <w:rFonts w:ascii="Times New Roman" w:eastAsia="PMingLiU" w:hAnsi="Times New Roman" w:cs="Times New Roman"/>
          <w:bCs/>
          <w:i/>
          <w:color w:val="000000"/>
          <w:kern w:val="2"/>
          <w:sz w:val="24"/>
          <w:szCs w:val="24"/>
          <w:lang w:eastAsia="zh-TW"/>
        </w:rPr>
        <w:t>one-stop investment centre</w:t>
      </w:r>
      <w:r w:rsidRPr="00F855D9">
        <w:rPr>
          <w:rFonts w:ascii="Times New Roman" w:eastAsia="PMingLiU" w:hAnsi="Times New Roman" w:cs="Times New Roman"/>
          <w:bCs/>
          <w:color w:val="000000"/>
          <w:kern w:val="2"/>
          <w:sz w:val="24"/>
          <w:szCs w:val="24"/>
          <w:lang w:eastAsia="zh-TW"/>
        </w:rPr>
        <w:t xml:space="preserve"> atau </w:t>
      </w:r>
      <w:r w:rsidRPr="00F855D9">
        <w:rPr>
          <w:rFonts w:ascii="Times New Roman" w:eastAsia="PMingLiU" w:hAnsi="Times New Roman" w:cs="Times New Roman"/>
          <w:bCs/>
          <w:i/>
          <w:color w:val="000000"/>
          <w:kern w:val="2"/>
          <w:sz w:val="24"/>
          <w:szCs w:val="24"/>
          <w:lang w:eastAsia="zh-TW"/>
        </w:rPr>
        <w:t>investment promotion board</w:t>
      </w:r>
      <w:r w:rsidRPr="00F855D9">
        <w:rPr>
          <w:rFonts w:ascii="Times New Roman" w:eastAsia="PMingLiU" w:hAnsi="Times New Roman" w:cs="Times New Roman"/>
          <w:bCs/>
          <w:color w:val="000000"/>
          <w:kern w:val="2"/>
          <w:sz w:val="24"/>
          <w:szCs w:val="24"/>
          <w:lang w:eastAsia="zh-TW"/>
        </w:rPr>
        <w:t>;</w:t>
      </w:r>
    </w:p>
    <w:p w:rsidR="00F855D9" w:rsidRPr="00F855D9" w:rsidRDefault="00F855D9" w:rsidP="003D7355">
      <w:pPr>
        <w:widowControl w:val="0"/>
        <w:numPr>
          <w:ilvl w:val="0"/>
          <w:numId w:val="81"/>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Memperkuat data-base dalam semua bentuk investasi yang mencakup barang dan jasa untuk fasiltasi formulasi kebijakan;</w:t>
      </w:r>
    </w:p>
    <w:p w:rsidR="00F855D9" w:rsidRPr="00F855D9" w:rsidRDefault="00F855D9" w:rsidP="003D7355">
      <w:pPr>
        <w:widowControl w:val="0"/>
        <w:numPr>
          <w:ilvl w:val="0"/>
          <w:numId w:val="81"/>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Melakukan koordinasi dengan kementerian dan instansi terkait;</w:t>
      </w:r>
    </w:p>
    <w:p w:rsidR="00F855D9" w:rsidRPr="00F855D9" w:rsidRDefault="00F855D9" w:rsidP="003D7355">
      <w:pPr>
        <w:widowControl w:val="0"/>
        <w:numPr>
          <w:ilvl w:val="0"/>
          <w:numId w:val="81"/>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Melakukan konsultasi dengan sektor swasta ASEAN untuk memfasilitasi investasi; dan</w:t>
      </w:r>
    </w:p>
    <w:p w:rsidR="00F855D9" w:rsidRPr="00F855D9" w:rsidRDefault="00F855D9" w:rsidP="003D7355">
      <w:pPr>
        <w:widowControl w:val="0"/>
        <w:numPr>
          <w:ilvl w:val="0"/>
          <w:numId w:val="81"/>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Mengidentifikasi dan menyelesaikan kerjasama implementasi integrasi ekonomi </w:t>
      </w:r>
      <w:r w:rsidRPr="00F855D9">
        <w:rPr>
          <w:rFonts w:ascii="Times New Roman" w:eastAsia="PMingLiU" w:hAnsi="Times New Roman" w:cs="Times New Roman"/>
          <w:bCs/>
          <w:i/>
          <w:color w:val="000000"/>
          <w:kern w:val="2"/>
          <w:sz w:val="24"/>
          <w:szCs w:val="24"/>
          <w:lang w:eastAsia="zh-TW"/>
        </w:rPr>
        <w:t>ASEAN-wide</w:t>
      </w:r>
      <w:r w:rsidRPr="00F855D9">
        <w:rPr>
          <w:rFonts w:ascii="Times New Roman" w:eastAsia="PMingLiU" w:hAnsi="Times New Roman" w:cs="Times New Roman"/>
          <w:bCs/>
          <w:color w:val="000000"/>
          <w:kern w:val="2"/>
          <w:sz w:val="24"/>
          <w:szCs w:val="24"/>
          <w:lang w:eastAsia="zh-TW"/>
        </w:rPr>
        <w:t xml:space="preserve"> maupun </w:t>
      </w:r>
      <w:r w:rsidRPr="00F855D9">
        <w:rPr>
          <w:rFonts w:ascii="Times New Roman" w:eastAsia="PMingLiU" w:hAnsi="Times New Roman" w:cs="Times New Roman"/>
          <w:bCs/>
          <w:color w:val="000000"/>
          <w:kern w:val="2"/>
          <w:sz w:val="24"/>
          <w:szCs w:val="24"/>
          <w:lang w:eastAsia="zh-TW"/>
        </w:rPr>
        <w:lastRenderedPageBreak/>
        <w:t>bilateral.</w:t>
      </w:r>
    </w:p>
    <w:p w:rsidR="00F855D9" w:rsidRPr="00915C1B" w:rsidRDefault="00F855D9" w:rsidP="003D7355">
      <w:pPr>
        <w:pStyle w:val="ListParagraph"/>
        <w:widowControl w:val="0"/>
        <w:numPr>
          <w:ilvl w:val="0"/>
          <w:numId w:val="41"/>
        </w:numPr>
        <w:spacing w:after="0" w:line="240" w:lineRule="auto"/>
        <w:ind w:left="993"/>
        <w:jc w:val="both"/>
        <w:rPr>
          <w:rFonts w:ascii="Times New Roman" w:eastAsia="PMingLiU" w:hAnsi="Times New Roman" w:cs="Times New Roman"/>
          <w:bCs/>
          <w:color w:val="000000"/>
          <w:kern w:val="2"/>
          <w:sz w:val="24"/>
          <w:szCs w:val="24"/>
          <w:lang w:eastAsia="zh-TW"/>
        </w:rPr>
      </w:pPr>
      <w:r w:rsidRPr="00915C1B">
        <w:rPr>
          <w:rFonts w:ascii="Times New Roman" w:eastAsia="PMingLiU" w:hAnsi="Times New Roman" w:cs="Times New Roman"/>
          <w:bCs/>
          <w:color w:val="000000"/>
          <w:kern w:val="2"/>
          <w:sz w:val="24"/>
          <w:szCs w:val="24"/>
          <w:lang w:eastAsia="zh-TW"/>
        </w:rPr>
        <w:t xml:space="preserve">Promosi dan </w:t>
      </w:r>
      <w:r w:rsidRPr="00915C1B">
        <w:rPr>
          <w:rFonts w:ascii="Times New Roman" w:eastAsia="PMingLiU" w:hAnsi="Times New Roman" w:cs="Times New Roman"/>
          <w:bCs/>
          <w:i/>
          <w:color w:val="000000"/>
          <w:kern w:val="2"/>
          <w:sz w:val="24"/>
          <w:szCs w:val="24"/>
          <w:lang w:eastAsia="zh-TW"/>
        </w:rPr>
        <w:t>awareness</w:t>
      </w:r>
      <w:r w:rsidRPr="00915C1B">
        <w:rPr>
          <w:rFonts w:ascii="Times New Roman" w:eastAsia="PMingLiU" w:hAnsi="Times New Roman" w:cs="Times New Roman"/>
          <w:bCs/>
          <w:color w:val="000000"/>
          <w:kern w:val="2"/>
          <w:sz w:val="24"/>
          <w:szCs w:val="24"/>
          <w:lang w:eastAsia="zh-TW"/>
        </w:rPr>
        <w:t>, bertujuan untuk mempromosikan ASEAN sebagai kawasan investasi terpadu dan jejaring produksi. Tindakan yang dilakukan antara lain :</w:t>
      </w:r>
    </w:p>
    <w:p w:rsidR="00F855D9" w:rsidRPr="00F855D9" w:rsidRDefault="00F855D9" w:rsidP="003D7355">
      <w:pPr>
        <w:widowControl w:val="0"/>
        <w:numPr>
          <w:ilvl w:val="1"/>
          <w:numId w:val="79"/>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Menciptakan iklim yang perlu untuk mempromosikan semua bentuk investasi dan wilayah-wilayah pertumbuhan baru di ASEAN;</w:t>
      </w:r>
    </w:p>
    <w:p w:rsidR="00F855D9" w:rsidRPr="00F855D9" w:rsidRDefault="00F855D9" w:rsidP="003D7355">
      <w:pPr>
        <w:widowControl w:val="0"/>
        <w:numPr>
          <w:ilvl w:val="1"/>
          <w:numId w:val="79"/>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Mempromosikan investasi intra-ASEAN, khususnya investasi dari ASEAN-6 ke CLMV;</w:t>
      </w:r>
    </w:p>
    <w:p w:rsidR="00F855D9" w:rsidRPr="00F855D9" w:rsidRDefault="00F855D9" w:rsidP="003D7355">
      <w:pPr>
        <w:widowControl w:val="0"/>
        <w:numPr>
          <w:ilvl w:val="1"/>
          <w:numId w:val="79"/>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Mendorong dan mempromosikan pertumbuhan dan pembangunan UKM dan </w:t>
      </w:r>
      <w:r w:rsidRPr="00F855D9">
        <w:rPr>
          <w:rFonts w:ascii="Times New Roman" w:eastAsia="PMingLiU" w:hAnsi="Times New Roman" w:cs="Times New Roman"/>
          <w:bCs/>
          <w:i/>
          <w:color w:val="000000"/>
          <w:kern w:val="2"/>
          <w:sz w:val="24"/>
          <w:szCs w:val="24"/>
          <w:lang w:eastAsia="zh-TW"/>
        </w:rPr>
        <w:t>Multinasional Enterprises</w:t>
      </w:r>
      <w:r w:rsidRPr="00F855D9">
        <w:rPr>
          <w:rFonts w:ascii="Times New Roman" w:eastAsia="PMingLiU" w:hAnsi="Times New Roman" w:cs="Times New Roman"/>
          <w:bCs/>
          <w:color w:val="000000"/>
          <w:kern w:val="2"/>
          <w:sz w:val="24"/>
          <w:szCs w:val="24"/>
          <w:lang w:eastAsia="zh-TW"/>
        </w:rPr>
        <w:t xml:space="preserve"> (MNEs);</w:t>
      </w:r>
    </w:p>
    <w:p w:rsidR="00F855D9" w:rsidRPr="00F855D9" w:rsidRDefault="00F855D9" w:rsidP="003D7355">
      <w:pPr>
        <w:widowControl w:val="0"/>
        <w:numPr>
          <w:ilvl w:val="1"/>
          <w:numId w:val="79"/>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Mempromosikan misi-misi joint investment yang fokus pada kluster regional dan jaringan kerja produksi;</w:t>
      </w:r>
    </w:p>
    <w:p w:rsidR="00F855D9" w:rsidRPr="00F855D9" w:rsidRDefault="00F855D9" w:rsidP="003D7355">
      <w:pPr>
        <w:widowControl w:val="0"/>
        <w:numPr>
          <w:ilvl w:val="1"/>
          <w:numId w:val="79"/>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Memperluas manfaat inisiatif kerjasama industri ASEAN disamping AICO </w:t>
      </w:r>
      <w:r w:rsidRPr="00F855D9">
        <w:rPr>
          <w:rFonts w:ascii="Times New Roman" w:eastAsia="PMingLiU" w:hAnsi="Times New Roman" w:cs="Times New Roman"/>
          <w:bCs/>
          <w:i/>
          <w:color w:val="000000"/>
          <w:kern w:val="2"/>
          <w:sz w:val="24"/>
          <w:szCs w:val="24"/>
          <w:lang w:eastAsia="zh-TW"/>
        </w:rPr>
        <w:t>Scheme</w:t>
      </w:r>
      <w:r w:rsidRPr="00F855D9">
        <w:rPr>
          <w:rFonts w:ascii="Times New Roman" w:eastAsia="PMingLiU" w:hAnsi="Times New Roman" w:cs="Times New Roman"/>
          <w:bCs/>
          <w:color w:val="000000"/>
          <w:kern w:val="2"/>
          <w:sz w:val="24"/>
          <w:szCs w:val="24"/>
          <w:lang w:eastAsia="zh-TW"/>
        </w:rPr>
        <w:t xml:space="preserve"> untuk mendorong pengembangan kluster regional dan jaringan kerja produksi; dan</w:t>
      </w:r>
    </w:p>
    <w:p w:rsidR="00F855D9" w:rsidRPr="00F855D9" w:rsidRDefault="00F855D9" w:rsidP="003D7355">
      <w:pPr>
        <w:widowControl w:val="0"/>
        <w:numPr>
          <w:ilvl w:val="1"/>
          <w:numId w:val="79"/>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Membangun jaringan efektif perjanjian bilateral tentang pencegahan pajak ganda diantara negara-negara ASEAN.</w:t>
      </w:r>
    </w:p>
    <w:p w:rsidR="00F855D9" w:rsidRPr="00915C1B" w:rsidRDefault="00F855D9" w:rsidP="003D7355">
      <w:pPr>
        <w:pStyle w:val="ListParagraph"/>
        <w:widowControl w:val="0"/>
        <w:numPr>
          <w:ilvl w:val="0"/>
          <w:numId w:val="41"/>
        </w:numPr>
        <w:spacing w:after="0" w:line="240" w:lineRule="auto"/>
        <w:ind w:left="993"/>
        <w:jc w:val="both"/>
        <w:rPr>
          <w:rFonts w:ascii="Times New Roman" w:eastAsia="PMingLiU" w:hAnsi="Times New Roman" w:cs="Times New Roman"/>
          <w:bCs/>
          <w:color w:val="000000"/>
          <w:kern w:val="2"/>
          <w:sz w:val="24"/>
          <w:szCs w:val="24"/>
          <w:lang w:eastAsia="zh-TW"/>
        </w:rPr>
      </w:pPr>
      <w:r w:rsidRPr="00915C1B">
        <w:rPr>
          <w:rFonts w:ascii="Times New Roman" w:eastAsia="PMingLiU" w:hAnsi="Times New Roman" w:cs="Times New Roman"/>
          <w:bCs/>
          <w:color w:val="000000"/>
          <w:kern w:val="2"/>
          <w:sz w:val="24"/>
          <w:szCs w:val="24"/>
          <w:lang w:eastAsia="zh-TW"/>
        </w:rPr>
        <w:t>Liberalisasi, bertujuan untuk mendorong liberalisasi investasi secara progessif. Tindakan yang dilakukan antara lain :</w:t>
      </w:r>
    </w:p>
    <w:p w:rsidR="00F855D9" w:rsidRPr="00F855D9" w:rsidRDefault="00F855D9" w:rsidP="003D7355">
      <w:pPr>
        <w:widowControl w:val="0"/>
        <w:numPr>
          <w:ilvl w:val="1"/>
          <w:numId w:val="78"/>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Menerapkan perlakuan non-diskriminasi, termasuk perlakuan nasional (</w:t>
      </w:r>
      <w:r w:rsidRPr="00F855D9">
        <w:rPr>
          <w:rFonts w:ascii="Times New Roman" w:eastAsia="PMingLiU" w:hAnsi="Times New Roman" w:cs="Times New Roman"/>
          <w:bCs/>
          <w:i/>
          <w:color w:val="000000"/>
          <w:kern w:val="2"/>
          <w:sz w:val="24"/>
          <w:szCs w:val="24"/>
          <w:lang w:eastAsia="zh-TW"/>
        </w:rPr>
        <w:t>national treatment</w:t>
      </w:r>
      <w:r w:rsidRPr="00F855D9">
        <w:rPr>
          <w:rFonts w:ascii="Times New Roman" w:eastAsia="PMingLiU" w:hAnsi="Times New Roman" w:cs="Times New Roman"/>
          <w:bCs/>
          <w:color w:val="000000"/>
          <w:kern w:val="2"/>
          <w:sz w:val="24"/>
          <w:szCs w:val="24"/>
          <w:lang w:eastAsia="zh-TW"/>
        </w:rPr>
        <w:t>) dan perlakuan MFN (</w:t>
      </w:r>
      <w:r w:rsidRPr="00F855D9">
        <w:rPr>
          <w:rFonts w:ascii="Times New Roman" w:eastAsia="PMingLiU" w:hAnsi="Times New Roman" w:cs="Times New Roman"/>
          <w:bCs/>
          <w:i/>
          <w:color w:val="000000"/>
          <w:kern w:val="2"/>
          <w:sz w:val="24"/>
          <w:szCs w:val="24"/>
          <w:lang w:eastAsia="zh-TW"/>
        </w:rPr>
        <w:t>most-favoured nation</w:t>
      </w:r>
      <w:r w:rsidRPr="00F855D9">
        <w:rPr>
          <w:rFonts w:ascii="Times New Roman" w:eastAsia="PMingLiU" w:hAnsi="Times New Roman" w:cs="Times New Roman"/>
          <w:bCs/>
          <w:color w:val="000000"/>
          <w:kern w:val="2"/>
          <w:sz w:val="24"/>
          <w:szCs w:val="24"/>
          <w:lang w:eastAsia="zh-TW"/>
        </w:rPr>
        <w:t>) kepada investor di ASEAN dengan pengecualian terbatas; meminimalkan apabila perlu menghapus pengecualian tersebut;</w:t>
      </w:r>
    </w:p>
    <w:p w:rsidR="00F855D9" w:rsidRPr="00F855D9" w:rsidRDefault="00F855D9" w:rsidP="003D7355">
      <w:pPr>
        <w:widowControl w:val="0"/>
        <w:numPr>
          <w:ilvl w:val="1"/>
          <w:numId w:val="78"/>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Mengurangi dan apabila memungkinkan menghapus peraturan masuk investasi untuk produk yang masuk dalam </w:t>
      </w:r>
      <w:r w:rsidRPr="00F855D9">
        <w:rPr>
          <w:rFonts w:ascii="Times New Roman" w:eastAsia="PMingLiU" w:hAnsi="Times New Roman" w:cs="Times New Roman"/>
          <w:bCs/>
          <w:i/>
          <w:color w:val="000000"/>
          <w:kern w:val="2"/>
          <w:sz w:val="24"/>
          <w:szCs w:val="24"/>
          <w:lang w:eastAsia="zh-TW"/>
        </w:rPr>
        <w:t>Priority Integration Sectors</w:t>
      </w:r>
      <w:r w:rsidRPr="00F855D9">
        <w:rPr>
          <w:rFonts w:ascii="Times New Roman" w:eastAsia="PMingLiU" w:hAnsi="Times New Roman" w:cs="Times New Roman"/>
          <w:bCs/>
          <w:color w:val="000000"/>
          <w:kern w:val="2"/>
          <w:sz w:val="24"/>
          <w:szCs w:val="24"/>
          <w:lang w:eastAsia="zh-TW"/>
        </w:rPr>
        <w:t xml:space="preserve"> (PIS); dan</w:t>
      </w:r>
    </w:p>
    <w:p w:rsidR="00F855D9" w:rsidRPr="00F855D9" w:rsidRDefault="00F855D9" w:rsidP="003D7355">
      <w:pPr>
        <w:widowControl w:val="0"/>
        <w:numPr>
          <w:ilvl w:val="1"/>
          <w:numId w:val="78"/>
        </w:numPr>
        <w:spacing w:after="0" w:line="240" w:lineRule="auto"/>
        <w:ind w:left="2268"/>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Mengurangi dan apabila memungkinkan, menghapus peraturan investasi yang bersifat menghambat dan hambatan lainnya</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Perusahaan kontruksi asing non ASEAN terus aktif berinvestasi kepada negara – negara berkembang di ASEAN. Negara ASEAN khususnya juga mengejar ekspansi basis pelanggan pasar untuk memperoleh akses terhadap tanah dan peluang investasi yang besar. Perusahaan dari negara nggota ASEAN yang berbeda membuat berbagai investasi intraregional adalah :</w:t>
      </w:r>
      <w:r w:rsidRPr="00F855D9">
        <w:rPr>
          <w:rFonts w:ascii="Times New Roman" w:eastAsia="PMingLiU" w:hAnsi="Times New Roman" w:cs="Times New Roman"/>
          <w:bCs/>
          <w:color w:val="000000"/>
          <w:kern w:val="2"/>
          <w:sz w:val="24"/>
          <w:szCs w:val="24"/>
          <w:vertAlign w:val="superscript"/>
          <w:lang w:eastAsia="zh-TW"/>
        </w:rPr>
        <w:footnoteReference w:id="99"/>
      </w:r>
    </w:p>
    <w:p w:rsidR="00F855D9" w:rsidRPr="00F855D9" w:rsidRDefault="00F855D9" w:rsidP="003D7355">
      <w:pPr>
        <w:widowControl w:val="0"/>
        <w:numPr>
          <w:ilvl w:val="0"/>
          <w:numId w:val="40"/>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 xml:space="preserve">Perusahaan Indonesia </w:t>
      </w:r>
    </w:p>
    <w:p w:rsidR="00F855D9" w:rsidRPr="00F855D9" w:rsidRDefault="00F855D9" w:rsidP="00915C1B">
      <w:pPr>
        <w:widowControl w:val="0"/>
        <w:spacing w:after="0" w:line="24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Lippo Group berinvestasi dengan mitra Myanmar, sebanyak $420.000.00 pada sebuah perusahaan penyedia alat kesehatan di Myanmar. Pada 2015, perusahaan Indonesia lainnya mengumumkan rencana investasi di negara anggota ASEAN lain. Aneka Tambang mengumumkan untuk berinvestasi di pertambangan emas dan feronikel di Myanmar dan Filipina, PT Timah mengumumkan rencana investasi untuk memperluas di Myanmar, Sritex membangun pabrik di Kamboja untuk memproduksi pakaian dan Nippon Indosari melakukan investasi dalam produksi pangan di wilayah tersebut. Pertamina dan Bank Negara Indonesia telah menyatakan minat yang kuat dan mengidentifikasi peluang investasi di Laos, Vietnam, Mnyanmar dan Kamboja CLMV. Selain itu, Gunung Sewu Kencana dan Mahanusa Capital mengakuisisi saham di Navigat Group (Singapura), dan Sinar Mas Group telah berkembang di wilayah ini (misalnya di Malaysia) melalui M &amp; As.</w:t>
      </w:r>
    </w:p>
    <w:p w:rsidR="00F855D9" w:rsidRPr="00F855D9" w:rsidRDefault="00F855D9" w:rsidP="003D7355">
      <w:pPr>
        <w:widowControl w:val="0"/>
        <w:numPr>
          <w:ilvl w:val="0"/>
          <w:numId w:val="40"/>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Perusahaan Malaysia</w:t>
      </w:r>
    </w:p>
    <w:p w:rsidR="00F855D9" w:rsidRPr="00F855D9" w:rsidRDefault="00F855D9" w:rsidP="00915C1B">
      <w:pPr>
        <w:widowControl w:val="0"/>
        <w:spacing w:after="0" w:line="24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Pada 2015, perusahaan Malaysia melakukan investasi di sejumlah negara anggota ASEAN. Daya Bahan, operator minyak dan gas layanan hulu dan hilir, memperluas operasinya ke Vietnam; Sengenics membuka fasilitas $11.000.000, bioteknologi R &amp; D di Brunei Darussalam dan Mega Pertama mendapat kontrak proyek MW PLTA $500.000.000 260 di Republik Demokratik Rakyat Laos. Perusahaan Armadeus mengakuisisi saham 46  di Bukaka Teknik Utama (Indonesia), yang terlibat dalam pembangunan infrastruktur dan produksi rangka baja dan peralatan. Setelah didirikan Asubsidiary di Kamboja pada tahun 2014, pada tahun 2015 Tan Chong Motors terdaftar anak perusahaan baru di Thailand. Pada 2015, Insas mengakuisisi 59% saham di Roset Limusin Services (Singapore), CIMB Group Holdings mengakuisisi Finansa Manajemen (Thailand) dan Bintai Kinden Corp mengakuisisi 45 persen saham di E + HPS (Singapura). Laut Quarry dan Konstruksi, YTL, OCK dan Teknik Janakuasa terlibat dalam proyek-proyek infrastruktur di wilayah tersebut. Pada 2015, YTL mendirikan anak perusahaan (YTL Semen Myanmar). Pada 2016, IHH mengadakan upacara peletakan batu untuk membangun sebuah rumah sakit dengan nilai $ 70 juta dengan konsorsium mitra di Yangon (Myanmar), dan Axiata (melalui anak perusahaan) mulai membangun menara telekomunikasi di negara Myanmar.</w:t>
      </w:r>
    </w:p>
    <w:p w:rsidR="00F855D9" w:rsidRPr="00F855D9" w:rsidRDefault="00F855D9" w:rsidP="003D7355">
      <w:pPr>
        <w:widowControl w:val="0"/>
        <w:numPr>
          <w:ilvl w:val="0"/>
          <w:numId w:val="40"/>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Perusahaan Filipina</w:t>
      </w:r>
    </w:p>
    <w:p w:rsidR="00F855D9" w:rsidRPr="00F855D9" w:rsidRDefault="00F855D9" w:rsidP="00915C1B">
      <w:pPr>
        <w:widowControl w:val="0"/>
        <w:spacing w:after="0" w:line="24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Ayala Corporation sebuah perusahaan konstruksi asal Filipina yang sudah beroperasi di Myanmar, mengumumkan untuk menambah investasinya di Myanmar.  Metro Pacific Investments Corporation, melalui anak perusahaannya di Vietnam, mengakuisisi saham 41 % di CII Jembatan dan Jalan Investasi JSC (Vietnam). Aboitiz Daya memenangkan kontrak dengan mitra konsorsium lainnya untuk membangun pembangkit listrik tenaga panas bumi Jawa Timur di Indonesia.</w:t>
      </w:r>
    </w:p>
    <w:p w:rsidR="00F855D9" w:rsidRPr="00F855D9" w:rsidRDefault="00F855D9" w:rsidP="003D7355">
      <w:pPr>
        <w:widowControl w:val="0"/>
        <w:numPr>
          <w:ilvl w:val="0"/>
          <w:numId w:val="40"/>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Perusahaan Singapura</w:t>
      </w:r>
    </w:p>
    <w:p w:rsidR="00F855D9" w:rsidRPr="00F855D9" w:rsidRDefault="00F855D9" w:rsidP="00915C1B">
      <w:pPr>
        <w:widowControl w:val="0"/>
        <w:spacing w:after="0" w:line="24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Surbana International memperluas kegiatannya di Myanmar pada 2015 dengan berbagai proyek kontrak manajemen melibatkan layanan desain dan manajemen proyek terminal bus terpadu pertama Yangon, </w:t>
      </w:r>
      <w:r w:rsidRPr="00F855D9">
        <w:rPr>
          <w:rFonts w:ascii="Times New Roman" w:eastAsia="PMingLiU" w:hAnsi="Times New Roman" w:cs="Times New Roman"/>
          <w:bCs/>
          <w:color w:val="000000"/>
          <w:kern w:val="2"/>
          <w:sz w:val="24"/>
          <w:szCs w:val="24"/>
          <w:lang w:eastAsia="zh-TW"/>
        </w:rPr>
        <w:lastRenderedPageBreak/>
        <w:t>pengembangan i-Land Park di Bogo dan pengembangan sebuah apartemen 22 lantai di Yangon. Soilbuild dan Tiong Aik memperluas operasi bisnis mereka di industri properti dan konstruksi untuk negara-negara anggota ASEAN lain. Oxley Holdings, pengembang properti, mendirikan anak perusahaan di Myanmar pada tahun 2015. Perusahaan ini mengumumkan rencana untuk membangun 20 lantai pembangunan komersial dan perumahan di Yangon, dan pembangunan perumahan dan komersial di Batam (Indonesia). Yongnam Holdings dan Changi International Airport menandatangani perjanjian kerangka kerja pada tahun 2016 untuk membangun $ 1,5 miliar Bandara Internasional Hanthawaddy di Myanmar. Dengan berbagai air dan pembangkit listrik proyek di negara-negara anggota ASEAN yang berbeda, Sembcorp berinvestasi dalam dan mengembangkan pembangkit listrik tenaga $ 300.000.000 225 MW berbahan bakar gas di Myingyan (Myanmar), akan selesai pada 2018. Ini telah membentuk Sembcorp Myingyan Daya di Myanmar ke melaksanakan proyek. Perusahaan ini juga membangun pelabuhan terpadu dan kawasan industri di Indonesia.</w:t>
      </w:r>
    </w:p>
    <w:p w:rsidR="00F855D9" w:rsidRPr="00F855D9" w:rsidRDefault="00F855D9" w:rsidP="003D7355">
      <w:pPr>
        <w:widowControl w:val="0"/>
        <w:numPr>
          <w:ilvl w:val="0"/>
          <w:numId w:val="40"/>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Perusahaan Thailand</w:t>
      </w:r>
    </w:p>
    <w:p w:rsidR="00F855D9" w:rsidRPr="00F855D9" w:rsidRDefault="00F855D9" w:rsidP="00915C1B">
      <w:pPr>
        <w:widowControl w:val="0"/>
        <w:spacing w:after="0" w:line="24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Perusahaan Thailand telah aktif dalam beberapa tahun terakhir dalam berinvestasi di luar negeri, khususnya di negara-negara CLMV (Kolombia, Laos, Myanmar, Vietnam), Indonesia dan Filipina. Mengingat aktifnya Thailand OFDI ke sejumlah negara anggota ASEAN, Dewan Investasi Thailand berencana untuk membuka cabang di Myanmar dan Indonesia pada tahun 2017 untuk mendukung investasi Thailand di negara-negara tersebut.  Perusahaan Dusit sedang membangun hotel baru di Yangon. Perusahaan yang sudah memiliki dua hotel di Manila, memperluas lebih lanjut di Filipina dengan sepertiga di Cebu, mulai beroperasi di 2019. Thonburi Hospital Group dan Rumah Sakit Bumrungrad sedang membangun rumah sakit di Myanmar melalui operasi </w:t>
      </w:r>
      <w:r w:rsidRPr="00F855D9">
        <w:rPr>
          <w:rFonts w:ascii="Times New Roman" w:eastAsia="PMingLiU" w:hAnsi="Times New Roman" w:cs="Times New Roman"/>
          <w:bCs/>
          <w:i/>
          <w:color w:val="000000"/>
          <w:kern w:val="2"/>
          <w:sz w:val="24"/>
          <w:szCs w:val="24"/>
          <w:lang w:eastAsia="zh-TW"/>
        </w:rPr>
        <w:t>Join Ventura</w:t>
      </w:r>
      <w:r w:rsidRPr="00F855D9">
        <w:rPr>
          <w:rFonts w:ascii="Times New Roman" w:eastAsia="PMingLiU" w:hAnsi="Times New Roman" w:cs="Times New Roman"/>
          <w:bCs/>
          <w:color w:val="000000"/>
          <w:kern w:val="2"/>
          <w:sz w:val="24"/>
          <w:szCs w:val="24"/>
          <w:lang w:eastAsia="zh-TW"/>
        </w:rPr>
        <w:t xml:space="preserve"> dengan mitra lokal. Bangkok Hospital Group juga berencana untuk memperluas ke industri perawatan kesehatan Myanmar. Ratchaburi Listrik menandatangani kontrak pada tahun 2015 dengan PTT (Thailand) untuk bersama-sama berinvestasi dalam terminal gas alam (LNG) senilai  $ 400 juta di Myanmar. Ratchaburi Listrik juga mengumumkan investasi dengan PT Energy untuk membangun pembangkit tenaga listrik senilai $1.300000000 di Kyaing Tong (Myanmar) dan dengan Global Daya (anak perusahaan lain) membangun pembangkit listrik di Vietnam. Lumpoondum menandatangani nota kesepahaman pada tahun 2015 untuk membangun pembangkit listrik 660 MW di Negara Bagian Shan, dan Toyo Thai memenangkan konsesi untuk membangun $ 2800000000 1.280 coalfired MW pabrik di Negara Bagian Mon (Myanmar). United Power menandatangani perjanjian jual beli listrik pada tahun 2016 untuk memasok listrik dari pembangkit listrik berbahan bakar gas 200 MW di SEZ Dawei (Myanmar) yang sedang dibangun. Pengembangan Italia-Thailand dan Rojana Industrial Park PCL sedang mengembangkan tahap pertama dari Dawei KEK. Perusahaan Mantan juga mengumumkan rencana untuk mengembangkan terminal LNG seniali  $ 500.000.000 di KEK. Banpu, dengan Ratchaburi Listrik, yang sedang membangun </w:t>
      </w:r>
      <w:r w:rsidRPr="00F855D9">
        <w:rPr>
          <w:rFonts w:ascii="Times New Roman" w:eastAsia="PMingLiU" w:hAnsi="Times New Roman" w:cs="Times New Roman"/>
          <w:bCs/>
          <w:color w:val="000000"/>
          <w:kern w:val="2"/>
          <w:sz w:val="24"/>
          <w:szCs w:val="24"/>
          <w:lang w:eastAsia="zh-TW"/>
        </w:rPr>
        <w:lastRenderedPageBreak/>
        <w:t>pembangkit listrik di Indonesia dan Republik Demokratik Rakyat Laos. Charoen Pokphand dan mitra konsorsiumnya memenangkan kontrak untuk membangun dan mengoperasikan Kyaukphyu SEZ di Myanmar. SCG Anak perusahaan Siam Cement Group (SCG), mengumumkan rencana pada tahun 2016 untuk lebih mengembangkan jaringan logistik regional di ASEAN. Siam Cement Group berencana untuk membangun dan memperluas jaringan transportasi di Indonesia, SCG terus memperluas operasi pabrik semen di ASEAN. SCG telah membangun pabrik senilai $ 356.000.000 di Indonesia dan pabrik lagi senilai  $ 400 juta sedang dibangun di Myanmar pada tahun 2016, dan pabrik di Republik Demokratik Rakyat Laos diharapkan mulai beroperasi pada tahun 2017. Siam Cement Group juga telah membuka perusahaan bahan konstruksi ritel di Indonesia dan Myanmar pada 2015-2016.</w:t>
      </w:r>
    </w:p>
    <w:p w:rsidR="00F855D9" w:rsidRPr="00F855D9" w:rsidRDefault="00F855D9" w:rsidP="003D7355">
      <w:pPr>
        <w:widowControl w:val="0"/>
        <w:numPr>
          <w:ilvl w:val="0"/>
          <w:numId w:val="40"/>
        </w:numPr>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Perusahaan Vietnam</w:t>
      </w:r>
    </w:p>
    <w:p w:rsidR="00F855D9" w:rsidRPr="00F855D9" w:rsidRDefault="00F855D9" w:rsidP="00915C1B">
      <w:pPr>
        <w:widowControl w:val="0"/>
        <w:spacing w:after="0" w:line="240" w:lineRule="auto"/>
        <w:ind w:left="720" w:firstLine="720"/>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Perusahaan dari Vietnam terus aktif dalam berinvestasi di negara-negara tetangga.  Perusahaan Viettel menerima persetujuan pada tahun 2015 untuk beroperasi di Myanmar dan mengumumkan bahwa mereka akan menginvestasikan $ 800 juta untuk proyek telekomunikasi dengan mitra lainnya. Vinamilk memulai pembangunan pabrik susu melalui joint venture di Phnom Penh SEZ (Kamboja). Vietnam Karet Group membuka pabrik pengolahan getah karet di Kamboja pada tahun 2015. Pada 2015, Hoang Anh Gia Lai diinvestasikan dalam sejumlah kegiatan bisnis di Republik Demokratik Rakyat Laos, termasuk usaha peternakan sapi, karet dan kelapa sawit perkebunan dan investasi senilai $ 523.000.000  di tambang garam. Pada tahun 2015,  selesai pembangunan bandara Internasional Attapeu seniali $ 36.000.000 di Republik Demokratik Rakyat Laos dan HAGL Pusat di Myanmar $ 550 juta. Pada tahun 2016, Hoang Anh Gia Lai memalui </w:t>
      </w:r>
      <w:r w:rsidRPr="00F855D9">
        <w:rPr>
          <w:rFonts w:ascii="Times New Roman" w:eastAsia="PMingLiU" w:hAnsi="Times New Roman" w:cs="Times New Roman"/>
          <w:bCs/>
          <w:i/>
          <w:color w:val="000000"/>
          <w:kern w:val="2"/>
          <w:sz w:val="24"/>
          <w:szCs w:val="24"/>
          <w:lang w:eastAsia="zh-TW"/>
        </w:rPr>
        <w:t>join venture</w:t>
      </w:r>
      <w:r w:rsidRPr="00F855D9">
        <w:rPr>
          <w:rFonts w:ascii="Times New Roman" w:eastAsia="PMingLiU" w:hAnsi="Times New Roman" w:cs="Times New Roman"/>
          <w:bCs/>
          <w:color w:val="000000"/>
          <w:kern w:val="2"/>
          <w:sz w:val="24"/>
          <w:szCs w:val="24"/>
          <w:lang w:eastAsia="zh-TW"/>
        </w:rPr>
        <w:t xml:space="preserve"> melakukan pembangunan tahap kedua dari Pusat HAGL di Myanmar dan akan mulai beroperasi dari sebuah hotel mewah dengan Melia Hotel (Spanyol). Yayasan Rekayasa dan Underground Construction memenangkan kontrak pelabuhan di tahun 2015 untuk perluasan Terminal Internasional Myanmar di Thilawa.</w:t>
      </w:r>
    </w:p>
    <w:p w:rsidR="00F855D9" w:rsidRPr="00F855D9" w:rsidRDefault="00F855D9" w:rsidP="00F855D9">
      <w:pPr>
        <w:widowControl w:val="0"/>
        <w:spacing w:after="0" w:line="240" w:lineRule="auto"/>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b/>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Berikut adalah daftar nama bebrapa perusahan di ASEAN yang melakuakan investasi di negara anggota ASEAN lainnya </w:t>
      </w:r>
      <w:r w:rsidR="00915C1B">
        <w:rPr>
          <w:rFonts w:ascii="Times New Roman" w:eastAsia="PMingLiU" w:hAnsi="Times New Roman" w:cs="Times New Roman"/>
          <w:bCs/>
          <w:color w:val="000000"/>
          <w:kern w:val="2"/>
          <w:sz w:val="24"/>
          <w:szCs w:val="24"/>
          <w:lang w:eastAsia="zh-TW"/>
        </w:rPr>
        <w:t>pada tahun 2016 :</w:t>
      </w:r>
    </w:p>
    <w:p w:rsidR="00F855D9" w:rsidRPr="00F855D9" w:rsidRDefault="00F855D9" w:rsidP="00F855D9">
      <w:pPr>
        <w:widowControl w:val="0"/>
        <w:spacing w:after="0" w:line="480" w:lineRule="auto"/>
        <w:jc w:val="center"/>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Tabel 3.5 : Perusahaan Dari Negara Anggota ASEAN Yang Melakukan Investasi Di Sektor Jasa Konstruksi Di Negara ASEAN Lainnya</w:t>
      </w:r>
    </w:p>
    <w:tbl>
      <w:tblPr>
        <w:tblStyle w:val="TableGrid"/>
        <w:tblW w:w="0" w:type="auto"/>
        <w:tblInd w:w="349" w:type="dxa"/>
        <w:tblLook w:val="04A0" w:firstRow="1" w:lastRow="0" w:firstColumn="1" w:lastColumn="0" w:noHBand="0" w:noVBand="1"/>
      </w:tblPr>
      <w:tblGrid>
        <w:gridCol w:w="2416"/>
        <w:gridCol w:w="5388"/>
      </w:tblGrid>
      <w:tr w:rsidR="00F855D9" w:rsidRPr="00F855D9" w:rsidTr="00F855D9">
        <w:tc>
          <w:tcPr>
            <w:tcW w:w="2453" w:type="dxa"/>
          </w:tcPr>
          <w:p w:rsidR="00F855D9" w:rsidRPr="00F855D9" w:rsidRDefault="00F855D9" w:rsidP="00F855D9">
            <w:pPr>
              <w:widowControl w:val="0"/>
              <w:spacing w:line="480" w:lineRule="auto"/>
              <w:jc w:val="center"/>
              <w:rPr>
                <w:rFonts w:ascii="Times New Roman" w:hAnsi="Times New Roman" w:cs="Times New Roman"/>
                <w:b/>
                <w:bCs/>
                <w:color w:val="000000"/>
                <w:kern w:val="2"/>
                <w:sz w:val="24"/>
                <w:szCs w:val="24"/>
                <w:lang w:eastAsia="zh-TW"/>
              </w:rPr>
            </w:pPr>
            <w:r w:rsidRPr="00F855D9">
              <w:rPr>
                <w:rFonts w:ascii="Times New Roman" w:hAnsi="Times New Roman" w:cs="Times New Roman"/>
                <w:b/>
                <w:bCs/>
                <w:color w:val="000000"/>
                <w:kern w:val="2"/>
                <w:sz w:val="24"/>
                <w:szCs w:val="24"/>
                <w:lang w:eastAsia="zh-TW"/>
              </w:rPr>
              <w:t>Negara</w:t>
            </w:r>
          </w:p>
        </w:tc>
        <w:tc>
          <w:tcPr>
            <w:tcW w:w="5493" w:type="dxa"/>
          </w:tcPr>
          <w:p w:rsidR="00F855D9" w:rsidRPr="00F855D9" w:rsidRDefault="00F855D9" w:rsidP="00F855D9">
            <w:pPr>
              <w:widowControl w:val="0"/>
              <w:spacing w:line="480" w:lineRule="auto"/>
              <w:jc w:val="center"/>
              <w:rPr>
                <w:rFonts w:ascii="Times New Roman" w:hAnsi="Times New Roman" w:cs="Times New Roman"/>
                <w:b/>
                <w:bCs/>
                <w:color w:val="000000"/>
                <w:kern w:val="2"/>
                <w:sz w:val="24"/>
                <w:szCs w:val="24"/>
                <w:lang w:eastAsia="zh-TW"/>
              </w:rPr>
            </w:pPr>
            <w:r w:rsidRPr="00F855D9">
              <w:rPr>
                <w:rFonts w:ascii="Times New Roman" w:hAnsi="Times New Roman" w:cs="Times New Roman"/>
                <w:b/>
                <w:bCs/>
                <w:color w:val="000000"/>
                <w:kern w:val="2"/>
                <w:sz w:val="24"/>
                <w:szCs w:val="24"/>
                <w:lang w:eastAsia="zh-TW"/>
              </w:rPr>
              <w:t>Nama Perusahaan</w:t>
            </w:r>
          </w:p>
        </w:tc>
      </w:tr>
      <w:tr w:rsidR="00F855D9" w:rsidRPr="00F855D9" w:rsidTr="00F855D9">
        <w:tc>
          <w:tcPr>
            <w:tcW w:w="2453"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Indonesia</w:t>
            </w:r>
          </w:p>
        </w:tc>
        <w:tc>
          <w:tcPr>
            <w:tcW w:w="5493" w:type="dxa"/>
          </w:tcPr>
          <w:p w:rsidR="00F855D9" w:rsidRPr="00F855D9" w:rsidRDefault="00F855D9" w:rsidP="003D7355">
            <w:pPr>
              <w:widowControl w:val="0"/>
              <w:numPr>
                <w:ilvl w:val="3"/>
                <w:numId w:val="95"/>
              </w:numPr>
              <w:ind w:left="365"/>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Lippo Group</w:t>
            </w:r>
          </w:p>
          <w:p w:rsidR="00F855D9" w:rsidRPr="00F855D9" w:rsidRDefault="00F855D9" w:rsidP="003D7355">
            <w:pPr>
              <w:widowControl w:val="0"/>
              <w:numPr>
                <w:ilvl w:val="3"/>
                <w:numId w:val="95"/>
              </w:numPr>
              <w:ind w:left="365"/>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PT. Aneka Tambang</w:t>
            </w:r>
          </w:p>
          <w:p w:rsidR="00F855D9" w:rsidRPr="00F855D9" w:rsidRDefault="00F855D9" w:rsidP="003D7355">
            <w:pPr>
              <w:widowControl w:val="0"/>
              <w:numPr>
                <w:ilvl w:val="3"/>
                <w:numId w:val="95"/>
              </w:numPr>
              <w:ind w:left="365"/>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PT. Timah</w:t>
            </w:r>
          </w:p>
          <w:p w:rsidR="00F855D9" w:rsidRPr="00F855D9" w:rsidRDefault="00F855D9" w:rsidP="003D7355">
            <w:pPr>
              <w:widowControl w:val="0"/>
              <w:numPr>
                <w:ilvl w:val="3"/>
                <w:numId w:val="95"/>
              </w:numPr>
              <w:ind w:left="365"/>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PT. Sritex</w:t>
            </w:r>
          </w:p>
          <w:p w:rsidR="00F855D9" w:rsidRPr="00F855D9" w:rsidRDefault="00F855D9" w:rsidP="003D7355">
            <w:pPr>
              <w:widowControl w:val="0"/>
              <w:numPr>
                <w:ilvl w:val="3"/>
                <w:numId w:val="95"/>
              </w:numPr>
              <w:ind w:left="365"/>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PT. Nippon</w:t>
            </w:r>
          </w:p>
          <w:p w:rsidR="00F855D9" w:rsidRPr="00F855D9" w:rsidRDefault="00F855D9" w:rsidP="003D7355">
            <w:pPr>
              <w:widowControl w:val="0"/>
              <w:numPr>
                <w:ilvl w:val="3"/>
                <w:numId w:val="95"/>
              </w:numPr>
              <w:ind w:left="365"/>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lastRenderedPageBreak/>
              <w:t>PT. Pertamina</w:t>
            </w:r>
          </w:p>
          <w:p w:rsidR="00F855D9" w:rsidRPr="00F855D9" w:rsidRDefault="00F855D9" w:rsidP="003D7355">
            <w:pPr>
              <w:widowControl w:val="0"/>
              <w:numPr>
                <w:ilvl w:val="3"/>
                <w:numId w:val="95"/>
              </w:numPr>
              <w:ind w:left="365"/>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PT. Bank Rakyat Indonesia Tbk</w:t>
            </w:r>
          </w:p>
          <w:p w:rsidR="00F855D9" w:rsidRPr="00F855D9" w:rsidRDefault="00F855D9" w:rsidP="003D7355">
            <w:pPr>
              <w:widowControl w:val="0"/>
              <w:numPr>
                <w:ilvl w:val="3"/>
                <w:numId w:val="95"/>
              </w:numPr>
              <w:ind w:left="365"/>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PT. Gunung Sewu Kencana</w:t>
            </w:r>
          </w:p>
          <w:p w:rsidR="00F855D9" w:rsidRPr="00F855D9" w:rsidRDefault="00F855D9" w:rsidP="003D7355">
            <w:pPr>
              <w:widowControl w:val="0"/>
              <w:numPr>
                <w:ilvl w:val="3"/>
                <w:numId w:val="95"/>
              </w:numPr>
              <w:ind w:left="365"/>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PT. Mahanusa Capital</w:t>
            </w:r>
          </w:p>
          <w:p w:rsidR="00F855D9" w:rsidRPr="00F855D9" w:rsidRDefault="00F855D9" w:rsidP="003D7355">
            <w:pPr>
              <w:widowControl w:val="0"/>
              <w:numPr>
                <w:ilvl w:val="3"/>
                <w:numId w:val="95"/>
              </w:numPr>
              <w:ind w:left="365"/>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 xml:space="preserve">PT. Sinar Mas Group </w:t>
            </w:r>
          </w:p>
        </w:tc>
      </w:tr>
      <w:tr w:rsidR="00F855D9" w:rsidRPr="00F855D9" w:rsidTr="00F855D9">
        <w:tc>
          <w:tcPr>
            <w:tcW w:w="2453"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lastRenderedPageBreak/>
              <w:t>Malaysia</w:t>
            </w:r>
          </w:p>
        </w:tc>
        <w:tc>
          <w:tcPr>
            <w:tcW w:w="5493" w:type="dxa"/>
          </w:tcPr>
          <w:p w:rsidR="00F855D9" w:rsidRPr="00F855D9" w:rsidRDefault="00F855D9" w:rsidP="003D7355">
            <w:pPr>
              <w:widowControl w:val="0"/>
              <w:numPr>
                <w:ilvl w:val="0"/>
                <w:numId w:val="82"/>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Sengenics Group</w:t>
            </w:r>
          </w:p>
          <w:p w:rsidR="00F855D9" w:rsidRPr="00F855D9" w:rsidRDefault="00F855D9" w:rsidP="003D7355">
            <w:pPr>
              <w:widowControl w:val="0"/>
              <w:numPr>
                <w:ilvl w:val="0"/>
                <w:numId w:val="82"/>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R &amp; D</w:t>
            </w:r>
          </w:p>
          <w:p w:rsidR="00F855D9" w:rsidRPr="00F855D9" w:rsidRDefault="00F855D9" w:rsidP="003D7355">
            <w:pPr>
              <w:widowControl w:val="0"/>
              <w:numPr>
                <w:ilvl w:val="0"/>
                <w:numId w:val="82"/>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Armandeus</w:t>
            </w:r>
          </w:p>
          <w:p w:rsidR="00F855D9" w:rsidRPr="00F855D9" w:rsidRDefault="00F855D9" w:rsidP="003D7355">
            <w:pPr>
              <w:widowControl w:val="0"/>
              <w:numPr>
                <w:ilvl w:val="0"/>
                <w:numId w:val="82"/>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Tan Chong Motors</w:t>
            </w:r>
          </w:p>
          <w:p w:rsidR="00F855D9" w:rsidRPr="00F855D9" w:rsidRDefault="00F855D9" w:rsidP="003D7355">
            <w:pPr>
              <w:widowControl w:val="0"/>
              <w:numPr>
                <w:ilvl w:val="0"/>
                <w:numId w:val="82"/>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Insas</w:t>
            </w:r>
          </w:p>
          <w:p w:rsidR="00F855D9" w:rsidRPr="00F855D9" w:rsidRDefault="00F855D9" w:rsidP="003D7355">
            <w:pPr>
              <w:widowControl w:val="0"/>
              <w:numPr>
                <w:ilvl w:val="0"/>
                <w:numId w:val="82"/>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CIMB Group</w:t>
            </w:r>
          </w:p>
          <w:p w:rsidR="00F855D9" w:rsidRPr="00F855D9" w:rsidRDefault="00F855D9" w:rsidP="003D7355">
            <w:pPr>
              <w:widowControl w:val="0"/>
              <w:numPr>
                <w:ilvl w:val="0"/>
                <w:numId w:val="82"/>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Bintai Kinden Corp</w:t>
            </w:r>
          </w:p>
          <w:p w:rsidR="00F855D9" w:rsidRPr="00F855D9" w:rsidRDefault="00F855D9" w:rsidP="003D7355">
            <w:pPr>
              <w:widowControl w:val="0"/>
              <w:numPr>
                <w:ilvl w:val="0"/>
                <w:numId w:val="82"/>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Laut Quarry</w:t>
            </w:r>
          </w:p>
          <w:p w:rsidR="00F855D9" w:rsidRPr="00F855D9" w:rsidRDefault="00F855D9" w:rsidP="003D7355">
            <w:pPr>
              <w:widowControl w:val="0"/>
              <w:numPr>
                <w:ilvl w:val="0"/>
                <w:numId w:val="82"/>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YTL</w:t>
            </w:r>
          </w:p>
          <w:p w:rsidR="00F855D9" w:rsidRPr="00F855D9" w:rsidRDefault="00F855D9" w:rsidP="003D7355">
            <w:pPr>
              <w:widowControl w:val="0"/>
              <w:numPr>
                <w:ilvl w:val="0"/>
                <w:numId w:val="82"/>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OCK</w:t>
            </w:r>
          </w:p>
          <w:p w:rsidR="00F855D9" w:rsidRPr="00F855D9" w:rsidRDefault="00F855D9" w:rsidP="003D7355">
            <w:pPr>
              <w:widowControl w:val="0"/>
              <w:numPr>
                <w:ilvl w:val="0"/>
                <w:numId w:val="82"/>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Teknik Janakuasa</w:t>
            </w:r>
          </w:p>
          <w:p w:rsidR="00F855D9" w:rsidRPr="00F855D9" w:rsidRDefault="00F855D9" w:rsidP="003D7355">
            <w:pPr>
              <w:widowControl w:val="0"/>
              <w:numPr>
                <w:ilvl w:val="0"/>
                <w:numId w:val="82"/>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Axiata</w:t>
            </w:r>
          </w:p>
        </w:tc>
      </w:tr>
      <w:tr w:rsidR="00F855D9" w:rsidRPr="00F855D9" w:rsidTr="00F855D9">
        <w:tc>
          <w:tcPr>
            <w:tcW w:w="2453"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Filipina</w:t>
            </w:r>
          </w:p>
        </w:tc>
        <w:tc>
          <w:tcPr>
            <w:tcW w:w="5493" w:type="dxa"/>
          </w:tcPr>
          <w:p w:rsidR="00F855D9" w:rsidRPr="00F855D9" w:rsidRDefault="00F855D9" w:rsidP="003D7355">
            <w:pPr>
              <w:widowControl w:val="0"/>
              <w:numPr>
                <w:ilvl w:val="0"/>
                <w:numId w:val="83"/>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Ayala Corporation</w:t>
            </w:r>
          </w:p>
          <w:p w:rsidR="00F855D9" w:rsidRPr="00F855D9" w:rsidRDefault="00F855D9" w:rsidP="003D7355">
            <w:pPr>
              <w:widowControl w:val="0"/>
              <w:numPr>
                <w:ilvl w:val="0"/>
                <w:numId w:val="83"/>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Metro Pasific Invesment Corporation</w:t>
            </w:r>
          </w:p>
          <w:p w:rsidR="00F855D9" w:rsidRPr="00F855D9" w:rsidRDefault="00F855D9" w:rsidP="003D7355">
            <w:pPr>
              <w:widowControl w:val="0"/>
              <w:numPr>
                <w:ilvl w:val="0"/>
                <w:numId w:val="83"/>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Aboitiz Daya</w:t>
            </w:r>
          </w:p>
        </w:tc>
      </w:tr>
      <w:tr w:rsidR="00F855D9" w:rsidRPr="00F855D9" w:rsidTr="00F855D9">
        <w:tc>
          <w:tcPr>
            <w:tcW w:w="2453"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Singapura</w:t>
            </w:r>
          </w:p>
        </w:tc>
        <w:tc>
          <w:tcPr>
            <w:tcW w:w="5493" w:type="dxa"/>
          </w:tcPr>
          <w:p w:rsidR="00F855D9" w:rsidRPr="00F855D9" w:rsidRDefault="00F855D9" w:rsidP="003D7355">
            <w:pPr>
              <w:widowControl w:val="0"/>
              <w:numPr>
                <w:ilvl w:val="0"/>
                <w:numId w:val="84"/>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Surbana Internasional</w:t>
            </w:r>
          </w:p>
          <w:p w:rsidR="00F855D9" w:rsidRPr="00F855D9" w:rsidRDefault="00F855D9" w:rsidP="003D7355">
            <w:pPr>
              <w:widowControl w:val="0"/>
              <w:numPr>
                <w:ilvl w:val="0"/>
                <w:numId w:val="84"/>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Soildbuild</w:t>
            </w:r>
          </w:p>
          <w:p w:rsidR="00F855D9" w:rsidRPr="00F855D9" w:rsidRDefault="00F855D9" w:rsidP="003D7355">
            <w:pPr>
              <w:widowControl w:val="0"/>
              <w:numPr>
                <w:ilvl w:val="0"/>
                <w:numId w:val="84"/>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Tionk Aik</w:t>
            </w:r>
          </w:p>
          <w:p w:rsidR="00F855D9" w:rsidRPr="00F855D9" w:rsidRDefault="00F855D9" w:rsidP="003D7355">
            <w:pPr>
              <w:widowControl w:val="0"/>
              <w:numPr>
                <w:ilvl w:val="0"/>
                <w:numId w:val="84"/>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Oxley Holdings</w:t>
            </w:r>
          </w:p>
          <w:p w:rsidR="00F855D9" w:rsidRPr="00F855D9" w:rsidRDefault="00F855D9" w:rsidP="003D7355">
            <w:pPr>
              <w:widowControl w:val="0"/>
              <w:numPr>
                <w:ilvl w:val="0"/>
                <w:numId w:val="84"/>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Yongnam Holdings</w:t>
            </w:r>
          </w:p>
          <w:p w:rsidR="00F855D9" w:rsidRPr="00F855D9" w:rsidRDefault="00F855D9" w:rsidP="003D7355">
            <w:pPr>
              <w:widowControl w:val="0"/>
              <w:numPr>
                <w:ilvl w:val="0"/>
                <w:numId w:val="84"/>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Changi Internasional Airport</w:t>
            </w:r>
          </w:p>
          <w:p w:rsidR="00F855D9" w:rsidRPr="00F855D9" w:rsidRDefault="00F855D9" w:rsidP="003D7355">
            <w:pPr>
              <w:widowControl w:val="0"/>
              <w:numPr>
                <w:ilvl w:val="0"/>
                <w:numId w:val="84"/>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Sembcorp</w:t>
            </w:r>
          </w:p>
        </w:tc>
      </w:tr>
      <w:tr w:rsidR="00F855D9" w:rsidRPr="00F855D9" w:rsidTr="00F855D9">
        <w:tc>
          <w:tcPr>
            <w:tcW w:w="2453"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Thailand</w:t>
            </w:r>
          </w:p>
        </w:tc>
        <w:tc>
          <w:tcPr>
            <w:tcW w:w="5493" w:type="dxa"/>
          </w:tcPr>
          <w:p w:rsidR="00F855D9" w:rsidRPr="00F855D9" w:rsidRDefault="00F855D9" w:rsidP="003D7355">
            <w:pPr>
              <w:widowControl w:val="0"/>
              <w:numPr>
                <w:ilvl w:val="0"/>
                <w:numId w:val="85"/>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Dusit</w:t>
            </w:r>
          </w:p>
          <w:p w:rsidR="00F855D9" w:rsidRPr="00F855D9" w:rsidRDefault="00F855D9" w:rsidP="003D7355">
            <w:pPr>
              <w:widowControl w:val="0"/>
              <w:numPr>
                <w:ilvl w:val="0"/>
                <w:numId w:val="85"/>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Thonburi Hospital Group</w:t>
            </w:r>
          </w:p>
          <w:p w:rsidR="00F855D9" w:rsidRPr="00F855D9" w:rsidRDefault="00F855D9" w:rsidP="003D7355">
            <w:pPr>
              <w:widowControl w:val="0"/>
              <w:numPr>
                <w:ilvl w:val="0"/>
                <w:numId w:val="85"/>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Bangkok Hospital Group</w:t>
            </w:r>
          </w:p>
          <w:p w:rsidR="00F855D9" w:rsidRPr="00F855D9" w:rsidRDefault="00F855D9" w:rsidP="003D7355">
            <w:pPr>
              <w:widowControl w:val="0"/>
              <w:numPr>
                <w:ilvl w:val="0"/>
                <w:numId w:val="85"/>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Ratchaburi</w:t>
            </w:r>
          </w:p>
          <w:p w:rsidR="00F855D9" w:rsidRPr="00F855D9" w:rsidRDefault="00F855D9" w:rsidP="003D7355">
            <w:pPr>
              <w:widowControl w:val="0"/>
              <w:numPr>
                <w:ilvl w:val="0"/>
                <w:numId w:val="85"/>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Energy</w:t>
            </w:r>
          </w:p>
          <w:p w:rsidR="00F855D9" w:rsidRPr="00F855D9" w:rsidRDefault="00F855D9" w:rsidP="003D7355">
            <w:pPr>
              <w:widowControl w:val="0"/>
              <w:numPr>
                <w:ilvl w:val="0"/>
                <w:numId w:val="85"/>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Lumpoondum</w:t>
            </w:r>
          </w:p>
          <w:p w:rsidR="00F855D9" w:rsidRPr="00F855D9" w:rsidRDefault="00F855D9" w:rsidP="003D7355">
            <w:pPr>
              <w:widowControl w:val="0"/>
              <w:numPr>
                <w:ilvl w:val="0"/>
                <w:numId w:val="85"/>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United Power</w:t>
            </w:r>
          </w:p>
          <w:p w:rsidR="00F855D9" w:rsidRPr="00F855D9" w:rsidRDefault="00F855D9" w:rsidP="003D7355">
            <w:pPr>
              <w:widowControl w:val="0"/>
              <w:numPr>
                <w:ilvl w:val="0"/>
                <w:numId w:val="85"/>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Mantan</w:t>
            </w:r>
          </w:p>
          <w:p w:rsidR="00F855D9" w:rsidRPr="00F855D9" w:rsidRDefault="00F855D9" w:rsidP="003D7355">
            <w:pPr>
              <w:widowControl w:val="0"/>
              <w:numPr>
                <w:ilvl w:val="0"/>
                <w:numId w:val="85"/>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Charoen Pokphand</w:t>
            </w:r>
          </w:p>
          <w:p w:rsidR="00F855D9" w:rsidRPr="00F855D9" w:rsidRDefault="00F855D9" w:rsidP="003D7355">
            <w:pPr>
              <w:widowControl w:val="0"/>
              <w:numPr>
                <w:ilvl w:val="0"/>
                <w:numId w:val="85"/>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Siam Cement Group</w:t>
            </w:r>
          </w:p>
        </w:tc>
      </w:tr>
      <w:tr w:rsidR="00F855D9" w:rsidRPr="00F855D9" w:rsidTr="00F855D9">
        <w:tc>
          <w:tcPr>
            <w:tcW w:w="2453"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Vietnam</w:t>
            </w:r>
          </w:p>
        </w:tc>
        <w:tc>
          <w:tcPr>
            <w:tcW w:w="5493" w:type="dxa"/>
          </w:tcPr>
          <w:p w:rsidR="00F855D9" w:rsidRPr="00F855D9" w:rsidRDefault="00F855D9" w:rsidP="003D7355">
            <w:pPr>
              <w:widowControl w:val="0"/>
              <w:numPr>
                <w:ilvl w:val="0"/>
                <w:numId w:val="86"/>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Viettel</w:t>
            </w:r>
          </w:p>
          <w:p w:rsidR="00F855D9" w:rsidRPr="00F855D9" w:rsidRDefault="00F855D9" w:rsidP="003D7355">
            <w:pPr>
              <w:widowControl w:val="0"/>
              <w:numPr>
                <w:ilvl w:val="0"/>
                <w:numId w:val="86"/>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Vinamilk</w:t>
            </w:r>
          </w:p>
          <w:p w:rsidR="00F855D9" w:rsidRPr="00F855D9" w:rsidRDefault="00F855D9" w:rsidP="003D7355">
            <w:pPr>
              <w:widowControl w:val="0"/>
              <w:numPr>
                <w:ilvl w:val="0"/>
                <w:numId w:val="86"/>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Vietnam Karet Group</w:t>
            </w:r>
          </w:p>
          <w:p w:rsidR="00F855D9" w:rsidRPr="00F855D9" w:rsidRDefault="00F855D9" w:rsidP="003D7355">
            <w:pPr>
              <w:widowControl w:val="0"/>
              <w:numPr>
                <w:ilvl w:val="0"/>
                <w:numId w:val="86"/>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Hoang Anh Gia Lai</w:t>
            </w:r>
          </w:p>
          <w:p w:rsidR="00F855D9" w:rsidRPr="00F855D9" w:rsidRDefault="00F855D9" w:rsidP="003D7355">
            <w:pPr>
              <w:widowControl w:val="0"/>
              <w:numPr>
                <w:ilvl w:val="0"/>
                <w:numId w:val="86"/>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Yayasan Rekayasa</w:t>
            </w:r>
          </w:p>
          <w:p w:rsidR="00F855D9" w:rsidRPr="00F855D9" w:rsidRDefault="00F855D9" w:rsidP="003D7355">
            <w:pPr>
              <w:widowControl w:val="0"/>
              <w:numPr>
                <w:ilvl w:val="0"/>
                <w:numId w:val="86"/>
              </w:numPr>
              <w:ind w:left="317"/>
              <w:contextualSpacing/>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Underground Construction</w:t>
            </w:r>
          </w:p>
        </w:tc>
      </w:tr>
    </w:tbl>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Sumber : Diolah Oleh Penulis dari Berbagai Sumber</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Perusahaan dari Malayasia merupakan perusahaan paling banyak melakukan investasi di sektor jasa konstruksi. Investasi dilakukan dalam </w:t>
      </w:r>
      <w:r w:rsidRPr="00F855D9">
        <w:rPr>
          <w:rFonts w:ascii="Times New Roman" w:eastAsia="PMingLiU" w:hAnsi="Times New Roman" w:cs="Times New Roman"/>
          <w:bCs/>
          <w:color w:val="000000"/>
          <w:kern w:val="2"/>
          <w:sz w:val="24"/>
          <w:szCs w:val="24"/>
          <w:lang w:eastAsia="zh-TW"/>
        </w:rPr>
        <w:lastRenderedPageBreak/>
        <w:t>bentuk penanaman modal, investasi produk konstruksi maupun dalam tender konstruksi dari  berbagai jenis konstruksi, seperti konstruksi gendung, konstruksi listrik, konstruksi jembatan dan konstruksi infrastruktur dalam negeri. Negara Filipina adalah negara dengan perusahaan yang paling sedikit menjalin investasi di sektor jasa konstruksi untuk saat ini. Tiga perusahaan saja yang pada tahun 2016 mau bersaing investasi di sektor jasa konstruksi dalam MEA, hal tersebut dikarenakan kurangnya dorongan dari pemerintah Filipina untuk giant berinvestasi di luar negara Filipina. Banyaknya perusahaan yang berinvestasi di berbagai negara di ASEAN mendorong penringkat peringkat negara ASEAN yang melakukan investasi di sektor jasa konstruksi selama tahun 2016.  Berikut adalah grafik peringkat negara ASEAN yang melakukan investasi di sektor jasa konstruksi pada tahun 2016 :</w:t>
      </w:r>
    </w:p>
    <w:p w:rsidR="00F855D9" w:rsidRPr="00F855D9" w:rsidRDefault="00F855D9" w:rsidP="00F855D9">
      <w:pPr>
        <w:widowControl w:val="0"/>
        <w:spacing w:after="0" w:line="480" w:lineRule="auto"/>
        <w:jc w:val="center"/>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Grafik 3.2 : Peringkat negara ASEAN yang melakukan investasi di sektor jasa konstruksi pada tahun 2016</w:t>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noProof/>
          <w:color w:val="000000"/>
          <w:kern w:val="2"/>
          <w:sz w:val="24"/>
          <w:szCs w:val="24"/>
          <w:lang w:eastAsia="id-ID"/>
        </w:rPr>
        <w:drawing>
          <wp:inline distT="0" distB="0" distL="0" distR="0" wp14:anchorId="2CF8BB78" wp14:editId="5D3CAF9A">
            <wp:extent cx="5130165" cy="2992755"/>
            <wp:effectExtent l="0" t="0" r="13335" b="1714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855D9" w:rsidRPr="00F855D9" w:rsidRDefault="00F855D9" w:rsidP="00F855D9">
      <w:pPr>
        <w:widowControl w:val="0"/>
        <w:spacing w:after="0" w:line="480" w:lineRule="auto"/>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 xml:space="preserve">Sumber : Sekretariat ASEAN dan Diolah Oleh Penulis </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Singapura merupakan negara dengan pelaku usaha yang paling banyak melakukan investasi di sektor jasa konstruksi dengan 25 investasi di berbagai negara di ASEAN, kemudian Thailand menjadi negara kedua terbesar yang melakukan investasi di sektor jasa konstruksi dengan 15 investasi. Malaysia menduduki peringakat ketiga dengan 13 investasi di seluruh wilayah di ASEAN. Indonesia menduduki peringkat ke 4 dengan 11 investasi di sektor jasa konstruksi. Vietnam dengan 6 investasi dan Filipina dengan 4 investasi di sektor jasa konstruksi. Negara Singapura memang mendorong para pelaku usaha dalam negerinya untuk berinvestasi ke berbagai negara di ASEAN dikarenakan perkembangan teknologi dan informasi yang maju dari negara tersebut mendorong pemerintah Singapura untuk mengalihkan perhatian dari pelaku usahanya untuk lebih berinvestasi di sektor jasa konstruksi di beberapa negara ASEAN. Singapura sampai saat ini memiliki infrastruktur terbaik diantara negara ASEAN lainnya. Minimnya pembangunan di negara Singapura karena sudah terpenuhinya kebutuhan infrastruktur dalam negeri juga menjadi faktor penentu. Singapura merupakan negara paling maju diantara negara ASEAN lainnya baik dari segi pendidikan, informasi dan teknologi sehingga lebih  leluasa dalam melakukan investasi di luar wilayah negaranya. Thailand saat ini memang mengalami konflik dalam negeri terkait pergantian perdana menteri, meskipun demikian dibawah pedana menteri saat ini yaitu Prayuth Chan-ocha, pemerintah Thailand mendorong para pelaku usahanya untuk lebih aktif berivestasi di berbagai negara di </w:t>
      </w:r>
      <w:r w:rsidRPr="00F855D9">
        <w:rPr>
          <w:rFonts w:ascii="Times New Roman" w:eastAsia="PMingLiU" w:hAnsi="Times New Roman" w:cs="Times New Roman"/>
          <w:bCs/>
          <w:color w:val="000000"/>
          <w:kern w:val="2"/>
          <w:sz w:val="24"/>
          <w:szCs w:val="24"/>
          <w:lang w:eastAsia="zh-TW"/>
        </w:rPr>
        <w:lastRenderedPageBreak/>
        <w:t xml:space="preserve">ASEAN, hal ini terbukti efektif dimana Thailand merupakan negara terbanyak kedua yang banyak melakukan investasi di sektor jasa konstruksi. Malaysia memang negara yang cukup giat melakukan investasi di bodang jasa konstruksi pada tiga tahun belakangan ini. Hal ini terjadi karena Malaysia memiliki pelaku usaha yang cukup unggul dibandingkan dengan pelaku usaha negara ASEAN lainnya. Kebanyakan pelaku usaha dari Malaysia lebih memilih berinvestasi kepada sektor jasa konstruksi bangunan dan jembatan dengan skala besar. Indonesia sendiri berada di urutan keempat dari negara yang memilih berinvestasi di berbagai negara di ASEAN. Dengan 11 investasi yang telah dilakukan pada tahun 2016. Investasi yang dilakukan para pelaku usaha konstruksi Indonesia memang cenderung kurang bila dibandingkan dengan pangsa pasar jasa konstruksi di Indonesia sendiri yang terbesar di ASEAN. Lemahnya keinginan berinvestasi dari pelaku usaha dalam negeri ini terjadi karena kurangnya dukungan dari pemerintah Indonesia terkait informasi di sektor jasa konstruksi itu sendiri. Pemerintah Indonesia lebih fokus kepada pelaku usaha dalam negeri yang akan berinvestasi di sektor konstruksi di Indonesia. Vietnam dan Filipina merupakan negara yang saat ini cukup bagus bergerak di bidang investasi pada sektor jasa konstruksi meskipun jumlahnya masih kecil, kedua negara tersebut memang masih membutuhkan waktu untuk dapat berinvestasi di sektor jasa dengan skala besar dan menengah mengingat kurangnya modal dan dukungan dari negara masing – masing. Untuk negara Brunei, Kamboja, Laos dan Myanmar sampai saat ini penulis belum mendapatkan data tentang </w:t>
      </w:r>
      <w:r w:rsidRPr="00F855D9">
        <w:rPr>
          <w:rFonts w:ascii="Times New Roman" w:eastAsia="PMingLiU" w:hAnsi="Times New Roman" w:cs="Times New Roman"/>
          <w:bCs/>
          <w:color w:val="000000"/>
          <w:kern w:val="2"/>
          <w:sz w:val="24"/>
          <w:szCs w:val="24"/>
          <w:lang w:eastAsia="zh-TW"/>
        </w:rPr>
        <w:lastRenderedPageBreak/>
        <w:t>investasi dari negara- negara tersebut dikarenakan negara- negara tersebut belum memberikan laporan data terkait investasi dari negara masing- masing ke sekertariat ASEAN hingga saat ini. Banyaknya investasi yang dilakukan oleh beberapa negara anggota ASEAN ini tidak lepas dari negara tujuan investasi sektor jasa konstruksi yang menjanjikan. Berikut adalah negara anggota ASEAN yang menjadi tujuan investasi untuk sektor jasa konstruksi :</w:t>
      </w:r>
    </w:p>
    <w:p w:rsidR="00F855D9" w:rsidRPr="00F855D9" w:rsidRDefault="00F855D9" w:rsidP="00915C1B">
      <w:pPr>
        <w:widowControl w:val="0"/>
        <w:spacing w:after="0" w:line="480" w:lineRule="auto"/>
        <w:jc w:val="center"/>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Grafik 3.3 : Negara Tujuan Investasi Sektor Jasa Konstruksi di ASEAN</w:t>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noProof/>
          <w:color w:val="000000"/>
          <w:kern w:val="2"/>
          <w:sz w:val="24"/>
          <w:szCs w:val="24"/>
          <w:lang w:eastAsia="id-ID"/>
        </w:rPr>
        <w:drawing>
          <wp:inline distT="0" distB="0" distL="0" distR="0" wp14:anchorId="7C298BF2" wp14:editId="60EABD6C">
            <wp:extent cx="4693298" cy="2258008"/>
            <wp:effectExtent l="0" t="0" r="1206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Sumber : Diolah Penulis Dari Berbagai Sumber</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Myanmar menjadi negara tujuan investasi untuk sektor jasa konstruksi pada tahun 2016 terbanyak dengan angregat peningkatan 27% dari tahun 2015. Perkembangan sebanyak 27% merupakan salah satu dampak dari kebijakan AFAS yang diter</w:t>
      </w:r>
      <w:r w:rsidR="00967E1A">
        <w:rPr>
          <w:rFonts w:ascii="Times New Roman" w:eastAsia="PMingLiU" w:hAnsi="Times New Roman" w:cs="Times New Roman"/>
          <w:bCs/>
          <w:color w:val="000000"/>
          <w:kern w:val="2"/>
          <w:sz w:val="24"/>
          <w:szCs w:val="24"/>
          <w:lang w:eastAsia="zh-TW"/>
        </w:rPr>
        <w:t>a</w:t>
      </w:r>
      <w:r w:rsidRPr="00F855D9">
        <w:rPr>
          <w:rFonts w:ascii="Times New Roman" w:eastAsia="PMingLiU" w:hAnsi="Times New Roman" w:cs="Times New Roman"/>
          <w:bCs/>
          <w:color w:val="000000"/>
          <w:kern w:val="2"/>
          <w:sz w:val="24"/>
          <w:szCs w:val="24"/>
          <w:lang w:eastAsia="zh-TW"/>
        </w:rPr>
        <w:t>pkan dalam era M</w:t>
      </w:r>
      <w:r w:rsidR="00967E1A">
        <w:rPr>
          <w:rFonts w:ascii="Times New Roman" w:eastAsia="PMingLiU" w:hAnsi="Times New Roman" w:cs="Times New Roman"/>
          <w:bCs/>
          <w:color w:val="000000"/>
          <w:kern w:val="2"/>
          <w:sz w:val="24"/>
          <w:szCs w:val="24"/>
          <w:lang w:eastAsia="zh-TW"/>
        </w:rPr>
        <w:t>EA. Myanmar sendiri telah membu</w:t>
      </w:r>
      <w:r w:rsidRPr="00F855D9">
        <w:rPr>
          <w:rFonts w:ascii="Times New Roman" w:eastAsia="PMingLiU" w:hAnsi="Times New Roman" w:cs="Times New Roman"/>
          <w:bCs/>
          <w:color w:val="000000"/>
          <w:kern w:val="2"/>
          <w:sz w:val="24"/>
          <w:szCs w:val="24"/>
          <w:lang w:eastAsia="zh-TW"/>
        </w:rPr>
        <w:t>ka akses berinvestasi di sektor jasa sebanyak 70% dari kepemilikan modal asing FEP (</w:t>
      </w:r>
      <w:r w:rsidRPr="00F855D9">
        <w:rPr>
          <w:rFonts w:ascii="Times New Roman" w:eastAsia="PMingLiU" w:hAnsi="Times New Roman" w:cs="Times New Roman"/>
          <w:bCs/>
          <w:i/>
          <w:color w:val="000000"/>
          <w:kern w:val="2"/>
          <w:sz w:val="24"/>
          <w:szCs w:val="24"/>
          <w:lang w:eastAsia="zh-TW"/>
        </w:rPr>
        <w:t>Foreign Equity Participation</w:t>
      </w:r>
      <w:r w:rsidRPr="00F855D9">
        <w:rPr>
          <w:rFonts w:ascii="Times New Roman" w:eastAsia="PMingLiU" w:hAnsi="Times New Roman" w:cs="Times New Roman"/>
          <w:bCs/>
          <w:color w:val="000000"/>
          <w:kern w:val="2"/>
          <w:sz w:val="24"/>
          <w:szCs w:val="24"/>
          <w:lang w:eastAsia="zh-TW"/>
        </w:rPr>
        <w:t xml:space="preserve">) yang sudah sesuai dengan ketentuan paket AFAS. Keterbukaan investasi yang dilakukan oleh Myanmar ini sendiri dikarenakan perkembangan negara </w:t>
      </w:r>
      <w:r w:rsidRPr="00F855D9">
        <w:rPr>
          <w:rFonts w:ascii="Times New Roman" w:eastAsia="PMingLiU" w:hAnsi="Times New Roman" w:cs="Times New Roman"/>
          <w:bCs/>
          <w:color w:val="000000"/>
          <w:kern w:val="2"/>
          <w:sz w:val="24"/>
          <w:szCs w:val="24"/>
          <w:lang w:eastAsia="zh-TW"/>
        </w:rPr>
        <w:lastRenderedPageBreak/>
        <w:t>Myanmar yang dalam tahap pembangunan infrastruktur dan fasilitas di negara tersebut secara besar – besaran. Minat para pelaku usaha luar negeri menjadi meningkat karena hal tersebut sehingga menjadikan Myanmar sebagai negara dengan tujuan investasi terbanyak selama tahun 2016. Posisi ke 2 ditempati oleh Malaysia, sebanyak 24 % investasi di sektor jasa konstruksi di Malaysia didapatkan melalui MEA. Perkembangan investasi yang besar bagi Malaysia memang sebuah kejuatan selama tahun 2016. Malaysia bukanlah negara dengan kebutuhan pembangunan yang diperhitungkan dalam era MEA sebelumnya, tetapi investasi berjalan dengan pesat di negara tersebut, hal ini dikarenakan Malaysia membuka beberapa jenis kualifikasi di sektor jasa konstruksi yang sebelumnya tidak diperuntukan untuk pelaku usaha asing kini telah dibuka seperti jasa konstruksi untuk fasilitas pemerintah yang tadinya hanya pelaku usaha dalam negeri yang boleh berinvestasi kini pelaku usaha dari luar juga bisa berinvestasi.</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Vietnam dan Laos menjadi negara yang mengalami pertumbuhan investasi di sektor jasa konstruksi sebesar 21% dan 19% dalam era MEA dan menjadikan negara tujuan investasi yang cukup banyak diminati pada tahun 2016. Vietnam sendiri diketahui telah memberikan 60 % dari kepemilikan modal asing FEP (</w:t>
      </w:r>
      <w:r w:rsidRPr="00F855D9">
        <w:rPr>
          <w:rFonts w:ascii="Times New Roman" w:eastAsia="PMingLiU" w:hAnsi="Times New Roman" w:cs="Times New Roman"/>
          <w:bCs/>
          <w:i/>
          <w:color w:val="000000"/>
          <w:kern w:val="2"/>
          <w:sz w:val="24"/>
          <w:szCs w:val="24"/>
          <w:lang w:eastAsia="zh-TW"/>
        </w:rPr>
        <w:t>Foreign Equity Participation</w:t>
      </w:r>
      <w:r w:rsidRPr="00F855D9">
        <w:rPr>
          <w:rFonts w:ascii="Times New Roman" w:eastAsia="PMingLiU" w:hAnsi="Times New Roman" w:cs="Times New Roman"/>
          <w:bCs/>
          <w:color w:val="000000"/>
          <w:kern w:val="2"/>
          <w:sz w:val="24"/>
          <w:szCs w:val="24"/>
          <w:lang w:eastAsia="zh-TW"/>
        </w:rPr>
        <w:t xml:space="preserve">) yang telah ditetapkan oleh AFAS. Sehingga minat berinvestasi di negara tersebut cukup banyak. Begitu juga dengan Laos yang kini menjadi negara yang mampu menarik investor untuk berinvestasi di negaranya dengan mengeluarkan berbagai macam kebijakan yang lebih mengakomodir </w:t>
      </w:r>
      <w:r w:rsidRPr="00F855D9">
        <w:rPr>
          <w:rFonts w:ascii="Times New Roman" w:eastAsia="PMingLiU" w:hAnsi="Times New Roman" w:cs="Times New Roman"/>
          <w:bCs/>
          <w:color w:val="000000"/>
          <w:kern w:val="2"/>
          <w:sz w:val="24"/>
          <w:szCs w:val="24"/>
          <w:lang w:eastAsia="zh-TW"/>
        </w:rPr>
        <w:lastRenderedPageBreak/>
        <w:t>masuknya investasi di sektor jasa konstruksi dengan baik. Indonesia sendiri diketahui mengalami kegagalan sebagai negara yang menjadi tujuan berinvestasi dalam sektor jasa konstruksi. Keadaan ini dikarenakan karena Indonesia masih memepertahankan 55% dari kepemilikan modal asing FEP (</w:t>
      </w:r>
      <w:r w:rsidRPr="00F855D9">
        <w:rPr>
          <w:rFonts w:ascii="Times New Roman" w:eastAsia="PMingLiU" w:hAnsi="Times New Roman" w:cs="Times New Roman"/>
          <w:bCs/>
          <w:i/>
          <w:color w:val="000000"/>
          <w:kern w:val="2"/>
          <w:sz w:val="24"/>
          <w:szCs w:val="24"/>
          <w:lang w:eastAsia="zh-TW"/>
        </w:rPr>
        <w:t xml:space="preserve">Foreign Equity Participation) </w:t>
      </w:r>
      <w:r w:rsidRPr="00F855D9">
        <w:rPr>
          <w:rFonts w:ascii="Times New Roman" w:eastAsia="PMingLiU" w:hAnsi="Times New Roman" w:cs="Times New Roman"/>
          <w:bCs/>
          <w:color w:val="000000"/>
          <w:kern w:val="2"/>
          <w:sz w:val="24"/>
          <w:szCs w:val="24"/>
          <w:lang w:eastAsia="zh-TW"/>
        </w:rPr>
        <w:t xml:space="preserve">dari paket AFAS yang telah disepakati. Banyaknya pembangunan di Indonesia tidak memicu minat para investor untuk berinvetasi di Indonesia meskipun menurut data dari </w:t>
      </w:r>
      <w:r w:rsidRPr="00F855D9">
        <w:rPr>
          <w:rFonts w:ascii="Times New Roman" w:eastAsia="PMingLiU" w:hAnsi="Times New Roman" w:cs="Times New Roman"/>
          <w:bCs/>
          <w:i/>
          <w:color w:val="000000"/>
          <w:kern w:val="2"/>
          <w:sz w:val="24"/>
          <w:szCs w:val="24"/>
          <w:lang w:eastAsia="zh-TW"/>
        </w:rPr>
        <w:t>World Bank</w:t>
      </w:r>
      <w:r w:rsidRPr="00F855D9">
        <w:rPr>
          <w:rFonts w:ascii="Times New Roman" w:eastAsia="PMingLiU" w:hAnsi="Times New Roman" w:cs="Times New Roman"/>
          <w:bCs/>
          <w:color w:val="000000"/>
          <w:kern w:val="2"/>
          <w:sz w:val="24"/>
          <w:szCs w:val="24"/>
          <w:lang w:eastAsia="zh-TW"/>
        </w:rPr>
        <w:t xml:space="preserve">, Indonesia merupakan pangsa pasar jasa konstruksi terbesar di ASEAN. Pada kenyataannya tidak mampu memikat para investor untuk berinvestasi di Indonesia. Faktor kemudahan berbisnis juga menjadi kendala dalam melakukan investasi di sektor jasa konstruksi di Indonesia. Era MEA yang telah berjalan selama satu tahun ini nyatanya tidak membawa perubahan yang signifikan dalam investasi di sektor jasa konstruksi di Indonesia. </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Kamboja, Filipina dan Thailand merupakan negara ke enam sebagai tujuan investasi diantara negara ASEAN lainnya. Minat investor untuk berinvestasi di sektor jasa di negara tersebut memang cukup rendah, hal ini disebabkan karena proteksi yang cukup kuat dari ketiga negara tersebut dalam investasi di negara masing – masing. Kamboja belum memiliki pengaturan yang singnifikan mengenai undang – undang persaingan sehingga pemerintah Kamboja berusaha melindungi investor dalam negeri untuk sektor jasa konstruksi dalam negeri yang lebih mengutamakan investor dalam negerinya sendiri. Filipina masih belum sepenuhnya mampu memikat investor dari negara ASEAN untuk dapat </w:t>
      </w:r>
      <w:r w:rsidRPr="00F855D9">
        <w:rPr>
          <w:rFonts w:ascii="Times New Roman" w:eastAsia="PMingLiU" w:hAnsi="Times New Roman" w:cs="Times New Roman"/>
          <w:bCs/>
          <w:color w:val="000000"/>
          <w:kern w:val="2"/>
          <w:sz w:val="24"/>
          <w:szCs w:val="24"/>
          <w:lang w:eastAsia="zh-TW"/>
        </w:rPr>
        <w:lastRenderedPageBreak/>
        <w:t>berinvestasi di negaranya, sektor jasa konstruksi di Filipina memang lebih banyak diminati oleh investor dari China. Kepercayaan Filipina terhadap investor China memang menjadi kendala bagi investor dari negara anggota ASEAN lainnya. Filipina yang berada di bawah presiden Rodrigo Duterte tersebut memang menjalin kerja sama dengan China terkait sengekta di wilayah laut China Selatan sehingga pemerintah Filipina saat ini lebih mengutamakan kerja sama dengan pihak China di berbagai bidang yang salah satunya adalah investasi di sektor jasa konstruksi. Thailand berda di posisi ke 8 dari 10 negara tujuan investasi di sektor jasa konstruksi di ASEAN yaitu sebanyak 8%. Kemampuan pelaku usaha dari Thailand dalam berinvestasi di luar wilayah Thailand tidak disertai dengan kemampuan dari Thailand itu sendiri untuk menarik minat investor asing. Konflik negara menjadi alasan terkuat kurang minatnya investor untuk berinvestasi di Thailand meskipun Thailand merupakan salah satu negara dengan kemudahan berbisnis yang tinggi di ASEAN. Negara Brunei dan Singapura memang menjadi negara yang tidak diminati investor dalam sektor konstruksi, dikarenakan rendahnya pembangunan di dua negara tersebut. Rendahnya pembangunan diakibatkan karena kedua negara tersebut dianggap merupakan negara paling maju diantara negara ASEAN lainnya dalam bidang konstruksi. Minat investor tidaklah lemah untuk dua negara tersebut, akan tetapi keinginan berinvestasi kepada dua negara tersebut tidak disertai dengan pasar konstruksi yang luas mengingat terbatasnya wilayah kedua negara tersebut.</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Perkembangan arus investasi antar perusahaan di ASEAN saat ini </w:t>
      </w:r>
      <w:r w:rsidRPr="00F855D9">
        <w:rPr>
          <w:rFonts w:ascii="Times New Roman" w:eastAsia="PMingLiU" w:hAnsi="Times New Roman" w:cs="Times New Roman"/>
          <w:bCs/>
          <w:color w:val="000000"/>
          <w:kern w:val="2"/>
          <w:sz w:val="24"/>
          <w:szCs w:val="24"/>
          <w:lang w:eastAsia="zh-TW"/>
        </w:rPr>
        <w:lastRenderedPageBreak/>
        <w:t>dikuasai oleh Singapura, Malaysia dan Thailand. Myanmar menjadi negara dengan tujuan investasi terbesar pada era MEA ini. Indonesia sendiri hanya berada di peringkkat 5 untuk negara tujuan investasi yang dianggap menjanjikan. Perusahaan – perusahaan asing yang berinvestasi dalam sektor jasa konstruksi lebih memilih negara dengan indek pembangunan yang baik dan regulasi yang memudahakan investasi mereka. Myanmar, Vietnam, Kamboja serta Laos merupakan negara berkembang yang sedang melakukan pembangunan dalam negeri secara besar – besaran. Beberapa perusahaan konstruksi dari Singapura, Malaysia dan Thailand telah memenagkan tender lelang pembangunan infrastruktur di negara Myanmar, Vietnam, Kamboja serta Laos. Pelaku usaha sektor jasa konstruksi Indonesia sendiri juga telah memenangkan lelang pengerjaan infrastruktur dan berinvestasi di beberapa negara tersebut, akan tetapi pelaku usaha dari Singapura, Malaysia dan Thailand yang masih merajai arus investasi dalam sektor jasa konstruksi di ASEAN dalam MEA. Indonesia sendiri telah membuat kebijakan yang dapat menjadi tujuan utama investor, adalah dengan ditetapkannya undang – undang nomor 25 Tahun 2007 tentang Penanaman Modal yang menjamin diterapkannya perlakuan yang sama, tanpa persyaratan modal minimum, bebas pengembalian keuntungan, jaminan hukum, penyelesaian sengketa dan pelayanan investasi. Peraturan Pemerintah No. 24 Tahun 1994 juga merupakan suatu jaminan kepastian dalam berusaha. Berikut ini adalah hal-hal yang tertuang dalam Peraturan Pemerintah tersebut :</w:t>
      </w:r>
      <w:r w:rsidRPr="00F855D9">
        <w:rPr>
          <w:rFonts w:ascii="Times New Roman" w:eastAsia="PMingLiU" w:hAnsi="Times New Roman" w:cs="Times New Roman"/>
          <w:bCs/>
          <w:color w:val="000000"/>
          <w:kern w:val="2"/>
          <w:sz w:val="24"/>
          <w:szCs w:val="24"/>
          <w:vertAlign w:val="superscript"/>
          <w:lang w:eastAsia="zh-TW"/>
        </w:rPr>
        <w:footnoteReference w:id="100"/>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lastRenderedPageBreak/>
        <w:t>1. Penanaman modal asing dapat dilakukan dalam bentuk :</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a. Usaha patungan antara modal asing dengan modal dalam negeri atau badan hukum Indonesia, dengan ketentuan peserta Indonesia harus memiliki paling sedikit 5 % dari jumlah modal disetor sejak pendirian perusahaan PMA</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 Atau investasi langsung, dalam arti seluruh modalnya dimiliki oleh warga negara dan atau badan hukum asing, dengan ketentuan dalam waktu</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paling lama 15 tahun sejak produksi komersil, sebagian saham asing harus dijual kepada Warga Negara dan atau badan hukum Indonesia melalui pemilikan langsung berdasarkan kesepakatan masing-masing pihak dan atau melalui pasar modal. Dengan demikian persyaratan pemilikan saham lokal mayoritas yang berlaku sebelum deregulasi telah dihapus.</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2. Ketentuan investasi minimum bagi PMA ditiadakan. Jumlah investasi yang ditanamkan dalam rangka PMA diterapkan berdasarkan kelayakan ekonomi kegiatan usahanya.</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3. PMA yang sudah berproduksi komersil dapat mendirikan perusahaan baru dan atau membeli saham perusahaan yang didirikan berdasarkan PMDN dan atau bukan PMDN melalui pemilikan langsung, sepanjang bidang usaha dari perusahaan yang sahamnya dibeli tersebut dinyatakan terbuka bagi PMA.</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4. Kegiatan usaha PMA dapat berlokasi di seluruh wilayah Indonesia, namun bagi daerah yang telah memiliki Kawasan Berikat (Kawasan Industri), lokasi kegiatan PMA tersebut diutamakan didalam kawasan tersebut).</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5. Izin usaha PMA berlaku untuk jangka 30 tahun dihitung sejak produksi komersil, dan dapat diperpanjang apabila perusahaan yang dimaksud masih tetap menjalankan usahanya yang bermanfaat bagi perekonomian dan pembangunan nasional.</w:t>
      </w:r>
    </w:p>
    <w:p w:rsidR="00F855D9" w:rsidRPr="00F855D9" w:rsidRDefault="00F855D9" w:rsidP="00915C1B">
      <w:pPr>
        <w:widowControl w:val="0"/>
        <w:spacing w:after="0" w:line="240" w:lineRule="auto"/>
        <w:ind w:left="709"/>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Percepatan investasi di Indonesia tertinggal dibandingkan dengan negara ASEAN lainnya. Namun, kekayaan sumber alam Indonesia yang tidak ada duanya di kawasan, ini merupakan keuntungan (</w:t>
      </w:r>
      <w:r w:rsidRPr="00F855D9">
        <w:rPr>
          <w:rFonts w:ascii="Times New Roman" w:eastAsia="PMingLiU" w:hAnsi="Times New Roman" w:cs="Times New Roman"/>
          <w:bCs/>
          <w:i/>
          <w:color w:val="000000"/>
          <w:kern w:val="2"/>
          <w:sz w:val="24"/>
          <w:szCs w:val="24"/>
          <w:lang w:eastAsia="zh-TW"/>
        </w:rPr>
        <w:t>local-advantage</w:t>
      </w:r>
      <w:r w:rsidRPr="00F855D9">
        <w:rPr>
          <w:rFonts w:ascii="Times New Roman" w:eastAsia="PMingLiU" w:hAnsi="Times New Roman" w:cs="Times New Roman"/>
          <w:bCs/>
          <w:color w:val="000000"/>
          <w:kern w:val="2"/>
          <w:sz w:val="24"/>
          <w:szCs w:val="24"/>
          <w:lang w:eastAsia="zh-TW"/>
        </w:rPr>
        <w:t xml:space="preserve">) yang tetap menjadi daya tarik kuat, di samping jumlah penduduknya terbesar yang dapat menyediakan tenaga kerja murah. Setelah krisis ekonomi 1998 yang belum juga hilang dari Indonesia masih berdampak pada rendahnya pertumbuhan investasi baru, semakin merosotnya kepercayaan dunia usaha, yang pada gilirannya menghambat pertumbuhan ekonomi nasional. Hal tersebut disebabkan buruknya infrastruktur ekonomi, instabilitas makro ekonomi, ketidakpastian hukum dan kebijakan </w:t>
      </w:r>
      <w:r w:rsidRPr="00F855D9">
        <w:rPr>
          <w:rFonts w:ascii="Times New Roman" w:eastAsia="PMingLiU" w:hAnsi="Times New Roman" w:cs="Times New Roman"/>
          <w:bCs/>
          <w:color w:val="000000"/>
          <w:kern w:val="2"/>
          <w:sz w:val="24"/>
          <w:szCs w:val="24"/>
          <w:lang w:eastAsia="zh-TW"/>
        </w:rPr>
        <w:lastRenderedPageBreak/>
        <w:t>ekonomi, biaya tinggi dan lain-lain.</w:t>
      </w:r>
    </w:p>
    <w:p w:rsidR="00F855D9" w:rsidRDefault="00915C1B"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r>
        <w:rPr>
          <w:rFonts w:ascii="Times New Roman" w:eastAsia="PMingLiU" w:hAnsi="Times New Roman" w:cs="Times New Roman"/>
          <w:bCs/>
          <w:color w:val="000000"/>
          <w:kern w:val="2"/>
          <w:sz w:val="24"/>
          <w:szCs w:val="24"/>
          <w:lang w:eastAsia="zh-TW"/>
        </w:rPr>
        <w:t>K</w:t>
      </w:r>
      <w:r w:rsidR="00F855D9" w:rsidRPr="00F855D9">
        <w:rPr>
          <w:rFonts w:ascii="Times New Roman" w:eastAsia="PMingLiU" w:hAnsi="Times New Roman" w:cs="Times New Roman"/>
          <w:bCs/>
          <w:color w:val="000000"/>
          <w:kern w:val="2"/>
          <w:sz w:val="24"/>
          <w:szCs w:val="24"/>
          <w:lang w:eastAsia="zh-TW"/>
        </w:rPr>
        <w:t>epentingan nasional</w:t>
      </w:r>
      <w:r>
        <w:rPr>
          <w:rFonts w:ascii="Times New Roman" w:eastAsia="PMingLiU" w:hAnsi="Times New Roman" w:cs="Times New Roman"/>
          <w:bCs/>
          <w:color w:val="000000"/>
          <w:kern w:val="2"/>
          <w:sz w:val="24"/>
          <w:szCs w:val="24"/>
          <w:lang w:eastAsia="zh-TW"/>
        </w:rPr>
        <w:t xml:space="preserve"> dalam integrasi ekonomi</w:t>
      </w:r>
      <w:r w:rsidR="00F855D9" w:rsidRPr="00F855D9">
        <w:rPr>
          <w:rFonts w:ascii="Times New Roman" w:eastAsia="PMingLiU" w:hAnsi="Times New Roman" w:cs="Times New Roman"/>
          <w:bCs/>
          <w:color w:val="000000"/>
          <w:kern w:val="2"/>
          <w:sz w:val="24"/>
          <w:szCs w:val="24"/>
          <w:lang w:eastAsia="zh-TW"/>
        </w:rPr>
        <w:t xml:space="preserve"> merupakan yang utama yang harus diamankan oleh negara anggota ASEAN. Kepentingan kawasan, apabila tidak sejalan dengan kepentingan nasional, merupakan prioritas kedua. Hal ini berdampak pada sulitnya mencapai dan melaksanakan komitmen liberalisasi AEC </w:t>
      </w:r>
      <w:r w:rsidR="00F855D9" w:rsidRPr="00F855D9">
        <w:rPr>
          <w:rFonts w:ascii="Times New Roman" w:eastAsia="PMingLiU" w:hAnsi="Times New Roman" w:cs="Times New Roman"/>
          <w:bCs/>
          <w:i/>
          <w:color w:val="000000"/>
          <w:kern w:val="2"/>
          <w:sz w:val="24"/>
          <w:szCs w:val="24"/>
          <w:lang w:eastAsia="zh-TW"/>
        </w:rPr>
        <w:t>Blueprint</w:t>
      </w:r>
      <w:r w:rsidR="00F855D9" w:rsidRPr="00F855D9">
        <w:rPr>
          <w:rFonts w:ascii="Times New Roman" w:eastAsia="PMingLiU" w:hAnsi="Times New Roman" w:cs="Times New Roman"/>
          <w:bCs/>
          <w:color w:val="000000"/>
          <w:kern w:val="2"/>
          <w:sz w:val="24"/>
          <w:szCs w:val="24"/>
          <w:lang w:eastAsia="zh-TW"/>
        </w:rPr>
        <w:t xml:space="preserve">. Dapat dikatakan, kelemahan visi dan mandat secara politik serta masalah kepemimpinan di kawasan akan menghambat integrasi kawasan. Selama ini ASEAN selalu menggunakan pendekatan </w:t>
      </w:r>
      <w:r w:rsidR="00F855D9" w:rsidRPr="00F855D9">
        <w:rPr>
          <w:rFonts w:ascii="Times New Roman" w:eastAsia="PMingLiU" w:hAnsi="Times New Roman" w:cs="Times New Roman"/>
          <w:bCs/>
          <w:i/>
          <w:color w:val="000000"/>
          <w:kern w:val="2"/>
          <w:sz w:val="24"/>
          <w:szCs w:val="24"/>
          <w:lang w:eastAsia="zh-TW"/>
        </w:rPr>
        <w:t>voluntary approach</w:t>
      </w:r>
      <w:r w:rsidR="00F855D9" w:rsidRPr="00F855D9">
        <w:rPr>
          <w:rFonts w:ascii="Times New Roman" w:eastAsia="PMingLiU" w:hAnsi="Times New Roman" w:cs="Times New Roman"/>
          <w:bCs/>
          <w:color w:val="000000"/>
          <w:kern w:val="2"/>
          <w:sz w:val="24"/>
          <w:szCs w:val="24"/>
          <w:lang w:eastAsia="zh-TW"/>
        </w:rPr>
        <w:t xml:space="preserve"> dalam berbagai inisiatif kerja sama yang terbentuk di ASEAN sehingga </w:t>
      </w:r>
      <w:r w:rsidR="00F855D9" w:rsidRPr="00F855D9">
        <w:rPr>
          <w:rFonts w:ascii="Times New Roman" w:eastAsia="PMingLiU" w:hAnsi="Times New Roman" w:cs="Times New Roman"/>
          <w:bCs/>
          <w:i/>
          <w:color w:val="000000"/>
          <w:kern w:val="2"/>
          <w:sz w:val="24"/>
          <w:szCs w:val="24"/>
          <w:lang w:eastAsia="zh-TW"/>
        </w:rPr>
        <w:t>group pressure</w:t>
      </w:r>
      <w:r w:rsidR="00F855D9" w:rsidRPr="00F855D9">
        <w:rPr>
          <w:rFonts w:ascii="Times New Roman" w:eastAsia="PMingLiU" w:hAnsi="Times New Roman" w:cs="Times New Roman"/>
          <w:bCs/>
          <w:color w:val="000000"/>
          <w:kern w:val="2"/>
          <w:sz w:val="24"/>
          <w:szCs w:val="24"/>
          <w:lang w:eastAsia="zh-TW"/>
        </w:rPr>
        <w:t xml:space="preserve"> diantara sesama negara anggota lemah. Pemerintah memiliki peran strategis dalam pembinaan konstruksi dan investasi. Secara praktis peran pembinaan ini sangat erat kaitannya dengan domain manajemen pemerintah dalam melakukan pengaturan, pengawasan dan pemberdayaan sektor konstruksi. Secara praktis, domain manajemen pemerintah terkait dengan urusan pembinaan konstruksi dan investasi di sektor konstruksi adalah perdagangan konstruksi  dan industri konstruksi.</w:t>
      </w:r>
    </w:p>
    <w:p w:rsidR="000A776B" w:rsidRPr="00F855D9" w:rsidRDefault="000A776B" w:rsidP="00915C1B">
      <w:pPr>
        <w:widowControl w:val="0"/>
        <w:spacing w:after="0" w:line="480" w:lineRule="auto"/>
        <w:ind w:left="709" w:firstLine="720"/>
        <w:jc w:val="both"/>
        <w:rPr>
          <w:rFonts w:ascii="Times New Roman" w:eastAsia="PMingLiU" w:hAnsi="Times New Roman" w:cs="Times New Roman"/>
          <w:bCs/>
          <w:color w:val="000000"/>
          <w:kern w:val="2"/>
          <w:sz w:val="24"/>
          <w:szCs w:val="24"/>
          <w:lang w:eastAsia="zh-TW"/>
        </w:rPr>
      </w:pPr>
    </w:p>
    <w:p w:rsidR="00F855D9" w:rsidRPr="00F855D9" w:rsidRDefault="00F855D9" w:rsidP="003D7355">
      <w:pPr>
        <w:widowControl w:val="0"/>
        <w:numPr>
          <w:ilvl w:val="0"/>
          <w:numId w:val="39"/>
        </w:numPr>
        <w:spacing w:after="0" w:line="480" w:lineRule="auto"/>
        <w:ind w:left="426"/>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Perbandingan persaingan tenaga kerja di bidang jasa konstruksi antara Indonesia dengan negara anggota ASEAN lainnya</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Daya saing di sektor konstruksi yang sangat berpengaruh dengan persaingan perdagangan jasa adalah tenaga kerja di sektor konstruksi yang meliputi tenaga terampil, arsitektur dan sarjana teknik. Kualitas infrastruktur dalam negeri Indonesia hanya berperingkat ke-5 di ASEAN. </w:t>
      </w:r>
      <w:r w:rsidRPr="00F855D9">
        <w:rPr>
          <w:rFonts w:ascii="Times New Roman" w:eastAsia="PMingLiU" w:hAnsi="Times New Roman" w:cs="Times New Roman"/>
          <w:bCs/>
          <w:color w:val="000000"/>
          <w:kern w:val="2"/>
          <w:sz w:val="24"/>
          <w:szCs w:val="24"/>
          <w:lang w:eastAsia="zh-TW"/>
        </w:rPr>
        <w:lastRenderedPageBreak/>
        <w:t xml:space="preserve">Lalu, sumber daya manusia Indonesia malah hanya berperingkat ke-6 di ASEAN. Potret profesi sarjana teknik pun tak jauh berbeda. Secara kuantitatif jumlah sarjana teknik Indonesia masih kurang untuk memenuhi kebutuhan dalam negeri. Berdasarkan </w:t>
      </w:r>
      <w:r w:rsidRPr="00F855D9">
        <w:rPr>
          <w:rFonts w:ascii="Times New Roman" w:eastAsia="PMingLiU" w:hAnsi="Times New Roman" w:cs="Times New Roman"/>
          <w:bCs/>
          <w:i/>
          <w:color w:val="000000"/>
          <w:kern w:val="2"/>
          <w:sz w:val="24"/>
          <w:szCs w:val="24"/>
          <w:lang w:eastAsia="zh-TW"/>
        </w:rPr>
        <w:t>Project Management Institute</w:t>
      </w:r>
      <w:r w:rsidRPr="00F855D9">
        <w:rPr>
          <w:rFonts w:ascii="Times New Roman" w:eastAsia="PMingLiU" w:hAnsi="Times New Roman" w:cs="Times New Roman"/>
          <w:bCs/>
          <w:color w:val="000000"/>
          <w:kern w:val="2"/>
          <w:sz w:val="24"/>
          <w:szCs w:val="24"/>
          <w:lang w:eastAsia="zh-TW"/>
        </w:rPr>
        <w:t xml:space="preserve"> Indonesia memerlukan penambahan sarjana teknik sebanyak 65.000 orang, sedangkan penambahan tenaga sarjana teknik Indonesia hanya sebesar 36.000 orang. ASEAN </w:t>
      </w:r>
      <w:r w:rsidRPr="00F855D9">
        <w:rPr>
          <w:rFonts w:ascii="Times New Roman" w:eastAsia="PMingLiU" w:hAnsi="Times New Roman" w:cs="Times New Roman"/>
          <w:bCs/>
          <w:i/>
          <w:color w:val="000000"/>
          <w:kern w:val="2"/>
          <w:sz w:val="24"/>
          <w:szCs w:val="24"/>
          <w:lang w:eastAsia="zh-TW"/>
        </w:rPr>
        <w:t>Federation of Engineering Organisations</w:t>
      </w:r>
      <w:r w:rsidRPr="00F855D9">
        <w:rPr>
          <w:rFonts w:ascii="Times New Roman" w:eastAsia="PMingLiU" w:hAnsi="Times New Roman" w:cs="Times New Roman"/>
          <w:bCs/>
          <w:color w:val="000000"/>
          <w:kern w:val="2"/>
          <w:sz w:val="24"/>
          <w:szCs w:val="24"/>
          <w:lang w:eastAsia="zh-TW"/>
        </w:rPr>
        <w:t xml:space="preserve"> (AFEO) menjelaskan bahwa  jumlah sarjana teknik profesional Indonesia hanya sekitar 9.000 orang. Jumlah itu masih lebih sedikit jika dibandingkan dengan negara- ASEAN lainnya, seperti Malaysia (11.170 orang), Thailand (23.000 orang), dan Filipina (14.250 orang). Secara kualitatif, tenaga sarjana teknik profesional Indonesia masih sedikit yang memenuhi standar </w:t>
      </w:r>
      <w:r w:rsidRPr="00F855D9">
        <w:rPr>
          <w:rFonts w:ascii="Times New Roman" w:eastAsia="PMingLiU" w:hAnsi="Times New Roman" w:cs="Times New Roman"/>
          <w:bCs/>
          <w:i/>
          <w:color w:val="000000"/>
          <w:kern w:val="2"/>
          <w:sz w:val="24"/>
          <w:szCs w:val="24"/>
          <w:lang w:eastAsia="zh-TW"/>
        </w:rPr>
        <w:t>Mutual Recognition Arrangements</w:t>
      </w:r>
      <w:r w:rsidRPr="00F855D9">
        <w:rPr>
          <w:rFonts w:ascii="Times New Roman" w:eastAsia="PMingLiU" w:hAnsi="Times New Roman" w:cs="Times New Roman"/>
          <w:bCs/>
          <w:color w:val="000000"/>
          <w:kern w:val="2"/>
          <w:sz w:val="24"/>
          <w:szCs w:val="24"/>
          <w:lang w:eastAsia="zh-TW"/>
        </w:rPr>
        <w:t xml:space="preserve"> (MRA) – standar yang bertujuan mengurangi hambatan teknis perdagangan jasa dan menentukan persyaratan umum liberalisasi sektor jasa di kawasan ASEAN. Dalam kerangka MRA ini, jumlah sarjana teknik Indonesia yang sudah diakui sebagai sarjana teknik profesional dan bisa berpraktik di negara ASEAN lainnya, diperkirakan hanya sekitar 0,03 persen dari total sarjana teknik asal Indonesia. Jumlah sarjana teknik Indonesia yang tercatat sebagai ACPE merupakan yang terbesar di ASEAN. </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Dalam rangka memfasilitasi arus bebas tenaga kerja terampil, hingga tahun 2009, ASEAN telah menyusun dan menyepakati beberapa MRA yang diharapkan dapat memfasilitasi pergerakan arus tenaga kerja terampil secara bebas di wilayah ASEAN. Penyusunan dan pembahasan </w:t>
      </w:r>
      <w:r w:rsidRPr="00F855D9">
        <w:rPr>
          <w:rFonts w:ascii="Times New Roman" w:eastAsia="PMingLiU" w:hAnsi="Times New Roman" w:cs="Times New Roman"/>
          <w:bCs/>
          <w:color w:val="000000"/>
          <w:kern w:val="2"/>
          <w:sz w:val="24"/>
          <w:szCs w:val="24"/>
          <w:lang w:eastAsia="zh-TW"/>
        </w:rPr>
        <w:lastRenderedPageBreak/>
        <w:t xml:space="preserve">MRAs tersebut dilakukan dalam pertemuan </w:t>
      </w:r>
      <w:r w:rsidRPr="00F855D9">
        <w:rPr>
          <w:rFonts w:ascii="Times New Roman" w:eastAsia="PMingLiU" w:hAnsi="Times New Roman" w:cs="Times New Roman"/>
          <w:bCs/>
          <w:i/>
          <w:color w:val="000000"/>
          <w:kern w:val="2"/>
          <w:sz w:val="24"/>
          <w:szCs w:val="24"/>
          <w:lang w:eastAsia="zh-TW"/>
        </w:rPr>
        <w:t>Sectoral Working Groups</w:t>
      </w:r>
      <w:r w:rsidRPr="00F855D9">
        <w:rPr>
          <w:rFonts w:ascii="Times New Roman" w:eastAsia="PMingLiU" w:hAnsi="Times New Roman" w:cs="Times New Roman"/>
          <w:bCs/>
          <w:color w:val="000000"/>
          <w:kern w:val="2"/>
          <w:sz w:val="24"/>
          <w:szCs w:val="24"/>
          <w:lang w:eastAsia="zh-TW"/>
        </w:rPr>
        <w:t xml:space="preserve"> dibawah koordinasi </w:t>
      </w:r>
      <w:r w:rsidRPr="00F855D9">
        <w:rPr>
          <w:rFonts w:ascii="Times New Roman" w:eastAsia="PMingLiU" w:hAnsi="Times New Roman" w:cs="Times New Roman"/>
          <w:bCs/>
          <w:i/>
          <w:color w:val="000000"/>
          <w:kern w:val="2"/>
          <w:sz w:val="24"/>
          <w:szCs w:val="24"/>
          <w:lang w:eastAsia="zh-TW"/>
        </w:rPr>
        <w:t>Coordinating Committee on Services</w:t>
      </w:r>
      <w:r w:rsidRPr="00F855D9">
        <w:rPr>
          <w:rFonts w:ascii="Times New Roman" w:eastAsia="PMingLiU" w:hAnsi="Times New Roman" w:cs="Times New Roman"/>
          <w:bCs/>
          <w:color w:val="000000"/>
          <w:kern w:val="2"/>
          <w:sz w:val="24"/>
          <w:szCs w:val="24"/>
          <w:lang w:eastAsia="zh-TW"/>
        </w:rPr>
        <w:t xml:space="preserve"> (CCS). Sebanyak 7 (tujuh) MRAs yang sudah disepakati/ditandatangani pada waktu</w:t>
      </w:r>
      <w:r w:rsidRPr="00F855D9">
        <w:rPr>
          <w:rFonts w:ascii="Times New Roman" w:eastAsia="PMingLiU" w:hAnsi="Times New Roman" w:cs="Times New Roman"/>
          <w:kern w:val="2"/>
          <w:sz w:val="24"/>
          <w:szCs w:val="24"/>
          <w:lang w:val="en-US" w:eastAsia="zh-TW"/>
        </w:rPr>
        <w:t xml:space="preserve"> </w:t>
      </w:r>
      <w:r w:rsidRPr="00F855D9">
        <w:rPr>
          <w:rFonts w:ascii="Times New Roman" w:eastAsia="PMingLiU" w:hAnsi="Times New Roman" w:cs="Times New Roman"/>
          <w:bCs/>
          <w:color w:val="000000"/>
          <w:kern w:val="2"/>
          <w:sz w:val="24"/>
          <w:szCs w:val="24"/>
          <w:lang w:eastAsia="zh-TW"/>
        </w:rPr>
        <w:t xml:space="preserve">yang berbeda-beda, dan satu-satunya MRA yang sudah diimplementasikan adalah </w:t>
      </w:r>
      <w:r w:rsidRPr="00F855D9">
        <w:rPr>
          <w:rFonts w:ascii="Times New Roman" w:eastAsia="PMingLiU" w:hAnsi="Times New Roman" w:cs="Times New Roman"/>
          <w:bCs/>
          <w:i/>
          <w:color w:val="000000"/>
          <w:kern w:val="2"/>
          <w:sz w:val="24"/>
          <w:szCs w:val="24"/>
          <w:lang w:eastAsia="zh-TW"/>
        </w:rPr>
        <w:t>MRA on Engineering Services</w:t>
      </w:r>
      <w:r w:rsidRPr="00F855D9">
        <w:rPr>
          <w:rFonts w:ascii="Times New Roman" w:eastAsia="PMingLiU" w:hAnsi="Times New Roman" w:cs="Times New Roman"/>
          <w:bCs/>
          <w:color w:val="000000"/>
          <w:kern w:val="2"/>
          <w:sz w:val="24"/>
          <w:szCs w:val="24"/>
          <w:lang w:eastAsia="zh-TW"/>
        </w:rPr>
        <w:t>. Berikut ini adalah ketujuh MRAs dimaksud :</w:t>
      </w:r>
    </w:p>
    <w:p w:rsidR="00F855D9" w:rsidRPr="00F855D9" w:rsidRDefault="00F855D9" w:rsidP="003D7355">
      <w:pPr>
        <w:widowControl w:val="0"/>
        <w:numPr>
          <w:ilvl w:val="0"/>
          <w:numId w:val="42"/>
        </w:numPr>
        <w:spacing w:after="0" w:line="48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ASEAN MRA on Engineering Services</w:t>
      </w:r>
      <w:r w:rsidRPr="00F855D9">
        <w:rPr>
          <w:rFonts w:ascii="Times New Roman" w:eastAsia="PMingLiU" w:hAnsi="Times New Roman" w:cs="Times New Roman"/>
          <w:bCs/>
          <w:color w:val="000000"/>
          <w:kern w:val="2"/>
          <w:sz w:val="24"/>
          <w:szCs w:val="24"/>
          <w:lang w:eastAsia="zh-TW"/>
        </w:rPr>
        <w:t>, tanggal 9 December 2005 di Kuala Lumpur</w:t>
      </w:r>
    </w:p>
    <w:p w:rsidR="00F855D9" w:rsidRPr="00F855D9" w:rsidRDefault="00F855D9" w:rsidP="003D7355">
      <w:pPr>
        <w:widowControl w:val="0"/>
        <w:numPr>
          <w:ilvl w:val="0"/>
          <w:numId w:val="42"/>
        </w:numPr>
        <w:spacing w:after="0" w:line="48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ASEAN MRA on Nursing Services</w:t>
      </w:r>
      <w:r w:rsidRPr="00F855D9">
        <w:rPr>
          <w:rFonts w:ascii="Times New Roman" w:eastAsia="PMingLiU" w:hAnsi="Times New Roman" w:cs="Times New Roman"/>
          <w:bCs/>
          <w:color w:val="000000"/>
          <w:kern w:val="2"/>
          <w:sz w:val="24"/>
          <w:szCs w:val="24"/>
          <w:lang w:eastAsia="zh-TW"/>
        </w:rPr>
        <w:t>, tanggal 8 Des 2006 di Cebu, Filipina,</w:t>
      </w:r>
    </w:p>
    <w:p w:rsidR="00F855D9" w:rsidRPr="00F855D9" w:rsidRDefault="00F855D9" w:rsidP="003D7355">
      <w:pPr>
        <w:widowControl w:val="0"/>
        <w:numPr>
          <w:ilvl w:val="0"/>
          <w:numId w:val="42"/>
        </w:numPr>
        <w:spacing w:after="0" w:line="48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ASEAN MRA on Architectural Services</w:t>
      </w:r>
      <w:r w:rsidRPr="00F855D9">
        <w:rPr>
          <w:rFonts w:ascii="Times New Roman" w:eastAsia="PMingLiU" w:hAnsi="Times New Roman" w:cs="Times New Roman"/>
          <w:bCs/>
          <w:color w:val="000000"/>
          <w:kern w:val="2"/>
          <w:sz w:val="24"/>
          <w:szCs w:val="24"/>
          <w:lang w:eastAsia="zh-TW"/>
        </w:rPr>
        <w:t>, 19 November 2007 di Singapura,</w:t>
      </w:r>
    </w:p>
    <w:p w:rsidR="00F855D9" w:rsidRPr="00F855D9" w:rsidRDefault="00F855D9" w:rsidP="003D7355">
      <w:pPr>
        <w:widowControl w:val="0"/>
        <w:numPr>
          <w:ilvl w:val="0"/>
          <w:numId w:val="42"/>
        </w:numPr>
        <w:spacing w:after="0" w:line="48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ASEAN Framework Arrangement for the Mutual Recognition of Surveying Qualifications</w:t>
      </w:r>
      <w:r w:rsidRPr="00F855D9">
        <w:rPr>
          <w:rFonts w:ascii="Times New Roman" w:eastAsia="PMingLiU" w:hAnsi="Times New Roman" w:cs="Times New Roman"/>
          <w:bCs/>
          <w:color w:val="000000"/>
          <w:kern w:val="2"/>
          <w:sz w:val="24"/>
          <w:szCs w:val="24"/>
          <w:lang w:eastAsia="zh-TW"/>
        </w:rPr>
        <w:t xml:space="preserve"> , tanggal 19 November 2007 di Singapura, </w:t>
      </w:r>
      <w:r w:rsidRPr="00F855D9">
        <w:rPr>
          <w:rFonts w:ascii="Times New Roman" w:eastAsia="PMingLiU" w:hAnsi="Times New Roman" w:cs="Times New Roman"/>
          <w:bCs/>
          <w:i/>
          <w:color w:val="000000"/>
          <w:kern w:val="2"/>
          <w:sz w:val="24"/>
          <w:szCs w:val="24"/>
          <w:lang w:eastAsia="zh-TW"/>
        </w:rPr>
        <w:t xml:space="preserve">ASEAN MRA on Medical Practitioners, </w:t>
      </w:r>
      <w:r w:rsidRPr="00F855D9">
        <w:rPr>
          <w:rFonts w:ascii="Times New Roman" w:eastAsia="PMingLiU" w:hAnsi="Times New Roman" w:cs="Times New Roman"/>
          <w:bCs/>
          <w:color w:val="000000"/>
          <w:kern w:val="2"/>
          <w:sz w:val="24"/>
          <w:szCs w:val="24"/>
          <w:lang w:eastAsia="zh-TW"/>
        </w:rPr>
        <w:t>tanggal 26 Februari 2009 di Cha-am, Thailand</w:t>
      </w:r>
    </w:p>
    <w:p w:rsidR="00F855D9" w:rsidRPr="00F855D9" w:rsidRDefault="00F855D9" w:rsidP="003D7355">
      <w:pPr>
        <w:widowControl w:val="0"/>
        <w:numPr>
          <w:ilvl w:val="0"/>
          <w:numId w:val="42"/>
        </w:numPr>
        <w:spacing w:after="0" w:line="48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ASEAN MRA on Dental Practitioners</w:t>
      </w:r>
      <w:r w:rsidRPr="00F855D9">
        <w:rPr>
          <w:rFonts w:ascii="Times New Roman" w:eastAsia="PMingLiU" w:hAnsi="Times New Roman" w:cs="Times New Roman"/>
          <w:bCs/>
          <w:color w:val="000000"/>
          <w:kern w:val="2"/>
          <w:sz w:val="24"/>
          <w:szCs w:val="24"/>
          <w:lang w:eastAsia="zh-TW"/>
        </w:rPr>
        <w:t>, tanggal 26 Februari 2009 di Cha-am, Thailand</w:t>
      </w:r>
    </w:p>
    <w:p w:rsidR="00F855D9" w:rsidRPr="00F855D9" w:rsidRDefault="00F855D9" w:rsidP="003D7355">
      <w:pPr>
        <w:widowControl w:val="0"/>
        <w:numPr>
          <w:ilvl w:val="0"/>
          <w:numId w:val="42"/>
        </w:numPr>
        <w:spacing w:after="0" w:line="48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ASEAN MRA Framework on Accountancy Services</w:t>
      </w:r>
      <w:r w:rsidRPr="00F855D9">
        <w:rPr>
          <w:rFonts w:ascii="Times New Roman" w:eastAsia="PMingLiU" w:hAnsi="Times New Roman" w:cs="Times New Roman"/>
          <w:bCs/>
          <w:color w:val="000000"/>
          <w:kern w:val="2"/>
          <w:sz w:val="24"/>
          <w:szCs w:val="24"/>
          <w:lang w:eastAsia="zh-TW"/>
        </w:rPr>
        <w:t>, tanggal 26 Februari 2009 di Cha-am, Thailand,</w:t>
      </w:r>
    </w:p>
    <w:p w:rsidR="00F855D9" w:rsidRPr="00F855D9" w:rsidRDefault="00F855D9" w:rsidP="003D7355">
      <w:pPr>
        <w:widowControl w:val="0"/>
        <w:numPr>
          <w:ilvl w:val="0"/>
          <w:numId w:val="42"/>
        </w:numPr>
        <w:spacing w:after="0" w:line="480" w:lineRule="auto"/>
        <w:ind w:left="1134"/>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i/>
          <w:color w:val="000000"/>
          <w:kern w:val="2"/>
          <w:sz w:val="24"/>
          <w:szCs w:val="24"/>
          <w:lang w:eastAsia="zh-TW"/>
        </w:rPr>
        <w:t>ASEAN Sectoral MRA for Good Manufacturing Practice</w:t>
      </w:r>
      <w:r w:rsidRPr="00F855D9">
        <w:rPr>
          <w:rFonts w:ascii="Times New Roman" w:eastAsia="PMingLiU" w:hAnsi="Times New Roman" w:cs="Times New Roman"/>
          <w:bCs/>
          <w:color w:val="000000"/>
          <w:kern w:val="2"/>
          <w:sz w:val="24"/>
          <w:szCs w:val="24"/>
          <w:lang w:eastAsia="zh-TW"/>
        </w:rPr>
        <w:t xml:space="preserve"> (GMP) </w:t>
      </w:r>
      <w:r w:rsidRPr="00F855D9">
        <w:rPr>
          <w:rFonts w:ascii="Times New Roman" w:eastAsia="PMingLiU" w:hAnsi="Times New Roman" w:cs="Times New Roman"/>
          <w:bCs/>
          <w:i/>
          <w:color w:val="000000"/>
          <w:kern w:val="2"/>
          <w:sz w:val="24"/>
          <w:szCs w:val="24"/>
          <w:lang w:eastAsia="zh-TW"/>
        </w:rPr>
        <w:t>Inspection of Manufacturers of Medicinal Products,</w:t>
      </w:r>
      <w:r w:rsidRPr="00F855D9">
        <w:rPr>
          <w:rFonts w:ascii="Times New Roman" w:eastAsia="PMingLiU" w:hAnsi="Times New Roman" w:cs="Times New Roman"/>
          <w:bCs/>
          <w:color w:val="000000"/>
          <w:kern w:val="2"/>
          <w:sz w:val="24"/>
          <w:szCs w:val="24"/>
          <w:lang w:eastAsia="zh-TW"/>
        </w:rPr>
        <w:t xml:space="preserve"> tanggal 10 April 2009 di Pattaya, Thailand.</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Pembahasan tenaga kerja dalam AEC </w:t>
      </w:r>
      <w:r w:rsidRPr="00F855D9">
        <w:rPr>
          <w:rFonts w:ascii="Times New Roman" w:eastAsia="PMingLiU" w:hAnsi="Times New Roman" w:cs="Times New Roman"/>
          <w:bCs/>
          <w:i/>
          <w:color w:val="000000"/>
          <w:kern w:val="2"/>
          <w:sz w:val="24"/>
          <w:szCs w:val="24"/>
          <w:lang w:eastAsia="zh-TW"/>
        </w:rPr>
        <w:t>Blueprint</w:t>
      </w:r>
      <w:r w:rsidRPr="00F855D9">
        <w:rPr>
          <w:rFonts w:ascii="Times New Roman" w:eastAsia="PMingLiU" w:hAnsi="Times New Roman" w:cs="Times New Roman"/>
          <w:bCs/>
          <w:color w:val="000000"/>
          <w:kern w:val="2"/>
          <w:sz w:val="24"/>
          <w:szCs w:val="24"/>
          <w:lang w:eastAsia="zh-TW"/>
        </w:rPr>
        <w:t xml:space="preserve"> tersebut dibatasi </w:t>
      </w:r>
      <w:r w:rsidRPr="00F855D9">
        <w:rPr>
          <w:rFonts w:ascii="Times New Roman" w:eastAsia="PMingLiU" w:hAnsi="Times New Roman" w:cs="Times New Roman"/>
          <w:bCs/>
          <w:color w:val="000000"/>
          <w:kern w:val="2"/>
          <w:sz w:val="24"/>
          <w:szCs w:val="24"/>
          <w:lang w:eastAsia="zh-TW"/>
        </w:rPr>
        <w:lastRenderedPageBreak/>
        <w:t>pada pengaturan khusus tenaga kerja terampil (</w:t>
      </w:r>
      <w:r w:rsidRPr="00F855D9">
        <w:rPr>
          <w:rFonts w:ascii="Times New Roman" w:eastAsia="PMingLiU" w:hAnsi="Times New Roman" w:cs="Times New Roman"/>
          <w:bCs/>
          <w:i/>
          <w:color w:val="000000"/>
          <w:kern w:val="2"/>
          <w:sz w:val="24"/>
          <w:szCs w:val="24"/>
          <w:lang w:eastAsia="zh-TW"/>
        </w:rPr>
        <w:t>skilled labour</w:t>
      </w:r>
      <w:r w:rsidRPr="00F855D9">
        <w:rPr>
          <w:rFonts w:ascii="Times New Roman" w:eastAsia="PMingLiU" w:hAnsi="Times New Roman" w:cs="Times New Roman"/>
          <w:bCs/>
          <w:color w:val="000000"/>
          <w:kern w:val="2"/>
          <w:sz w:val="24"/>
          <w:szCs w:val="24"/>
          <w:lang w:eastAsia="zh-TW"/>
        </w:rPr>
        <w:t>) dan tidak terdapat pembahasan mengenai tenaga kerja tidak terampil (</w:t>
      </w:r>
      <w:r w:rsidRPr="00F855D9">
        <w:rPr>
          <w:rFonts w:ascii="Times New Roman" w:eastAsia="PMingLiU" w:hAnsi="Times New Roman" w:cs="Times New Roman"/>
          <w:bCs/>
          <w:i/>
          <w:color w:val="000000"/>
          <w:kern w:val="2"/>
          <w:sz w:val="24"/>
          <w:szCs w:val="24"/>
          <w:lang w:eastAsia="zh-TW"/>
        </w:rPr>
        <w:t>unskilled labour</w:t>
      </w:r>
      <w:r w:rsidRPr="00F855D9">
        <w:rPr>
          <w:rFonts w:ascii="Times New Roman" w:eastAsia="PMingLiU" w:hAnsi="Times New Roman" w:cs="Times New Roman"/>
          <w:bCs/>
          <w:color w:val="000000"/>
          <w:kern w:val="2"/>
          <w:sz w:val="24"/>
          <w:szCs w:val="24"/>
          <w:lang w:eastAsia="zh-TW"/>
        </w:rPr>
        <w:t xml:space="preserve">). Walaupun definisi </w:t>
      </w:r>
      <w:r w:rsidRPr="00F855D9">
        <w:rPr>
          <w:rFonts w:ascii="Times New Roman" w:eastAsia="PMingLiU" w:hAnsi="Times New Roman" w:cs="Times New Roman"/>
          <w:bCs/>
          <w:i/>
          <w:color w:val="000000"/>
          <w:kern w:val="2"/>
          <w:sz w:val="24"/>
          <w:szCs w:val="24"/>
          <w:lang w:eastAsia="zh-TW"/>
        </w:rPr>
        <w:t xml:space="preserve">skilled </w:t>
      </w:r>
      <w:r w:rsidRPr="00F855D9">
        <w:rPr>
          <w:rFonts w:ascii="Times New Roman" w:eastAsia="PMingLiU" w:hAnsi="Times New Roman" w:cs="Times New Roman"/>
          <w:bCs/>
          <w:color w:val="000000"/>
          <w:kern w:val="2"/>
          <w:sz w:val="24"/>
          <w:szCs w:val="24"/>
          <w:lang w:eastAsia="zh-TW"/>
        </w:rPr>
        <w:t xml:space="preserve">labor tidak terdapat secara jelas pada AEC </w:t>
      </w:r>
      <w:r w:rsidRPr="00F855D9">
        <w:rPr>
          <w:rFonts w:ascii="Times New Roman" w:eastAsia="PMingLiU" w:hAnsi="Times New Roman" w:cs="Times New Roman"/>
          <w:bCs/>
          <w:i/>
          <w:color w:val="000000"/>
          <w:kern w:val="2"/>
          <w:sz w:val="24"/>
          <w:szCs w:val="24"/>
          <w:lang w:eastAsia="zh-TW"/>
        </w:rPr>
        <w:t>Blueprint,</w:t>
      </w:r>
      <w:r w:rsidRPr="00F855D9">
        <w:rPr>
          <w:rFonts w:ascii="Times New Roman" w:eastAsia="PMingLiU" w:hAnsi="Times New Roman" w:cs="Times New Roman"/>
          <w:bCs/>
          <w:color w:val="000000"/>
          <w:kern w:val="2"/>
          <w:sz w:val="24"/>
          <w:szCs w:val="24"/>
          <w:lang w:eastAsia="zh-TW"/>
        </w:rPr>
        <w:t xml:space="preserve"> namun secara umun </w:t>
      </w:r>
      <w:r w:rsidRPr="00F855D9">
        <w:rPr>
          <w:rFonts w:ascii="Times New Roman" w:eastAsia="PMingLiU" w:hAnsi="Times New Roman" w:cs="Times New Roman"/>
          <w:bCs/>
          <w:i/>
          <w:color w:val="000000"/>
          <w:kern w:val="2"/>
          <w:sz w:val="24"/>
          <w:szCs w:val="24"/>
          <w:lang w:eastAsia="zh-TW"/>
        </w:rPr>
        <w:t>skilled labor</w:t>
      </w:r>
      <w:r w:rsidRPr="00F855D9">
        <w:rPr>
          <w:rFonts w:ascii="Times New Roman" w:eastAsia="PMingLiU" w:hAnsi="Times New Roman" w:cs="Times New Roman"/>
          <w:bCs/>
          <w:color w:val="000000"/>
          <w:kern w:val="2"/>
          <w:sz w:val="24"/>
          <w:szCs w:val="24"/>
          <w:lang w:eastAsia="zh-TW"/>
        </w:rPr>
        <w:t xml:space="preserve"> dapat diartikan sebagai pekerja yang mempunyai ketrampilan atau keahlian khusus, pengetahuan, atau kemampuan di bidangnya, yang bisa berasal dari lulusan perguruan tinggi. Berikut adalah jumlah sarjana teknik profesional yang tercatat dalam ASEAN </w:t>
      </w:r>
      <w:r w:rsidRPr="00F855D9">
        <w:rPr>
          <w:rFonts w:ascii="Times New Roman" w:eastAsia="PMingLiU" w:hAnsi="Times New Roman" w:cs="Times New Roman"/>
          <w:bCs/>
          <w:i/>
          <w:color w:val="000000"/>
          <w:kern w:val="2"/>
          <w:sz w:val="24"/>
          <w:szCs w:val="24"/>
          <w:lang w:eastAsia="zh-TW"/>
        </w:rPr>
        <w:t>Chartered Professional Engineer</w:t>
      </w:r>
      <w:r w:rsidRPr="00F855D9">
        <w:rPr>
          <w:rFonts w:ascii="Times New Roman" w:eastAsia="PMingLiU" w:hAnsi="Times New Roman" w:cs="Times New Roman"/>
          <w:bCs/>
          <w:color w:val="000000"/>
          <w:kern w:val="2"/>
          <w:sz w:val="24"/>
          <w:szCs w:val="24"/>
          <w:lang w:eastAsia="zh-TW"/>
        </w:rPr>
        <w:t xml:space="preserve"> ACPE :</w:t>
      </w:r>
    </w:p>
    <w:p w:rsidR="00F855D9" w:rsidRPr="00F855D9" w:rsidRDefault="00F855D9" w:rsidP="00F855D9">
      <w:pPr>
        <w:widowControl w:val="0"/>
        <w:spacing w:after="0" w:line="480" w:lineRule="auto"/>
        <w:jc w:val="center"/>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Tabel : 3.6 : Jumlah sarjana teknik profesional yang tercatat dalam ASEAN </w:t>
      </w:r>
      <w:r w:rsidRPr="00F855D9">
        <w:rPr>
          <w:rFonts w:ascii="Times New Roman" w:eastAsia="PMingLiU" w:hAnsi="Times New Roman" w:cs="Times New Roman"/>
          <w:bCs/>
          <w:i/>
          <w:color w:val="000000"/>
          <w:kern w:val="2"/>
          <w:sz w:val="24"/>
          <w:szCs w:val="24"/>
          <w:lang w:eastAsia="zh-TW"/>
        </w:rPr>
        <w:t>Chartered Professional Engineer</w:t>
      </w:r>
      <w:r w:rsidRPr="00F855D9">
        <w:rPr>
          <w:rFonts w:ascii="Times New Roman" w:eastAsia="PMingLiU" w:hAnsi="Times New Roman" w:cs="Times New Roman"/>
          <w:bCs/>
          <w:color w:val="000000"/>
          <w:kern w:val="2"/>
          <w:sz w:val="24"/>
          <w:szCs w:val="24"/>
          <w:lang w:eastAsia="zh-TW"/>
        </w:rPr>
        <w:t xml:space="preserve"> ACPE</w:t>
      </w:r>
    </w:p>
    <w:tbl>
      <w:tblPr>
        <w:tblStyle w:val="TableGrid"/>
        <w:tblW w:w="0" w:type="auto"/>
        <w:tblInd w:w="349" w:type="dxa"/>
        <w:tblLook w:val="04A0" w:firstRow="1" w:lastRow="0" w:firstColumn="1" w:lastColumn="0" w:noHBand="0" w:noVBand="1"/>
      </w:tblPr>
      <w:tblGrid>
        <w:gridCol w:w="3910"/>
        <w:gridCol w:w="3894"/>
      </w:tblGrid>
      <w:tr w:rsidR="00F855D9" w:rsidRPr="00F855D9" w:rsidTr="00F855D9">
        <w:tc>
          <w:tcPr>
            <w:tcW w:w="4147" w:type="dxa"/>
          </w:tcPr>
          <w:p w:rsidR="00F855D9" w:rsidRPr="00F855D9" w:rsidRDefault="00F855D9" w:rsidP="00F855D9">
            <w:pPr>
              <w:widowControl w:val="0"/>
              <w:spacing w:line="480" w:lineRule="auto"/>
              <w:jc w:val="center"/>
              <w:rPr>
                <w:rFonts w:ascii="Times New Roman" w:hAnsi="Times New Roman" w:cs="Times New Roman"/>
                <w:b/>
                <w:bCs/>
                <w:color w:val="000000"/>
                <w:kern w:val="2"/>
                <w:sz w:val="24"/>
                <w:szCs w:val="24"/>
                <w:lang w:eastAsia="zh-TW"/>
              </w:rPr>
            </w:pPr>
            <w:r w:rsidRPr="00F855D9">
              <w:rPr>
                <w:rFonts w:ascii="Times New Roman" w:hAnsi="Times New Roman" w:cs="Times New Roman"/>
                <w:b/>
                <w:bCs/>
                <w:color w:val="000000"/>
                <w:kern w:val="2"/>
                <w:sz w:val="24"/>
                <w:szCs w:val="24"/>
                <w:lang w:eastAsia="zh-TW"/>
              </w:rPr>
              <w:t>Negara</w:t>
            </w:r>
          </w:p>
        </w:tc>
        <w:tc>
          <w:tcPr>
            <w:tcW w:w="4148" w:type="dxa"/>
          </w:tcPr>
          <w:p w:rsidR="00F855D9" w:rsidRPr="00F855D9" w:rsidRDefault="00F855D9" w:rsidP="00F855D9">
            <w:pPr>
              <w:widowControl w:val="0"/>
              <w:spacing w:line="480" w:lineRule="auto"/>
              <w:jc w:val="center"/>
              <w:rPr>
                <w:rFonts w:ascii="Times New Roman" w:hAnsi="Times New Roman" w:cs="Times New Roman"/>
                <w:b/>
                <w:bCs/>
                <w:color w:val="000000"/>
                <w:kern w:val="2"/>
                <w:sz w:val="24"/>
                <w:szCs w:val="24"/>
                <w:lang w:eastAsia="zh-TW"/>
              </w:rPr>
            </w:pPr>
            <w:r w:rsidRPr="00F855D9">
              <w:rPr>
                <w:rFonts w:ascii="Times New Roman" w:hAnsi="Times New Roman" w:cs="Times New Roman"/>
                <w:b/>
                <w:bCs/>
                <w:color w:val="000000"/>
                <w:kern w:val="2"/>
                <w:sz w:val="24"/>
                <w:szCs w:val="24"/>
                <w:lang w:eastAsia="zh-TW"/>
              </w:rPr>
              <w:t>Jumlah</w:t>
            </w:r>
          </w:p>
        </w:tc>
      </w:tr>
      <w:tr w:rsidR="00F855D9" w:rsidRPr="00F855D9" w:rsidTr="00F855D9">
        <w:tc>
          <w:tcPr>
            <w:tcW w:w="4147"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Indonesia</w:t>
            </w:r>
          </w:p>
        </w:tc>
        <w:tc>
          <w:tcPr>
            <w:tcW w:w="4148"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290</w:t>
            </w:r>
          </w:p>
        </w:tc>
      </w:tr>
      <w:tr w:rsidR="00F855D9" w:rsidRPr="00F855D9" w:rsidTr="00F855D9">
        <w:tc>
          <w:tcPr>
            <w:tcW w:w="4147"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Singapura</w:t>
            </w:r>
          </w:p>
        </w:tc>
        <w:tc>
          <w:tcPr>
            <w:tcW w:w="4148"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218</w:t>
            </w:r>
          </w:p>
        </w:tc>
      </w:tr>
      <w:tr w:rsidR="00F855D9" w:rsidRPr="00F855D9" w:rsidTr="00F855D9">
        <w:tc>
          <w:tcPr>
            <w:tcW w:w="4147"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Malaysia</w:t>
            </w:r>
          </w:p>
        </w:tc>
        <w:tc>
          <w:tcPr>
            <w:tcW w:w="4148"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203</w:t>
            </w:r>
          </w:p>
        </w:tc>
      </w:tr>
      <w:tr w:rsidR="00F855D9" w:rsidRPr="00F855D9" w:rsidTr="00F855D9">
        <w:tc>
          <w:tcPr>
            <w:tcW w:w="4147"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Vietnam</w:t>
            </w:r>
          </w:p>
        </w:tc>
        <w:tc>
          <w:tcPr>
            <w:tcW w:w="4148"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134</w:t>
            </w:r>
          </w:p>
        </w:tc>
      </w:tr>
      <w:tr w:rsidR="00F855D9" w:rsidRPr="00F855D9" w:rsidTr="00F855D9">
        <w:tc>
          <w:tcPr>
            <w:tcW w:w="4147"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Myanmar</w:t>
            </w:r>
          </w:p>
        </w:tc>
        <w:tc>
          <w:tcPr>
            <w:tcW w:w="4148"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85</w:t>
            </w:r>
          </w:p>
        </w:tc>
      </w:tr>
      <w:tr w:rsidR="00F855D9" w:rsidRPr="00F855D9" w:rsidTr="00F855D9">
        <w:tc>
          <w:tcPr>
            <w:tcW w:w="4147"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Filipina</w:t>
            </w:r>
          </w:p>
        </w:tc>
        <w:tc>
          <w:tcPr>
            <w:tcW w:w="4148"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55</w:t>
            </w:r>
          </w:p>
        </w:tc>
      </w:tr>
      <w:tr w:rsidR="00F855D9" w:rsidRPr="00F855D9" w:rsidTr="00F855D9">
        <w:tc>
          <w:tcPr>
            <w:tcW w:w="4147"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Brunei</w:t>
            </w:r>
          </w:p>
        </w:tc>
        <w:tc>
          <w:tcPr>
            <w:tcW w:w="4148"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w:t>
            </w:r>
          </w:p>
        </w:tc>
      </w:tr>
      <w:tr w:rsidR="00F855D9" w:rsidRPr="00F855D9" w:rsidTr="00F855D9">
        <w:tc>
          <w:tcPr>
            <w:tcW w:w="4147" w:type="dxa"/>
          </w:tcPr>
          <w:p w:rsidR="00F855D9" w:rsidRPr="00F855D9" w:rsidRDefault="00F855D9" w:rsidP="00F855D9">
            <w:pPr>
              <w:widowControl w:val="0"/>
              <w:spacing w:line="480" w:lineRule="auto"/>
              <w:jc w:val="center"/>
              <w:rPr>
                <w:rFonts w:ascii="Times New Roman" w:hAnsi="Times New Roman" w:cs="Times New Roman"/>
                <w:b/>
                <w:bCs/>
                <w:color w:val="000000"/>
                <w:kern w:val="2"/>
                <w:sz w:val="24"/>
                <w:szCs w:val="24"/>
                <w:lang w:eastAsia="zh-TW"/>
              </w:rPr>
            </w:pPr>
            <w:r w:rsidRPr="00F855D9">
              <w:rPr>
                <w:rFonts w:ascii="Times New Roman" w:hAnsi="Times New Roman" w:cs="Times New Roman"/>
                <w:b/>
                <w:bCs/>
                <w:color w:val="000000"/>
                <w:kern w:val="2"/>
                <w:sz w:val="24"/>
                <w:szCs w:val="24"/>
                <w:lang w:eastAsia="zh-TW"/>
              </w:rPr>
              <w:t>Total</w:t>
            </w:r>
          </w:p>
        </w:tc>
        <w:tc>
          <w:tcPr>
            <w:tcW w:w="4148" w:type="dxa"/>
          </w:tcPr>
          <w:p w:rsidR="00F855D9" w:rsidRPr="00F855D9" w:rsidRDefault="00F855D9" w:rsidP="00F855D9">
            <w:pPr>
              <w:widowControl w:val="0"/>
              <w:spacing w:line="480" w:lineRule="auto"/>
              <w:jc w:val="center"/>
              <w:rPr>
                <w:rFonts w:ascii="Times New Roman" w:hAnsi="Times New Roman" w:cs="Times New Roman"/>
                <w:b/>
                <w:bCs/>
                <w:color w:val="000000"/>
                <w:kern w:val="2"/>
                <w:sz w:val="24"/>
                <w:szCs w:val="24"/>
                <w:lang w:eastAsia="zh-TW"/>
              </w:rPr>
            </w:pPr>
            <w:r w:rsidRPr="00F855D9">
              <w:rPr>
                <w:rFonts w:ascii="Times New Roman" w:hAnsi="Times New Roman" w:cs="Times New Roman"/>
                <w:b/>
                <w:bCs/>
                <w:color w:val="000000"/>
                <w:kern w:val="2"/>
                <w:sz w:val="24"/>
                <w:szCs w:val="24"/>
                <w:lang w:eastAsia="zh-TW"/>
              </w:rPr>
              <w:t>987</w:t>
            </w:r>
          </w:p>
        </w:tc>
      </w:tr>
    </w:tbl>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Sumber : Dari berbagi sumber, diolah oleh Penulis</w:t>
      </w:r>
    </w:p>
    <w:p w:rsid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Rendahnya daya saing nasional juga disebabkan oleh masih rendahnya kualitas manusia Indonesia. Berdasarkan </w:t>
      </w:r>
      <w:r w:rsidRPr="00F855D9">
        <w:rPr>
          <w:rFonts w:ascii="Times New Roman" w:eastAsia="PMingLiU" w:hAnsi="Times New Roman" w:cs="Times New Roman"/>
          <w:bCs/>
          <w:i/>
          <w:color w:val="000000"/>
          <w:kern w:val="2"/>
          <w:sz w:val="24"/>
          <w:szCs w:val="24"/>
          <w:lang w:eastAsia="zh-TW"/>
        </w:rPr>
        <w:t>World Economic Forum</w:t>
      </w:r>
      <w:r w:rsidRPr="00F855D9">
        <w:rPr>
          <w:rFonts w:ascii="Times New Roman" w:eastAsia="PMingLiU" w:hAnsi="Times New Roman" w:cs="Times New Roman"/>
          <w:bCs/>
          <w:color w:val="000000"/>
          <w:kern w:val="2"/>
          <w:sz w:val="24"/>
          <w:szCs w:val="24"/>
          <w:lang w:eastAsia="zh-TW"/>
        </w:rPr>
        <w:t xml:space="preserve">, indeks Sumber Daya Manusia (SDM) Indonesia menduduki peringkat 53 dari 122 negara di dunia. Struktur tenaga kerja Indonesia </w:t>
      </w:r>
      <w:r w:rsidRPr="00F855D9">
        <w:rPr>
          <w:rFonts w:ascii="Times New Roman" w:eastAsia="PMingLiU" w:hAnsi="Times New Roman" w:cs="Times New Roman"/>
          <w:bCs/>
          <w:color w:val="000000"/>
          <w:kern w:val="2"/>
          <w:sz w:val="24"/>
          <w:szCs w:val="24"/>
          <w:lang w:eastAsia="zh-TW"/>
        </w:rPr>
        <w:lastRenderedPageBreak/>
        <w:t>masih didominasi pendidikan dasar dengan persentase sebesar 63.2%. Tantangan internal yang dihadapi Indonesia dalam menyambut AEC 2015 bukan hanya terkait peningkatan daya saing nasional. Masalah-masalah internal seperti rendahnya pemahaman para pemangku kepentingan Indonesia mengenai AEC/AFTA secara komprehensif perlu juga mendapat perhatian khusus. Rendahnya pemahaman ini dapat dilihat dari rendahnya penggunaan SKA Form D untuk memanfaatkan tarif preferensial AFTA oleh para eksportir Indonesia yang telah berjalan sejak tahun 2004 dan mayoritas tarif bea masuk sudah 0% bagi ASEAN-6 sejak 1 Januari 2010. Berdasarkan data yang ada di Kementerian Perdagangan selaku instansi penerbit SKA (</w:t>
      </w:r>
      <w:r w:rsidRPr="00F855D9">
        <w:rPr>
          <w:rFonts w:ascii="Times New Roman" w:eastAsia="PMingLiU" w:hAnsi="Times New Roman" w:cs="Times New Roman"/>
          <w:bCs/>
          <w:i/>
          <w:color w:val="000000"/>
          <w:kern w:val="2"/>
          <w:sz w:val="24"/>
          <w:szCs w:val="24"/>
          <w:lang w:eastAsia="zh-TW"/>
        </w:rPr>
        <w:t>issuing authority</w:t>
      </w:r>
      <w:r w:rsidRPr="00F855D9">
        <w:rPr>
          <w:rFonts w:ascii="Times New Roman" w:eastAsia="PMingLiU" w:hAnsi="Times New Roman" w:cs="Times New Roman"/>
          <w:bCs/>
          <w:color w:val="000000"/>
          <w:kern w:val="2"/>
          <w:sz w:val="24"/>
          <w:szCs w:val="24"/>
          <w:lang w:eastAsia="zh-TW"/>
        </w:rPr>
        <w:t>), pemanfaatan SKA Form D dari tahun 2008 – 2012 hanya dibawah 40% dari total ekspor Indonesia ke ASEAN. Selain itu tantangan yang harus dihadapai adalah jaringan bisnis pelaku usaha Indonesia yang masih lemah, pola pikir masyarakat yang masih melihat AEC sebagai ancaman, tuntutan investor yang semakin tinggi, dan masih rendahnya.</w:t>
      </w:r>
      <w:r w:rsidRPr="00F855D9">
        <w:rPr>
          <w:rFonts w:ascii="Times New Roman" w:eastAsia="PMingLiU" w:hAnsi="Times New Roman" w:cs="Times New Roman"/>
          <w:bCs/>
          <w:color w:val="000000"/>
          <w:kern w:val="2"/>
          <w:sz w:val="24"/>
          <w:szCs w:val="24"/>
          <w:vertAlign w:val="superscript"/>
          <w:lang w:eastAsia="zh-TW"/>
        </w:rPr>
        <w:footnoteReference w:id="101"/>
      </w:r>
    </w:p>
    <w:p w:rsidR="00915C1B" w:rsidRPr="00F855D9" w:rsidRDefault="00915C1B"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center"/>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Grafik 3.4 : Perbandingan tenaga kerja Indonesia berdasarkan kualifikasi kerja standar </w:t>
      </w:r>
      <w:r w:rsidRPr="00F855D9">
        <w:rPr>
          <w:rFonts w:ascii="Times New Roman" w:eastAsia="PMingLiU" w:hAnsi="Times New Roman" w:cs="Times New Roman"/>
          <w:bCs/>
          <w:i/>
          <w:color w:val="000000"/>
          <w:kern w:val="2"/>
          <w:sz w:val="24"/>
          <w:szCs w:val="24"/>
          <w:lang w:eastAsia="zh-TW"/>
        </w:rPr>
        <w:t>Mutual Recognition Arrangements</w:t>
      </w:r>
      <w:r w:rsidRPr="00F855D9">
        <w:rPr>
          <w:rFonts w:ascii="Times New Roman" w:eastAsia="PMingLiU" w:hAnsi="Times New Roman" w:cs="Times New Roman"/>
          <w:bCs/>
          <w:color w:val="000000"/>
          <w:kern w:val="2"/>
          <w:sz w:val="24"/>
          <w:szCs w:val="24"/>
          <w:lang w:eastAsia="zh-TW"/>
        </w:rPr>
        <w:t xml:space="preserve"> (MRA) yang sudah bersertifikasi</w:t>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noProof/>
          <w:color w:val="000000"/>
          <w:kern w:val="2"/>
          <w:sz w:val="24"/>
          <w:szCs w:val="24"/>
          <w:lang w:eastAsia="id-ID"/>
        </w:rPr>
        <w:lastRenderedPageBreak/>
        <w:drawing>
          <wp:inline distT="0" distB="0" distL="0" distR="0" wp14:anchorId="2871B17A" wp14:editId="2CB2559C">
            <wp:extent cx="5130165" cy="2992755"/>
            <wp:effectExtent l="0" t="0" r="13335" b="1714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Sumber : Diolah dari berbagai Sumber</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Daya saing tenaga kerja dalam era MEA saat ini menunjukkan bahwa tenaga kerja dari Singapura masih menduduki pasar tenaga kerja ASEAN meskipun jumlahnya lebih sedikit daripada Indonesia dikarenakan perbedaan jumlah penduduk. Jumlah insinyur yang bersertifikasi di Singapura mencapai 46.089 orang dengan bekal pelatihan selama 2 tahun dan pengalaman kerja minimal 3 tahun. Singapura menjadi negara dengan permintaan tenaga kerja baik insinyur, arsitek maupun tenaga ahli paling dicari di ASEAN. Regulasi dari pemerintah Singapura yang mendorong standar tinggi bagi tenaga kerja mereka membuat kualitas dari tenaga kerja Singapura paling baik diantara negara lainnya. Standar pendidikan, usia dan juga pengalaman menjadikan tenaga kerja Singapura dengan leluasa mampu bersaing di berbagai negara di ASEAN. Pada Agustus 2016, sebanyak 54.500 tenaga kerja Singapura telah melakukan kontrak kerja dengan 5 negara ASEAN yaitu Indonesia, </w:t>
      </w:r>
      <w:r w:rsidRPr="00F855D9">
        <w:rPr>
          <w:rFonts w:ascii="Times New Roman" w:eastAsia="PMingLiU" w:hAnsi="Times New Roman" w:cs="Times New Roman"/>
          <w:bCs/>
          <w:color w:val="000000"/>
          <w:kern w:val="2"/>
          <w:sz w:val="24"/>
          <w:szCs w:val="24"/>
          <w:lang w:eastAsia="zh-TW"/>
        </w:rPr>
        <w:lastRenderedPageBreak/>
        <w:t xml:space="preserve">Thailand, Malaysia dan Brunei. Berbeda dengan Singapura, Indonesia dengan jumlah tenaga kerja di sektor konstruksi terbanyak di ASEAN tidak mampu menguasai pasar tenaga kerja di ASEAN. Jumlah insinyur yang banyak tidak menjamin Indonesia dapat bersaing dengan beberapa negara ASEAN lainnya, hal ini dikarenakan banyaknya tenaga kerja yang belum bersertifikasi dalam jenis konstruksi yang telah ditentukan MRA. Indonesia hanya mampu menguasai pasar bagi tenaga ahli saja dengan jumlah 43.600 tenaga ahli, tenaga ahli ini merupakan mereka yang rata – rata lulusan SMA dengan sertifikat keahlian jenis konstruksi tertentu. Tenaga ahli memang banyak dibutuhkan sebagai tukang atau mandor dalam sebuah pekerjaan konstruksi, karena jumlahnya yang cukup banyak maka Indonesia hanya bisa bersaing untuk cakupan tenaga ahli saja. Arsitektur dan Insinyur dari Indonesia yang cukup banyak juga tidak mampu bersaing dengan Singapura yang lebih sedikit dari Indonesia. Permintaan tenaga kerja dari Indonesia untuk insinyur dan arsitektur cukup rendah dan kurang diminati. Pengalaman kerja yang kurang dan kalahnya sistem pendidikan dengan Singapura masih menjadi faktor kurangnya permintaan tenaga kerja dari Indonesia. Faktor kepercayaan atas tenaga kerja dari Singapura juga membuat para insinyur maupun arsitek Indonesia kurang dilirik. Pada tahun 2016 jumlah insinyur di Indonesia sebanyak 37.876 insinyur dan 35.780 arsitek turun dari jumlah insinyur pada tahun sebelumnya yaitu 40.303 insinyur dan 38.222 arsitek yang bersertifikasi. Turunnya jumlah tersebut dikarenakan jumlah lapangan pekerjaan yang tersedia tidak mencukupi bagi para insinyur dan </w:t>
      </w:r>
      <w:r w:rsidRPr="00F855D9">
        <w:rPr>
          <w:rFonts w:ascii="Times New Roman" w:eastAsia="PMingLiU" w:hAnsi="Times New Roman" w:cs="Times New Roman"/>
          <w:bCs/>
          <w:color w:val="000000"/>
          <w:kern w:val="2"/>
          <w:sz w:val="24"/>
          <w:szCs w:val="24"/>
          <w:lang w:eastAsia="zh-TW"/>
        </w:rPr>
        <w:lastRenderedPageBreak/>
        <w:t>arsitek, sedangkan untuk melakukan perdagangan jasa, mereka harus memenuhi seritifkasi sesuai MRA yang membutuhkan waktu. Walaupun demikian, daya saing tenaga kerja Indonesia menempati urutan ke 2 dari 10 negara ASEAN yang mampu bersaing pada tahun 2016 lalu.</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Malaysia memiliki daya saing tenaga kerja yang cukup baik pada tahun 2016 dan bersaing ketat dengan Indonesia. Sebanyak 32.760 insinyur dari Malaysia bersaing dengan insinyur dari Indonesia. Sedangkan untuk tenaga arsitek, Malaysia kurang mendapatkan tempat dan minat dari negara – negara di ASEAN. Kualitas arsitek Malaysia yang berada dibawah Indonesia memang menjadi  faktor kurang berkembangnya daya saing arsitek Malaysia. Tenaga ahli Malaysia saat ini masih dalam level aman karena masih mampu bersaing dengan Indonesia baik secara kualitas maupun kuantitas. Persaingan cukup ketat terjadi antara Brunei dan Filipina, dalam beberapa negara berkembang seperti Laos dan Myanmar, tenaga kerja dari Brunei dan Filipina menguasai pasar tenaga kerja. Tenaga kerja dari Brunei dan Filipina cukup diminati karena daya beli untuk jasa arsitek dan tenaga ahli masih dianggap murah oleh egara Laos dan Myanmar. Jasa Insinyur dari Brunei dan Filipina juga sedang bersaing dengan tenaga kerja dari Indonesia. Persaingan terjadi karena standar tenaga kerja dari ketiga negara tersebut hampir sama.</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Thailand menjadi negara ke 5 dengan indeks daya saing tenaga kerja dari beberapa negara di ASEAN yang daya saingnya dalam tahap menengah. Sebanyak 18.450 tenaga ahli dari Thailand cukup diminati di negara Myanmar, sedangkan jasa insinyur dan arsitek dari Thailand </w:t>
      </w:r>
      <w:r w:rsidRPr="00F855D9">
        <w:rPr>
          <w:rFonts w:ascii="Times New Roman" w:eastAsia="PMingLiU" w:hAnsi="Times New Roman" w:cs="Times New Roman"/>
          <w:bCs/>
          <w:color w:val="000000"/>
          <w:kern w:val="2"/>
          <w:sz w:val="24"/>
          <w:szCs w:val="24"/>
          <w:lang w:eastAsia="zh-TW"/>
        </w:rPr>
        <w:lastRenderedPageBreak/>
        <w:t>mengalami penurunan yang drastis dari tahun sebelumnya sebesar 2,5% akibat konflik negara gajah putih itu sendiri, dan membuat daya saingnya cukup lemah dibandingkan dengan Filipina dan Brunei. Daya saing tenaga kerja dari Vietnam hanya mampu bersaing untuk tingkat tenaga ahli saja, Vietnam memang kurang mampu mendorong para insinyur dan arsiteknya untuk dapat bersaing dalam pasar ASEAN. Kurangnya dukungan dan perhatian dari pemerintah juga menjadi salah satu faktor penentunya. Tiga negara yang berada di urutan terakhir yaitu Kamboja, Laos dan Myanmar merupakan negara yang paling rendah daya saing tenaga kerjanya, baik itu tenaga kerja insinyur, arsitek maupun tenaga ahli. Kemampuan dan kapasitas yang jauh tertinggal dari negara ASEAN lainnya menjadi faktor lemahnya daya saing tenaga kerja dari ketiga negara tersebut. Pendidikan, infrastruktur, kemudahan teknologi dan informasi yang kurang dari negara tersebut sangatlah menentukan kualitas para tenaga kerjanya. Sertifikasi tenaga kerja dari Laos dan Myanmar yang masih sedikit dipengaruhi oleh kurangnya dukungan dari pemerintah negara tersebut. Kualitas yang rendah dikarenakan negara – negara tersebut memiliki kondisi perekonomian yang sangat lemah dibandingkan negara anggota ASEAN lainnya karena masih dalam tahap negara yang baru berkembang.</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Perbandingan daya saing tenaga kerja antar negara – negara di ASEAN pada tahun 2016 memberikan nilai bahwasanya daya saing tenaga kerja Indonesia masih menjadi kendala yang cukup besar bagi persaingan perdagangan jasa dalam MEA. Salah satu faktor kurang diminatinya tenga kerja Indonesia adalah karena faktor pendidikan. Badan Pusat Statistik </w:t>
      </w:r>
      <w:r w:rsidRPr="00F855D9">
        <w:rPr>
          <w:rFonts w:ascii="Times New Roman" w:eastAsia="PMingLiU" w:hAnsi="Times New Roman" w:cs="Times New Roman"/>
          <w:bCs/>
          <w:color w:val="000000"/>
          <w:kern w:val="2"/>
          <w:sz w:val="24"/>
          <w:szCs w:val="24"/>
          <w:lang w:eastAsia="zh-TW"/>
        </w:rPr>
        <w:lastRenderedPageBreak/>
        <w:t>(BPS) Tahun 2016 menjelaskan bahwa  jumlah angkatan kerja nasional sebanyak 121,19 juta, dengan jumlah pekerja sebanyak 114,02 juta (94,08% dari total angkatan kerja) dan penganggur sebanyak 7,17 juta (5,29% dari total angkatan kerja). Dilihat dari tingkat pendidikan pekerja nasional, sebanyak 54,62 juta pekerja berpendidikan SD sebanyak 20,29 juta pekerja atau berpendidikan SMP sebanyak 17,77 juta pekerja berpendidikan SMA sebanyak 10,18 juta pekerja berpendidikan SMK sebanyak 3,22 juta pekerja berpendidikan Diploma; dan hanya sebesar sebanyak 7,94 juta pekerja berpendidikan Universitas.</w:t>
      </w:r>
      <w:r w:rsidRPr="00F855D9">
        <w:rPr>
          <w:rFonts w:ascii="Times New Roman" w:eastAsia="PMingLiU" w:hAnsi="Times New Roman" w:cs="Times New Roman"/>
          <w:bCs/>
          <w:color w:val="000000"/>
          <w:kern w:val="2"/>
          <w:sz w:val="24"/>
          <w:szCs w:val="24"/>
          <w:vertAlign w:val="superscript"/>
          <w:lang w:eastAsia="zh-TW"/>
        </w:rPr>
        <w:footnoteReference w:id="102"/>
      </w:r>
    </w:p>
    <w:p w:rsidR="00F855D9" w:rsidRPr="00F855D9" w:rsidRDefault="00F855D9" w:rsidP="00F855D9">
      <w:pPr>
        <w:widowControl w:val="0"/>
        <w:spacing w:after="0" w:line="480" w:lineRule="auto"/>
        <w:jc w:val="center"/>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Tabel 3.6 : Angkatan Kerja Nasional berdasarkan Pendidikan</w:t>
      </w:r>
    </w:p>
    <w:tbl>
      <w:tblPr>
        <w:tblStyle w:val="TableGrid"/>
        <w:tblW w:w="0" w:type="auto"/>
        <w:tblInd w:w="349" w:type="dxa"/>
        <w:tblLook w:val="04A0" w:firstRow="1" w:lastRow="0" w:firstColumn="1" w:lastColumn="0" w:noHBand="0" w:noVBand="1"/>
      </w:tblPr>
      <w:tblGrid>
        <w:gridCol w:w="2637"/>
        <w:gridCol w:w="2600"/>
        <w:gridCol w:w="2567"/>
      </w:tblGrid>
      <w:tr w:rsidR="00F855D9" w:rsidRPr="00F855D9" w:rsidTr="00F855D9">
        <w:tc>
          <w:tcPr>
            <w:tcW w:w="2765" w:type="dxa"/>
          </w:tcPr>
          <w:p w:rsidR="00F855D9" w:rsidRPr="00F855D9" w:rsidRDefault="00F855D9" w:rsidP="00F855D9">
            <w:pPr>
              <w:widowControl w:val="0"/>
              <w:spacing w:line="480" w:lineRule="auto"/>
              <w:jc w:val="center"/>
              <w:rPr>
                <w:rFonts w:ascii="Times New Roman" w:hAnsi="Times New Roman" w:cs="Times New Roman"/>
                <w:b/>
                <w:bCs/>
                <w:color w:val="000000"/>
                <w:kern w:val="2"/>
                <w:sz w:val="24"/>
                <w:szCs w:val="24"/>
                <w:lang w:eastAsia="zh-TW"/>
              </w:rPr>
            </w:pPr>
            <w:r w:rsidRPr="00F855D9">
              <w:rPr>
                <w:rFonts w:ascii="Times New Roman" w:hAnsi="Times New Roman" w:cs="Times New Roman"/>
                <w:b/>
                <w:bCs/>
                <w:color w:val="000000"/>
                <w:kern w:val="2"/>
                <w:sz w:val="24"/>
                <w:szCs w:val="24"/>
                <w:lang w:eastAsia="zh-TW"/>
              </w:rPr>
              <w:t>Pendidikan pekerjaan</w:t>
            </w:r>
          </w:p>
        </w:tc>
        <w:tc>
          <w:tcPr>
            <w:tcW w:w="2765" w:type="dxa"/>
          </w:tcPr>
          <w:p w:rsidR="00F855D9" w:rsidRPr="00F855D9" w:rsidRDefault="00F855D9" w:rsidP="00F855D9">
            <w:pPr>
              <w:widowControl w:val="0"/>
              <w:spacing w:line="480" w:lineRule="auto"/>
              <w:jc w:val="center"/>
              <w:rPr>
                <w:rFonts w:ascii="Times New Roman" w:hAnsi="Times New Roman" w:cs="Times New Roman"/>
                <w:b/>
                <w:bCs/>
                <w:color w:val="000000"/>
                <w:kern w:val="2"/>
                <w:sz w:val="24"/>
                <w:szCs w:val="24"/>
                <w:lang w:eastAsia="zh-TW"/>
              </w:rPr>
            </w:pPr>
            <w:r w:rsidRPr="00F855D9">
              <w:rPr>
                <w:rFonts w:ascii="Times New Roman" w:hAnsi="Times New Roman" w:cs="Times New Roman"/>
                <w:b/>
                <w:bCs/>
                <w:color w:val="000000"/>
                <w:kern w:val="2"/>
                <w:sz w:val="24"/>
                <w:szCs w:val="24"/>
                <w:lang w:eastAsia="zh-TW"/>
              </w:rPr>
              <w:t>Jumlah (juta)</w:t>
            </w:r>
          </w:p>
        </w:tc>
        <w:tc>
          <w:tcPr>
            <w:tcW w:w="2765" w:type="dxa"/>
          </w:tcPr>
          <w:p w:rsidR="00F855D9" w:rsidRPr="00F855D9" w:rsidRDefault="00F855D9" w:rsidP="00F855D9">
            <w:pPr>
              <w:widowControl w:val="0"/>
              <w:spacing w:line="480" w:lineRule="auto"/>
              <w:jc w:val="center"/>
              <w:rPr>
                <w:rFonts w:ascii="Times New Roman" w:hAnsi="Times New Roman" w:cs="Times New Roman"/>
                <w:b/>
                <w:bCs/>
                <w:color w:val="000000"/>
                <w:kern w:val="2"/>
                <w:sz w:val="24"/>
                <w:szCs w:val="24"/>
                <w:lang w:eastAsia="zh-TW"/>
              </w:rPr>
            </w:pPr>
            <w:r w:rsidRPr="00F855D9">
              <w:rPr>
                <w:rFonts w:ascii="Times New Roman" w:hAnsi="Times New Roman" w:cs="Times New Roman"/>
                <w:b/>
                <w:bCs/>
                <w:color w:val="000000"/>
                <w:kern w:val="2"/>
                <w:sz w:val="24"/>
                <w:szCs w:val="24"/>
                <w:lang w:eastAsia="zh-TW"/>
              </w:rPr>
              <w:t>%</w:t>
            </w:r>
          </w:p>
        </w:tc>
      </w:tr>
      <w:tr w:rsidR="00F855D9" w:rsidRPr="00F855D9" w:rsidTr="00F855D9">
        <w:tc>
          <w:tcPr>
            <w:tcW w:w="2765"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SD ke bawah</w:t>
            </w:r>
          </w:p>
        </w:tc>
        <w:tc>
          <w:tcPr>
            <w:tcW w:w="2765"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54,62</w:t>
            </w:r>
          </w:p>
        </w:tc>
        <w:tc>
          <w:tcPr>
            <w:tcW w:w="2765"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47,9</w:t>
            </w:r>
          </w:p>
        </w:tc>
      </w:tr>
      <w:tr w:rsidR="00F855D9" w:rsidRPr="00F855D9" w:rsidTr="00F855D9">
        <w:tc>
          <w:tcPr>
            <w:tcW w:w="2765"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SMP</w:t>
            </w:r>
          </w:p>
        </w:tc>
        <w:tc>
          <w:tcPr>
            <w:tcW w:w="2765"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20,29</w:t>
            </w:r>
          </w:p>
        </w:tc>
        <w:tc>
          <w:tcPr>
            <w:tcW w:w="2765"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17,8</w:t>
            </w:r>
          </w:p>
        </w:tc>
      </w:tr>
      <w:tr w:rsidR="00F855D9" w:rsidRPr="00F855D9" w:rsidTr="00F855D9">
        <w:tc>
          <w:tcPr>
            <w:tcW w:w="2765"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SMA</w:t>
            </w:r>
          </w:p>
        </w:tc>
        <w:tc>
          <w:tcPr>
            <w:tcW w:w="2765"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17,77</w:t>
            </w:r>
          </w:p>
        </w:tc>
        <w:tc>
          <w:tcPr>
            <w:tcW w:w="2765"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15,9</w:t>
            </w:r>
          </w:p>
        </w:tc>
      </w:tr>
      <w:tr w:rsidR="00F855D9" w:rsidRPr="00F855D9" w:rsidTr="00F855D9">
        <w:tc>
          <w:tcPr>
            <w:tcW w:w="2765"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SMK</w:t>
            </w:r>
          </w:p>
        </w:tc>
        <w:tc>
          <w:tcPr>
            <w:tcW w:w="2765"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10,18</w:t>
            </w:r>
          </w:p>
        </w:tc>
        <w:tc>
          <w:tcPr>
            <w:tcW w:w="2765"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8,9</w:t>
            </w:r>
          </w:p>
        </w:tc>
      </w:tr>
      <w:tr w:rsidR="00F855D9" w:rsidRPr="00F855D9" w:rsidTr="00F855D9">
        <w:tc>
          <w:tcPr>
            <w:tcW w:w="2765"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Diploma (1-3)</w:t>
            </w:r>
          </w:p>
        </w:tc>
        <w:tc>
          <w:tcPr>
            <w:tcW w:w="2765"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3,22</w:t>
            </w:r>
          </w:p>
        </w:tc>
        <w:tc>
          <w:tcPr>
            <w:tcW w:w="2765"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2,8</w:t>
            </w:r>
          </w:p>
        </w:tc>
      </w:tr>
      <w:tr w:rsidR="00F855D9" w:rsidRPr="00F855D9" w:rsidTr="00F855D9">
        <w:tc>
          <w:tcPr>
            <w:tcW w:w="2765" w:type="dxa"/>
          </w:tcPr>
          <w:p w:rsidR="00F855D9" w:rsidRPr="00F855D9" w:rsidRDefault="00F855D9" w:rsidP="00F855D9">
            <w:pPr>
              <w:widowControl w:val="0"/>
              <w:spacing w:line="480" w:lineRule="auto"/>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Universitas</w:t>
            </w:r>
          </w:p>
        </w:tc>
        <w:tc>
          <w:tcPr>
            <w:tcW w:w="2765"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7,94</w:t>
            </w:r>
          </w:p>
        </w:tc>
        <w:tc>
          <w:tcPr>
            <w:tcW w:w="2765" w:type="dxa"/>
          </w:tcPr>
          <w:p w:rsidR="00F855D9" w:rsidRPr="00F855D9" w:rsidRDefault="00F855D9" w:rsidP="00F855D9">
            <w:pPr>
              <w:widowControl w:val="0"/>
              <w:spacing w:line="480" w:lineRule="auto"/>
              <w:jc w:val="center"/>
              <w:rPr>
                <w:rFonts w:ascii="Times New Roman" w:hAnsi="Times New Roman" w:cs="Times New Roman"/>
                <w:bCs/>
                <w:color w:val="000000"/>
                <w:kern w:val="2"/>
                <w:sz w:val="24"/>
                <w:szCs w:val="24"/>
                <w:lang w:eastAsia="zh-TW"/>
              </w:rPr>
            </w:pPr>
            <w:r w:rsidRPr="00F855D9">
              <w:rPr>
                <w:rFonts w:ascii="Times New Roman" w:hAnsi="Times New Roman" w:cs="Times New Roman"/>
                <w:bCs/>
                <w:color w:val="000000"/>
                <w:kern w:val="2"/>
                <w:sz w:val="24"/>
                <w:szCs w:val="24"/>
                <w:lang w:eastAsia="zh-TW"/>
              </w:rPr>
              <w:t>6,9</w:t>
            </w:r>
          </w:p>
        </w:tc>
      </w:tr>
      <w:tr w:rsidR="00F855D9" w:rsidRPr="00F855D9" w:rsidTr="00F855D9">
        <w:tc>
          <w:tcPr>
            <w:tcW w:w="2765" w:type="dxa"/>
          </w:tcPr>
          <w:p w:rsidR="00F855D9" w:rsidRPr="00F855D9" w:rsidRDefault="00F855D9" w:rsidP="00F855D9">
            <w:pPr>
              <w:widowControl w:val="0"/>
              <w:spacing w:line="480" w:lineRule="auto"/>
              <w:jc w:val="center"/>
              <w:rPr>
                <w:rFonts w:ascii="Times New Roman" w:hAnsi="Times New Roman" w:cs="Times New Roman"/>
                <w:b/>
                <w:bCs/>
                <w:color w:val="000000"/>
                <w:kern w:val="2"/>
                <w:sz w:val="24"/>
                <w:szCs w:val="24"/>
                <w:lang w:eastAsia="zh-TW"/>
              </w:rPr>
            </w:pPr>
            <w:r w:rsidRPr="00F855D9">
              <w:rPr>
                <w:rFonts w:ascii="Times New Roman" w:hAnsi="Times New Roman" w:cs="Times New Roman"/>
                <w:b/>
                <w:bCs/>
                <w:color w:val="000000"/>
                <w:kern w:val="2"/>
                <w:sz w:val="24"/>
                <w:szCs w:val="24"/>
                <w:lang w:eastAsia="zh-TW"/>
              </w:rPr>
              <w:t>Total</w:t>
            </w:r>
          </w:p>
        </w:tc>
        <w:tc>
          <w:tcPr>
            <w:tcW w:w="2765" w:type="dxa"/>
          </w:tcPr>
          <w:p w:rsidR="00F855D9" w:rsidRPr="00F855D9" w:rsidRDefault="00F855D9" w:rsidP="00F855D9">
            <w:pPr>
              <w:widowControl w:val="0"/>
              <w:spacing w:line="480" w:lineRule="auto"/>
              <w:jc w:val="center"/>
              <w:rPr>
                <w:rFonts w:ascii="Times New Roman" w:hAnsi="Times New Roman" w:cs="Times New Roman"/>
                <w:b/>
                <w:bCs/>
                <w:color w:val="000000"/>
                <w:kern w:val="2"/>
                <w:sz w:val="24"/>
                <w:szCs w:val="24"/>
                <w:lang w:eastAsia="zh-TW"/>
              </w:rPr>
            </w:pPr>
            <w:r w:rsidRPr="00F855D9">
              <w:rPr>
                <w:rFonts w:ascii="Times New Roman" w:hAnsi="Times New Roman" w:cs="Times New Roman"/>
                <w:b/>
                <w:bCs/>
                <w:color w:val="000000"/>
                <w:kern w:val="2"/>
                <w:sz w:val="24"/>
                <w:szCs w:val="24"/>
                <w:lang w:eastAsia="zh-TW"/>
              </w:rPr>
              <w:t>114,02</w:t>
            </w:r>
          </w:p>
        </w:tc>
        <w:tc>
          <w:tcPr>
            <w:tcW w:w="2765" w:type="dxa"/>
          </w:tcPr>
          <w:p w:rsidR="00F855D9" w:rsidRPr="00F855D9" w:rsidRDefault="00F855D9" w:rsidP="00F855D9">
            <w:pPr>
              <w:widowControl w:val="0"/>
              <w:spacing w:line="480" w:lineRule="auto"/>
              <w:jc w:val="center"/>
              <w:rPr>
                <w:rFonts w:ascii="Times New Roman" w:hAnsi="Times New Roman" w:cs="Times New Roman"/>
                <w:b/>
                <w:bCs/>
                <w:color w:val="000000"/>
                <w:kern w:val="2"/>
                <w:sz w:val="24"/>
                <w:szCs w:val="24"/>
                <w:lang w:eastAsia="zh-TW"/>
              </w:rPr>
            </w:pPr>
            <w:r w:rsidRPr="00F855D9">
              <w:rPr>
                <w:rFonts w:ascii="Times New Roman" w:hAnsi="Times New Roman" w:cs="Times New Roman"/>
                <w:b/>
                <w:bCs/>
                <w:color w:val="000000"/>
                <w:kern w:val="2"/>
                <w:sz w:val="24"/>
                <w:szCs w:val="24"/>
                <w:lang w:eastAsia="zh-TW"/>
              </w:rPr>
              <w:t>100</w:t>
            </w:r>
          </w:p>
        </w:tc>
      </w:tr>
    </w:tbl>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Sumber : Badan Pusat Statistik</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Sebaran tenaga kerja nasional berdasarkan tingkat pendidikannya paling banyak berada di sektor pertanian, sektor ini masih mendominasi sebagai bidang usaha yang menyerap tenaga kerja nasional terbesar yaitu dengan jumlah 39,96 juta pekerja. Diikuti oleh bidang sektor industri </w:t>
      </w:r>
      <w:r w:rsidRPr="00F855D9">
        <w:rPr>
          <w:rFonts w:ascii="Times New Roman" w:eastAsia="PMingLiU" w:hAnsi="Times New Roman" w:cs="Times New Roman"/>
          <w:bCs/>
          <w:color w:val="000000"/>
          <w:kern w:val="2"/>
          <w:sz w:val="24"/>
          <w:szCs w:val="24"/>
          <w:lang w:eastAsia="zh-TW"/>
        </w:rPr>
        <w:lastRenderedPageBreak/>
        <w:t>dengan jumlah 14,78 juta pekerja; kemudian sektor konstuksi dengan jumlah 6,89 juta pekerja; sektor perdagangan dengan jumlah 24,81 juta pekerja; sektor angkutan, pergudangan, dan komunikasi dengan jumlah 5,23 juta pekerja; sektor keuangan dengan jumlah 3,01 juta pekerja dan sektor lainnya dengan jumlah sebesar 1,81 juta pekerja.</w:t>
      </w:r>
      <w:r w:rsidRPr="00F855D9">
        <w:rPr>
          <w:rFonts w:ascii="Times New Roman" w:eastAsia="PMingLiU" w:hAnsi="Times New Roman" w:cs="Times New Roman"/>
          <w:bCs/>
          <w:color w:val="000000"/>
          <w:kern w:val="2"/>
          <w:sz w:val="24"/>
          <w:szCs w:val="24"/>
          <w:vertAlign w:val="superscript"/>
          <w:lang w:eastAsia="zh-TW"/>
        </w:rPr>
        <w:footnoteReference w:id="103"/>
      </w:r>
      <w:r w:rsidRPr="00F855D9">
        <w:rPr>
          <w:rFonts w:ascii="Times New Roman" w:eastAsia="PMingLiU" w:hAnsi="Times New Roman" w:cs="Times New Roman"/>
          <w:bCs/>
          <w:color w:val="000000"/>
          <w:kern w:val="2"/>
          <w:sz w:val="24"/>
          <w:szCs w:val="24"/>
          <w:lang w:eastAsia="zh-TW"/>
        </w:rPr>
        <w:t xml:space="preserve"> Sektor konstruksi yang hanya berjumlah 6,89 juta pekerja dari keseluruhan angkatan kerja nasional berdasarkan tingkat pendidikan masih tersebar dengan kualifikasi tenaga kerja seperti insinyur, arsitektur dan tenaga ahli dinilai kurang untuk kebutuhan tenaga kerja dalam negeri sehingga persaingan tenaga kerja untuk sektor konstruksi di pasar ASEAN kurang begitu baik meskipun untuk negara ASEAN jumlah tenaga kerja paling banyak diantara negara anggota ASEAN lainnya.</w:t>
      </w:r>
    </w:p>
    <w:p w:rsidR="00F855D9" w:rsidRPr="00F855D9" w:rsidRDefault="00F855D9" w:rsidP="00F855D9">
      <w:pPr>
        <w:widowControl w:val="0"/>
        <w:spacing w:after="0" w:line="480" w:lineRule="auto"/>
        <w:jc w:val="center"/>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Grafik 3.5 : Kebutuhan Sarjana teknik dalam MEA</w:t>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noProof/>
          <w:color w:val="000000"/>
          <w:kern w:val="2"/>
          <w:sz w:val="24"/>
          <w:szCs w:val="24"/>
          <w:lang w:eastAsia="id-ID"/>
        </w:rPr>
        <w:drawing>
          <wp:inline distT="0" distB="0" distL="0" distR="0" wp14:anchorId="508B15AA" wp14:editId="02CB0C5A">
            <wp:extent cx="5884333" cy="21164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9446" cy="2121891"/>
                    </a:xfrm>
                    <a:prstGeom prst="rect">
                      <a:avLst/>
                    </a:prstGeom>
                    <a:noFill/>
                    <a:ln>
                      <a:noFill/>
                    </a:ln>
                  </pic:spPr>
                </pic:pic>
              </a:graphicData>
            </a:graphic>
          </wp:inline>
        </w:drawing>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Sumber : Kementrian Perdagangan RI</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Diprediksi dalam periode antara 2015-2025 Indonesia akan mengalami kekurangan sarjana teknik sebanyak 10.000/tahun, dan kemungkinan gap ini akan dimanfaatkan oleh tenaga teknik dari negara </w:t>
      </w:r>
      <w:r w:rsidRPr="00F855D9">
        <w:rPr>
          <w:rFonts w:ascii="Times New Roman" w:eastAsia="PMingLiU" w:hAnsi="Times New Roman" w:cs="Times New Roman"/>
          <w:bCs/>
          <w:color w:val="000000"/>
          <w:kern w:val="2"/>
          <w:sz w:val="24"/>
          <w:szCs w:val="24"/>
          <w:lang w:eastAsia="zh-TW"/>
        </w:rPr>
        <w:lastRenderedPageBreak/>
        <w:t>lain khususnya dari ASEAN. Dalam persaingan di Masyarakat Ekonomi ASEAN, sarjana teknik luar negeri bisa menyerbu ke Indonesia, tetapi sarjana teknik kita tidak bisa ke luar negeri karena kita tidak punya UU Kesarjana teknikan. Mereka tidak percaya dengan kualitas sarjana teknik kita. Dengan adanya UU Kesarjana teknikan maka proses standardisasi, sertifikasi, profesionalisme, serta kesetaraan dalam menghadapi MEA  bisa lebih dikendalikan. Pembentukan RUU tersebut melibatkan sejumlah kementerian yaitu Kementerian Politik, Hukum dan Keamanan, Kementerian Pendidikan dan Kebudayaan, Kementerian Pekerjaan Umum, Kementerian Tenaga Kerja dan Transmigrasi, serta Kementerian Riset dan Teknologi. Namun selain adanya tuntutan untuk segera mengesahkan RUU Kesarjana teknikan, pemerintah juga berharap nantinya jika RUU ini sudah disahkan maka profesi sarjana teknik juga bisa melakukan kerja sama kemitraan antara publik dengan privat, sehingga koordinasi berjalan dengan baik antara pemerintah dengan swasta dan juga profesi sarjana teknik.</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Sekretaris Ditjen Kerja Sama ASEAN, Kementrian Perdagangan Republik Indonesia, Iwan Suyudhie Amri menjelaskan bahwa : </w:t>
      </w:r>
    </w:p>
    <w:p w:rsidR="00F855D9" w:rsidRPr="00F855D9" w:rsidRDefault="00F855D9" w:rsidP="00915C1B">
      <w:pPr>
        <w:widowControl w:val="0"/>
        <w:spacing w:after="0" w:line="24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MEA bukanlah AFTA (</w:t>
      </w:r>
      <w:r w:rsidRPr="00F855D9">
        <w:rPr>
          <w:rFonts w:ascii="Times New Roman" w:eastAsia="PMingLiU" w:hAnsi="Times New Roman" w:cs="Times New Roman"/>
          <w:bCs/>
          <w:i/>
          <w:color w:val="000000"/>
          <w:kern w:val="2"/>
          <w:sz w:val="24"/>
          <w:szCs w:val="24"/>
          <w:lang w:eastAsia="zh-TW"/>
        </w:rPr>
        <w:t>ASEAN Free Trade Agreement</w:t>
      </w:r>
      <w:r w:rsidRPr="00F855D9">
        <w:rPr>
          <w:rFonts w:ascii="Times New Roman" w:eastAsia="PMingLiU" w:hAnsi="Times New Roman" w:cs="Times New Roman"/>
          <w:bCs/>
          <w:color w:val="000000"/>
          <w:kern w:val="2"/>
          <w:sz w:val="24"/>
          <w:szCs w:val="24"/>
          <w:lang w:eastAsia="zh-TW"/>
        </w:rPr>
        <w:t xml:space="preserve">) karena MEA memiliki cakupan dimensi kerja sama yang lebih luas dibanding AFTA yang hanya mengatur liberalisasi perdagangan barang. Setelah tanggal 31 Desember 2015 tidak akan ada perubahan yang drastis di sektor perdagangan barang, karena sejak 5 tahun terakhir bebas tarif sudah diterapkan bagi 99% produk barang di ASEAN. Sementara untuk sektor jasa, khususnya tenaga profesional, implementasi bertahap komitmen liberalisasi masih akan melampaui 31 Desember 2015. Disadari sektor ini sering menjadi perhatian publik utamanya terkait dengan pertanyaan-pertanyaan di atas. Bahwa daya saing adalah kunci sukses meraih peluang MEA, perubahan mind set dalam memandang MEA menjadi suatu keharusan. Kepedulian harus lebih menonjol dari pada rasa pesimis. </w:t>
      </w:r>
      <w:r w:rsidRPr="00F855D9">
        <w:rPr>
          <w:rFonts w:ascii="Times New Roman" w:eastAsia="PMingLiU" w:hAnsi="Times New Roman" w:cs="Times New Roman"/>
          <w:bCs/>
          <w:color w:val="000000"/>
          <w:kern w:val="2"/>
          <w:sz w:val="24"/>
          <w:szCs w:val="24"/>
          <w:lang w:eastAsia="zh-TW"/>
        </w:rPr>
        <w:lastRenderedPageBreak/>
        <w:t>Mengkapitalisasi peluang akan lebih baik dari pada mengkhawatirkan ancaman. Tentu saja ini bukan suatu optimisme yang tanpa syarat. Menengok pada liberalisasi sektor jasa dan secara lebih khusus menyangkut tenaga kerja profesional sarjana teknik, misalnya, peluang dan tantangan bagaikan dua sisi mata uang dari uang yang sama. Pada setiap peluang selalu menyajikan tantangan dan sebaliknya. Bagi Indonesia yang akan gencar membangun infrastruktur dalam 5 - 10 tahun ke depan, kebutuhan akan tenaga profesional sarjana teknik akan semakin terasa urgensinya.</w:t>
      </w:r>
    </w:p>
    <w:p w:rsidR="00F855D9" w:rsidRPr="00F855D9" w:rsidRDefault="00F855D9" w:rsidP="00915C1B">
      <w:pPr>
        <w:widowControl w:val="0"/>
        <w:spacing w:after="0" w:line="24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Indonesia telah memiliki 700.000 sarjana teknik dan 9.500 diantaranya telah tersertifikasi ACPE (ASEAN </w:t>
      </w:r>
      <w:r w:rsidRPr="00F855D9">
        <w:rPr>
          <w:rFonts w:ascii="Times New Roman" w:eastAsia="PMingLiU" w:hAnsi="Times New Roman" w:cs="Times New Roman"/>
          <w:bCs/>
          <w:i/>
          <w:color w:val="000000"/>
          <w:kern w:val="2"/>
          <w:sz w:val="24"/>
          <w:szCs w:val="24"/>
          <w:lang w:eastAsia="zh-TW"/>
        </w:rPr>
        <w:t>Chartered Professional Engineer</w:t>
      </w:r>
      <w:r w:rsidRPr="00F855D9">
        <w:rPr>
          <w:rFonts w:ascii="Times New Roman" w:eastAsia="PMingLiU" w:hAnsi="Times New Roman" w:cs="Times New Roman"/>
          <w:bCs/>
          <w:color w:val="000000"/>
          <w:kern w:val="2"/>
          <w:sz w:val="24"/>
          <w:szCs w:val="24"/>
          <w:lang w:eastAsia="zh-TW"/>
        </w:rPr>
        <w:t xml:space="preserve">). Jumlah itu merupakan yang terbesar dibandingkan dengan negara anggota ASEAN lainnya. Data tersebut mengisyaratkan bahwa profesi sarjana teknik Indonesia memiliki modal yang kuat untuk menembus pasar tenaga kerja profesional di ASEAN. Namun, jumlah tersebut masih defisit jika menilik kebutuhan pasar dalam negeri. Diperkirakan, 5 – 10 tahun ke depan Indonesia membutuhkan sekitar 1,5 juta tenaga sarjana teknik guna mendukung pertumbuhan ekonomi di kisaran 7-8 persen. Apabila Indonesia tidak mampu memenuhi kebutuhan tersebut tidaklah mustahil sarjana teknik asing akan turut menikmati pasar dalam negeri. Walaupun aliran bebas tenaga kerja profesional asing dalam jangka pendek diperlukan untuk menopang pembangunan, Indonesia tetap harus mencetak lebih banyak sarjana teknik dan mendorong mereka agar memiliki sertifikat ACPE agar mampu bersaing di pasar dalam negeri, ASEAN, dan bahkan global. </w:t>
      </w:r>
    </w:p>
    <w:p w:rsidR="00F855D9" w:rsidRPr="00F855D9" w:rsidRDefault="00F855D9" w:rsidP="00F855D9">
      <w:pPr>
        <w:widowControl w:val="0"/>
        <w:spacing w:after="0" w:line="24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Sinergi antar pemangku kepentingan juga merupakan faktor penting dalam mendongkrak daya saing tenaga profesional. Pemerintah daerah, dunia pendidikan dan perguruan tinggi, praktisi, pelaku usaha, dan kalangan media mempunyai peran yang tidak kalah pentingnya dalam meningkatkan kapasitas sumber daya manusia Indonesia. Mengangkat kualitas angkatan kerja profesional Indonesia seperti peningkatan kapasitas pergururan tinggi serta pendidikan keterampilan dan kejuruan harus menjadi prioritas. Komposisi pendidikan kejuruan dengan pendidikan umum harus disesuaikan. Balai pelatihan kerja harus didukung dan semakin dikedepankan perannya. Tentu saja pemerintah daerah juga memiliki peran sentral. Langkah sejumlah pemerintah daerah yang telah </w:t>
      </w:r>
      <w:r w:rsidRPr="00F855D9">
        <w:rPr>
          <w:rFonts w:ascii="Times New Roman" w:eastAsia="PMingLiU" w:hAnsi="Times New Roman" w:cs="Times New Roman"/>
          <w:bCs/>
          <w:color w:val="000000"/>
          <w:kern w:val="2"/>
          <w:sz w:val="24"/>
          <w:szCs w:val="24"/>
          <w:lang w:eastAsia="zh-TW"/>
        </w:rPr>
        <w:lastRenderedPageBreak/>
        <w:t xml:space="preserve">melaksanakan pelatihan bahasa Inggris secara cuma-cuma merupakan kontribusi signifikan dalam mempersiapkan diri menghadapi MEA. Sinergi dengan media juga sangat penting. Penyampaian pemahaman mengenai MEA yang komprehensif dan tidak parsial melalui media massa akan sangat membantu dalam mempersiapkan tenaga kerja profesional Indonesia bersaing di ASEAN dan dunia. Melalui MEA, kawasan ASEAN termasuk Indonesia di dalamnya, diharapkan akan semakin mengukuhkan diri sebagai </w:t>
      </w:r>
      <w:r w:rsidRPr="00F855D9">
        <w:rPr>
          <w:rFonts w:ascii="Times New Roman" w:eastAsia="PMingLiU" w:hAnsi="Times New Roman" w:cs="Times New Roman"/>
          <w:bCs/>
          <w:i/>
          <w:color w:val="000000"/>
          <w:kern w:val="2"/>
          <w:sz w:val="24"/>
          <w:szCs w:val="24"/>
          <w:lang w:eastAsia="zh-TW"/>
        </w:rPr>
        <w:t>rising star</w:t>
      </w:r>
      <w:r w:rsidRPr="00F855D9">
        <w:rPr>
          <w:rFonts w:ascii="Times New Roman" w:eastAsia="PMingLiU" w:hAnsi="Times New Roman" w:cs="Times New Roman"/>
          <w:bCs/>
          <w:color w:val="000000"/>
          <w:kern w:val="2"/>
          <w:sz w:val="24"/>
          <w:szCs w:val="24"/>
          <w:lang w:eastAsia="zh-TW"/>
        </w:rPr>
        <w:t xml:space="preserve"> alternatif tujuan investasi dan perdagangan dunia selain Tiongkok dan India. Buah MEA tersebut harus dikelola agar bisa dinikmati secara berkelanjutan oleh masyarakat Indonesia. </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Sekalipun pelaku jasa konstruksi yang bersifat spesialis masih perlu ditingkatkan dalam hal jumlahnya. Namun disisi lain, jika dibandingkan dengan pelaku jasa konstruksi yang ada di wilayah regional Asean, jelas pelaku jasa konstruksi nasional sudah memiliki banyak kelebihan di bandingkan mereka. Sebut saja misalnya, dengan berjalannya Program MP3EI dimana semua pekerjaan konstruksi yang nilainya berjumlah Rp1.786,1 Triliun secara otomatis pekerjaan itu dilakukan oleh pelaku jasa konstruksi nasional. Dimana jenis pekerjaan yang dilakukan cukup bervariasi dari mulai infrastruktur Jalan, Pelabuhan, Pembangkit Listrik, Bandara, Rel Kereta Api, Utilitas Air, Telematika dan lainnya. Jelas ini menunjukan bahwa pelaku jasa konstruksi nasional memiliki kapasitas dan kapabilitas yang telah teruji. Sehingga wajar ketika pasar tunggal ASEAN diberlakukan sebenarnya satu keuntungan bagi pelaku jasa konstruksi nasional karena potensi pasar konstruksi yang akan mereka </w:t>
      </w:r>
      <w:r w:rsidRPr="00F855D9">
        <w:rPr>
          <w:rFonts w:ascii="Times New Roman" w:eastAsia="PMingLiU" w:hAnsi="Times New Roman" w:cs="Times New Roman"/>
          <w:bCs/>
          <w:color w:val="000000"/>
          <w:kern w:val="2"/>
          <w:sz w:val="24"/>
          <w:szCs w:val="24"/>
          <w:lang w:eastAsia="zh-TW"/>
        </w:rPr>
        <w:lastRenderedPageBreak/>
        <w:t>dapatkan akan lebih besar dibanding saat ini.</w:t>
      </w:r>
    </w:p>
    <w:p w:rsidR="00F855D9" w:rsidRPr="00F855D9" w:rsidRDefault="00F855D9" w:rsidP="00915C1B">
      <w:pPr>
        <w:widowControl w:val="0"/>
        <w:spacing w:after="0" w:line="480" w:lineRule="auto"/>
        <w:ind w:left="720" w:firstLine="720"/>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 xml:space="preserve">Terkait sumber daya manusia, kompetensi sumber daya manusia konstruksi merupakan persyaratan mutlak bagi peningkatan daya saing industri konstruksi nasional. Oleh karena itu, kebijakan pembinaan konstruksi diarahkan untuk meningkatan profesionalitas sumber daya manusia konstruksi Indonesia yang ditandai dengan pemberlakuan sertifikasi keahlian dan keterampilan, baik tingkat nasional maupun internasional. Pemerintah  menfasilitasi dan mendorong asosiasi profesi dan kelembagaan terkait di sektor konstruksi dalam menetapkan bakuan kompetensi, penyelenggaraan konvensi, dan proses sertifikasi tenaga ahli dan terampil sektor konstruksi. </w:t>
      </w: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p>
    <w:p w:rsidR="00F855D9" w:rsidRDefault="00F855D9" w:rsidP="00F855D9">
      <w:pPr>
        <w:widowControl w:val="0"/>
        <w:spacing w:after="0" w:line="480" w:lineRule="auto"/>
        <w:jc w:val="both"/>
        <w:rPr>
          <w:rFonts w:ascii="Times New Roman" w:eastAsia="PMingLiU" w:hAnsi="Times New Roman" w:cs="Times New Roman"/>
          <w:bCs/>
          <w:color w:val="000000"/>
          <w:kern w:val="2"/>
          <w:sz w:val="24"/>
          <w:szCs w:val="24"/>
          <w:lang w:eastAsia="zh-TW"/>
        </w:rPr>
      </w:pPr>
    </w:p>
    <w:p w:rsidR="00F52E6B" w:rsidRDefault="00F52E6B" w:rsidP="00F855D9">
      <w:pPr>
        <w:widowControl w:val="0"/>
        <w:spacing w:after="0" w:line="480" w:lineRule="auto"/>
        <w:jc w:val="center"/>
        <w:rPr>
          <w:rFonts w:ascii="Times New Roman" w:eastAsia="PMingLiU" w:hAnsi="Times New Roman" w:cs="Times New Roman"/>
          <w:bCs/>
          <w:color w:val="000000"/>
          <w:kern w:val="2"/>
          <w:sz w:val="24"/>
          <w:szCs w:val="24"/>
          <w:lang w:eastAsia="zh-TW"/>
        </w:rPr>
      </w:pPr>
    </w:p>
    <w:p w:rsidR="00F52E6B" w:rsidRDefault="00F52E6B" w:rsidP="00F855D9">
      <w:pPr>
        <w:widowControl w:val="0"/>
        <w:spacing w:after="0" w:line="480" w:lineRule="auto"/>
        <w:jc w:val="center"/>
        <w:rPr>
          <w:rFonts w:ascii="Times New Roman" w:eastAsia="PMingLiU" w:hAnsi="Times New Roman" w:cs="Times New Roman"/>
          <w:bCs/>
          <w:color w:val="000000"/>
          <w:kern w:val="2"/>
          <w:sz w:val="24"/>
          <w:szCs w:val="24"/>
          <w:lang w:eastAsia="zh-TW"/>
        </w:rPr>
      </w:pPr>
    </w:p>
    <w:p w:rsidR="00F855D9" w:rsidRPr="00F855D9" w:rsidRDefault="00F855D9" w:rsidP="00F855D9">
      <w:pPr>
        <w:widowControl w:val="0"/>
        <w:spacing w:after="0" w:line="480" w:lineRule="auto"/>
        <w:jc w:val="center"/>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lastRenderedPageBreak/>
        <w:t>BAB IV</w:t>
      </w:r>
    </w:p>
    <w:p w:rsidR="00F855D9" w:rsidRPr="00F855D9" w:rsidRDefault="00F855D9" w:rsidP="00F855D9">
      <w:pPr>
        <w:widowControl w:val="0"/>
        <w:spacing w:after="0" w:line="480" w:lineRule="auto"/>
        <w:jc w:val="center"/>
        <w:rPr>
          <w:rFonts w:ascii="Times New Roman" w:eastAsia="PMingLiU" w:hAnsi="Times New Roman" w:cs="Times New Roman"/>
          <w:b/>
          <w:bCs/>
          <w:color w:val="000000"/>
          <w:kern w:val="2"/>
          <w:sz w:val="24"/>
          <w:szCs w:val="24"/>
          <w:lang w:eastAsia="zh-TW"/>
        </w:rPr>
      </w:pPr>
      <w:r w:rsidRPr="00F855D9">
        <w:rPr>
          <w:rFonts w:ascii="Times New Roman" w:eastAsia="PMingLiU" w:hAnsi="Times New Roman" w:cs="Times New Roman"/>
          <w:b/>
          <w:bCs/>
          <w:color w:val="000000"/>
          <w:kern w:val="2"/>
          <w:sz w:val="24"/>
          <w:szCs w:val="24"/>
          <w:lang w:eastAsia="zh-TW"/>
        </w:rPr>
        <w:t>PENUTUP</w:t>
      </w:r>
    </w:p>
    <w:p w:rsidR="00F855D9" w:rsidRPr="00F855D9" w:rsidRDefault="00F855D9" w:rsidP="00F855D9">
      <w:pPr>
        <w:widowControl w:val="0"/>
        <w:spacing w:after="0" w:line="480" w:lineRule="auto"/>
        <w:jc w:val="center"/>
        <w:rPr>
          <w:rFonts w:ascii="Times New Roman" w:eastAsia="PMingLiU" w:hAnsi="Times New Roman" w:cs="Times New Roman"/>
          <w:b/>
          <w:bCs/>
          <w:color w:val="000000"/>
          <w:kern w:val="2"/>
          <w:sz w:val="24"/>
          <w:szCs w:val="24"/>
          <w:lang w:eastAsia="zh-TW"/>
        </w:rPr>
      </w:pPr>
    </w:p>
    <w:p w:rsidR="00F855D9" w:rsidRPr="00F855D9" w:rsidRDefault="00F855D9" w:rsidP="003D7355">
      <w:pPr>
        <w:widowControl w:val="0"/>
        <w:numPr>
          <w:ilvl w:val="3"/>
          <w:numId w:val="78"/>
        </w:numPr>
        <w:spacing w:after="0" w:line="480" w:lineRule="auto"/>
        <w:ind w:left="426"/>
        <w:contextualSpacing/>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KESIMPULAN</w:t>
      </w:r>
    </w:p>
    <w:p w:rsidR="00F855D9" w:rsidRPr="00F855D9" w:rsidRDefault="00F855D9" w:rsidP="00915C1B">
      <w:pPr>
        <w:widowControl w:val="0"/>
        <w:spacing w:after="0" w:line="480" w:lineRule="auto"/>
        <w:ind w:firstLine="491"/>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Berdasarkan penelitian dan pembahasan yang telah dilakukan, dapat ditarik kesimpulan sebagai  berikut :</w:t>
      </w:r>
    </w:p>
    <w:p w:rsidR="00967E1A" w:rsidRDefault="00F855D9" w:rsidP="00967E1A">
      <w:pPr>
        <w:pStyle w:val="ListParagraph"/>
        <w:widowControl w:val="0"/>
        <w:numPr>
          <w:ilvl w:val="0"/>
          <w:numId w:val="106"/>
        </w:numPr>
        <w:tabs>
          <w:tab w:val="left" w:pos="1560"/>
        </w:tabs>
        <w:spacing w:after="0" w:line="480" w:lineRule="auto"/>
        <w:jc w:val="both"/>
        <w:rPr>
          <w:rFonts w:ascii="Times New Roman" w:eastAsia="PMingLiU" w:hAnsi="Times New Roman" w:cs="Times New Roman"/>
          <w:bCs/>
          <w:color w:val="000000"/>
          <w:kern w:val="2"/>
          <w:sz w:val="24"/>
          <w:szCs w:val="24"/>
          <w:lang w:eastAsia="zh-TW"/>
        </w:rPr>
      </w:pPr>
      <w:r w:rsidRPr="00967E1A">
        <w:rPr>
          <w:rFonts w:ascii="Times New Roman" w:eastAsia="PMingLiU" w:hAnsi="Times New Roman" w:cs="Times New Roman"/>
          <w:bCs/>
          <w:color w:val="000000"/>
          <w:kern w:val="2"/>
          <w:sz w:val="24"/>
          <w:szCs w:val="24"/>
          <w:lang w:eastAsia="zh-TW"/>
        </w:rPr>
        <w:t xml:space="preserve"> Melalui Undang – Undang Nomor 18 Tahun 1999 Tentang Jasa Konstruksi, pemerintah Indonesia mengeluarkan kebijakan bahwa jenis bidang usaha jasa konstruksi yang dibuka untuk diperdagangkan Indonesia adalah perencana konstruksi, pelaksana konstruksi dan pengawas konstruksi. Kebijakan pembatasan kepemilikan modal dilakukan melalui undang – undang nomor 25 Tahun 2007 tentang penanaman modal Kebijakan untuk memenuhi standar nasional Indonesia (SNI) yang telah ditentukan dalam Undang – Undang Nomor 7 Tahun 2014 tentang Perdagangan. Kebijakan untuk membatasi melonjaknya insinyur asing ke Indonesia melalui Undang – Undang Nomor 11 Tahun 2014 Tentang Keinsinyuran. </w:t>
      </w:r>
    </w:p>
    <w:p w:rsidR="00967E1A" w:rsidRDefault="00F855D9" w:rsidP="00967E1A">
      <w:pPr>
        <w:pStyle w:val="ListParagraph"/>
        <w:widowControl w:val="0"/>
        <w:tabs>
          <w:tab w:val="left" w:pos="1560"/>
        </w:tabs>
        <w:spacing w:after="0" w:line="480" w:lineRule="auto"/>
        <w:jc w:val="both"/>
        <w:rPr>
          <w:rFonts w:ascii="Times New Roman" w:eastAsia="PMingLiU" w:hAnsi="Times New Roman" w:cs="Times New Roman"/>
          <w:bCs/>
          <w:color w:val="000000"/>
          <w:kern w:val="2"/>
          <w:sz w:val="24"/>
          <w:szCs w:val="24"/>
          <w:lang w:eastAsia="zh-TW"/>
        </w:rPr>
      </w:pPr>
      <w:r w:rsidRPr="00967E1A">
        <w:rPr>
          <w:rFonts w:ascii="Times New Roman" w:eastAsia="PMingLiU" w:hAnsi="Times New Roman" w:cs="Times New Roman"/>
          <w:bCs/>
          <w:color w:val="000000"/>
          <w:kern w:val="2"/>
          <w:sz w:val="24"/>
          <w:szCs w:val="24"/>
          <w:lang w:eastAsia="zh-TW"/>
        </w:rPr>
        <w:t xml:space="preserve">Standarisasi tenaga kerja ahli dan insinyur belum mampu bersaing dengan standarisasi dari negara ASEAN lainnya, pembatasan kepemilikan modal dari pemerintah Indonesia mendorong kurangnya minat investor untuk berinvestasi di Indonesia, semakin banyaknya tenaga kerja asing yang masuk ke Indonesia, kurang minatnya pengusaha konstruksi dalam negeri untuk melakukan perdagangan di luar negara Indonesia, semakin banyak tenaga kerja yang memenuhi standarisai MRA melalui kerja sama antar </w:t>
      </w:r>
      <w:r w:rsidRPr="00967E1A">
        <w:rPr>
          <w:rFonts w:ascii="Times New Roman" w:eastAsia="PMingLiU" w:hAnsi="Times New Roman" w:cs="Times New Roman"/>
          <w:bCs/>
          <w:color w:val="000000"/>
          <w:kern w:val="2"/>
          <w:sz w:val="24"/>
          <w:szCs w:val="24"/>
          <w:lang w:eastAsia="zh-TW"/>
        </w:rPr>
        <w:lastRenderedPageBreak/>
        <w:t>Indonesia dan Malaysia. Era MEA yang telah berjalan satu tahun lebih banyak memberikan dampak negatif terhadap perdagangan jasa di sektor konstruksi di Indonesia</w:t>
      </w:r>
    </w:p>
    <w:p w:rsidR="00967E1A" w:rsidRDefault="00F855D9" w:rsidP="00967E1A">
      <w:pPr>
        <w:pStyle w:val="ListParagraph"/>
        <w:widowControl w:val="0"/>
        <w:numPr>
          <w:ilvl w:val="0"/>
          <w:numId w:val="106"/>
        </w:numPr>
        <w:tabs>
          <w:tab w:val="left" w:pos="1560"/>
        </w:tabs>
        <w:spacing w:after="0" w:line="480" w:lineRule="auto"/>
        <w:jc w:val="both"/>
        <w:rPr>
          <w:rFonts w:ascii="Times New Roman" w:eastAsia="PMingLiU" w:hAnsi="Times New Roman" w:cs="Times New Roman"/>
          <w:bCs/>
          <w:color w:val="000000"/>
          <w:kern w:val="2"/>
          <w:sz w:val="24"/>
          <w:szCs w:val="24"/>
          <w:lang w:eastAsia="zh-TW"/>
        </w:rPr>
      </w:pPr>
      <w:r w:rsidRPr="00967E1A">
        <w:rPr>
          <w:rFonts w:ascii="Times New Roman" w:eastAsia="PMingLiU" w:hAnsi="Times New Roman" w:cs="Times New Roman"/>
          <w:bCs/>
          <w:color w:val="000000"/>
          <w:kern w:val="2"/>
          <w:sz w:val="24"/>
          <w:szCs w:val="24"/>
          <w:lang w:eastAsia="zh-TW"/>
        </w:rPr>
        <w:t>Kualitas SDM Indonesia yang masih kurang bagus belum mampu bersaing dengan negara yang memiliki daya saing SDM yang baik. Sedangkan hambatan bagi pelaku usaha dalam persaingan perdagangan jasa di sektor konstruksi dalam rangka MEA kondisi pelaku usaha pasar konstruksi yang lemah dimana konstraktor besar dari luar negeri menguasi pasar walaupun jumlah konstraktor besar asing lebih sedikit daripada konstraktor Indonesia.</w:t>
      </w:r>
    </w:p>
    <w:p w:rsidR="00915C1B" w:rsidRPr="00967E1A" w:rsidRDefault="00F855D9" w:rsidP="00967E1A">
      <w:pPr>
        <w:pStyle w:val="ListParagraph"/>
        <w:widowControl w:val="0"/>
        <w:tabs>
          <w:tab w:val="left" w:pos="1560"/>
        </w:tabs>
        <w:spacing w:after="0" w:line="480" w:lineRule="auto"/>
        <w:jc w:val="both"/>
        <w:rPr>
          <w:rFonts w:ascii="Times New Roman" w:eastAsia="PMingLiU" w:hAnsi="Times New Roman" w:cs="Times New Roman"/>
          <w:bCs/>
          <w:color w:val="000000"/>
          <w:kern w:val="2"/>
          <w:sz w:val="24"/>
          <w:szCs w:val="24"/>
          <w:lang w:eastAsia="zh-TW"/>
        </w:rPr>
      </w:pPr>
      <w:r w:rsidRPr="00967E1A">
        <w:rPr>
          <w:rFonts w:ascii="Times New Roman" w:eastAsia="PMingLiU" w:hAnsi="Times New Roman" w:cs="Times New Roman"/>
          <w:bCs/>
          <w:color w:val="000000"/>
          <w:kern w:val="2"/>
          <w:sz w:val="24"/>
          <w:szCs w:val="24"/>
          <w:lang w:eastAsia="zh-TW"/>
        </w:rPr>
        <w:t>Indonesia merupakan negara yang mempunyai kemudahan berbisnis yang rendah karena berbagai regulasi yang menyulitkan pelaku usaha untuk memulai usahanya di Indonesia. Singapura merupakan negara dengan pelaku usaha yang paling banyak melakukan investasi di sektor jasa konstruksi dengan 25 investasi di berbagai negara di ASEAN, Indonesia menduduki peringkat ke 4 dengan 11 investasi di sektor jasa konstruksi. Permintaan tenaga kerja dari Indonesia untuk insinyur dan arsitektur cukup rendah dan kurang diminati. Pengalaman kerja yang kurang dan kalahnya sistem pendidikan dengan Singapura masih menjadi faktor kurangnya permintaan tenaga kerja dari Indonesia. Faktor kepercayaan atas tenaga kerja dari Singapura juga membuat para insinyur maupun arsitek Indonesia kurang dilirik.</w:t>
      </w:r>
    </w:p>
    <w:p w:rsidR="007558F8" w:rsidRDefault="007558F8" w:rsidP="007558F8">
      <w:pPr>
        <w:widowControl w:val="0"/>
        <w:spacing w:after="0" w:line="480" w:lineRule="auto"/>
        <w:contextualSpacing/>
        <w:jc w:val="both"/>
        <w:rPr>
          <w:rFonts w:ascii="Times New Roman" w:eastAsia="PMingLiU" w:hAnsi="Times New Roman" w:cs="Times New Roman"/>
          <w:bCs/>
          <w:color w:val="000000"/>
          <w:kern w:val="2"/>
          <w:sz w:val="24"/>
          <w:szCs w:val="24"/>
          <w:lang w:eastAsia="zh-TW"/>
        </w:rPr>
      </w:pPr>
    </w:p>
    <w:p w:rsidR="007558F8" w:rsidRDefault="007558F8" w:rsidP="007558F8">
      <w:pPr>
        <w:widowControl w:val="0"/>
        <w:spacing w:after="0" w:line="480" w:lineRule="auto"/>
        <w:contextualSpacing/>
        <w:jc w:val="both"/>
        <w:rPr>
          <w:rFonts w:ascii="Times New Roman" w:eastAsia="PMingLiU" w:hAnsi="Times New Roman" w:cs="Times New Roman"/>
          <w:bCs/>
          <w:color w:val="000000"/>
          <w:kern w:val="2"/>
          <w:sz w:val="24"/>
          <w:szCs w:val="24"/>
          <w:lang w:eastAsia="zh-TW"/>
        </w:rPr>
      </w:pPr>
    </w:p>
    <w:p w:rsidR="007558F8" w:rsidRPr="007558F8" w:rsidRDefault="007558F8" w:rsidP="007558F8">
      <w:pPr>
        <w:widowControl w:val="0"/>
        <w:spacing w:after="0" w:line="480" w:lineRule="auto"/>
        <w:contextualSpacing/>
        <w:jc w:val="both"/>
        <w:rPr>
          <w:rFonts w:ascii="Times New Roman" w:eastAsia="PMingLiU" w:hAnsi="Times New Roman" w:cs="Times New Roman"/>
          <w:bCs/>
          <w:color w:val="000000"/>
          <w:kern w:val="2"/>
          <w:sz w:val="24"/>
          <w:szCs w:val="24"/>
          <w:lang w:eastAsia="zh-TW"/>
        </w:rPr>
      </w:pPr>
    </w:p>
    <w:p w:rsidR="00F855D9" w:rsidRPr="00F855D9" w:rsidRDefault="00F855D9" w:rsidP="003D7355">
      <w:pPr>
        <w:pStyle w:val="ListParagraph"/>
        <w:widowControl w:val="0"/>
        <w:numPr>
          <w:ilvl w:val="0"/>
          <w:numId w:val="80"/>
        </w:numPr>
        <w:spacing w:after="0" w:line="480" w:lineRule="auto"/>
        <w:jc w:val="both"/>
        <w:rPr>
          <w:rFonts w:ascii="Times New Roman" w:eastAsia="PMingLiU" w:hAnsi="Times New Roman" w:cs="Times New Roman"/>
          <w:bCs/>
          <w:color w:val="000000"/>
          <w:kern w:val="2"/>
          <w:sz w:val="24"/>
          <w:szCs w:val="24"/>
          <w:lang w:eastAsia="zh-TW"/>
        </w:rPr>
      </w:pPr>
      <w:r w:rsidRPr="00F855D9">
        <w:rPr>
          <w:rFonts w:ascii="Times New Roman" w:eastAsia="PMingLiU" w:hAnsi="Times New Roman" w:cs="Times New Roman"/>
          <w:bCs/>
          <w:color w:val="000000"/>
          <w:kern w:val="2"/>
          <w:sz w:val="24"/>
          <w:szCs w:val="24"/>
          <w:lang w:eastAsia="zh-TW"/>
        </w:rPr>
        <w:t>SARAN</w:t>
      </w:r>
    </w:p>
    <w:p w:rsidR="00915C1B" w:rsidRPr="007558F8" w:rsidRDefault="00F855D9" w:rsidP="00555791">
      <w:pPr>
        <w:widowControl w:val="0"/>
        <w:spacing w:after="0" w:line="480" w:lineRule="auto"/>
        <w:ind w:firstLine="426"/>
        <w:contextualSpacing/>
        <w:jc w:val="both"/>
        <w:rPr>
          <w:rFonts w:ascii="Times New Roman" w:eastAsia="PMingLiU" w:hAnsi="Times New Roman" w:cs="Times New Roman"/>
          <w:bCs/>
          <w:color w:val="000000"/>
          <w:kern w:val="2"/>
          <w:sz w:val="24"/>
          <w:szCs w:val="24"/>
          <w:lang w:eastAsia="zh-TW"/>
        </w:rPr>
        <w:sectPr w:rsidR="00915C1B" w:rsidRPr="007558F8" w:rsidSect="00915C1B">
          <w:pgSz w:w="11906" w:h="16838"/>
          <w:pgMar w:top="1702" w:right="1701" w:bottom="1701" w:left="2268" w:header="709" w:footer="709" w:gutter="0"/>
          <w:pgNumType w:start="1" w:chapStyle="1"/>
          <w:cols w:space="708"/>
          <w:docGrid w:linePitch="360"/>
        </w:sectPr>
      </w:pPr>
      <w:r w:rsidRPr="00F855D9">
        <w:rPr>
          <w:rFonts w:ascii="Times New Roman" w:eastAsia="PMingLiU" w:hAnsi="Times New Roman" w:cs="Times New Roman"/>
          <w:bCs/>
          <w:color w:val="000000"/>
          <w:kern w:val="2"/>
          <w:sz w:val="24"/>
          <w:szCs w:val="24"/>
          <w:lang w:eastAsia="zh-TW"/>
        </w:rPr>
        <w:t xml:space="preserve">Pemerintah Indonesia diharapkan tetap melakukan evaluasi dan perbaikan terhadap kinerja jasa konstruksi nasional agar menjadi lebih baik bahkan ditingkatkan dari waktu ke waktu. Dunia semakin kompetitif, semakin banyak pesaing dari negara lain yang muncul dan dapat berpotensi merebut pasar jasa konstruksi yang telah di tangani oleh jasa konstruksi nasional. Pelatihan dan penambahan tenaga kerja konstruksi nasional yang kompetitif dan diakui internasional perlu dilakukan secara konsisten, dan perlu didukung oleh seluruh pihak, yaitu pemerintah pusat, daerah, perbankan, </w:t>
      </w:r>
      <w:r w:rsidR="000A776B">
        <w:rPr>
          <w:rFonts w:ascii="Times New Roman" w:eastAsia="PMingLiU" w:hAnsi="Times New Roman" w:cs="Times New Roman"/>
          <w:bCs/>
          <w:color w:val="000000"/>
          <w:kern w:val="2"/>
          <w:sz w:val="24"/>
          <w:szCs w:val="24"/>
          <w:lang w:eastAsia="zh-TW"/>
        </w:rPr>
        <w:t>ketenagakerjaan, dan pendidik.</w:t>
      </w:r>
    </w:p>
    <w:p w:rsidR="00A37F88" w:rsidRPr="00A37F88" w:rsidRDefault="00A37F88" w:rsidP="00A37F88">
      <w:pPr>
        <w:widowControl w:val="0"/>
        <w:spacing w:after="0" w:line="480" w:lineRule="auto"/>
        <w:ind w:left="426" w:firstLine="294"/>
        <w:contextualSpacing/>
        <w:jc w:val="both"/>
        <w:rPr>
          <w:rFonts w:ascii="Times New Roman" w:eastAsia="PMingLiU" w:hAnsi="Times New Roman" w:cs="Times New Roman"/>
          <w:bCs/>
          <w:color w:val="000000"/>
          <w:kern w:val="2"/>
          <w:sz w:val="24"/>
          <w:szCs w:val="24"/>
          <w:lang w:eastAsia="zh-TW"/>
        </w:rPr>
      </w:pPr>
    </w:p>
    <w:p w:rsidR="00A37F88" w:rsidRPr="00A37F88" w:rsidRDefault="00A37F88" w:rsidP="00A37F88">
      <w:pPr>
        <w:widowControl w:val="0"/>
        <w:spacing w:after="0" w:line="480" w:lineRule="auto"/>
        <w:ind w:left="426" w:firstLine="294"/>
        <w:contextualSpacing/>
        <w:jc w:val="center"/>
        <w:rPr>
          <w:rFonts w:ascii="Times New Roman" w:eastAsia="PMingLiU" w:hAnsi="Times New Roman" w:cs="Times New Roman"/>
          <w:b/>
          <w:bCs/>
          <w:color w:val="000000"/>
          <w:kern w:val="2"/>
          <w:sz w:val="24"/>
          <w:szCs w:val="24"/>
          <w:lang w:eastAsia="zh-TW"/>
        </w:rPr>
      </w:pPr>
      <w:r w:rsidRPr="00A37F88">
        <w:rPr>
          <w:rFonts w:ascii="Times New Roman" w:eastAsia="PMingLiU" w:hAnsi="Times New Roman" w:cs="Times New Roman"/>
          <w:b/>
          <w:bCs/>
          <w:color w:val="000000"/>
          <w:kern w:val="2"/>
          <w:sz w:val="24"/>
          <w:szCs w:val="24"/>
          <w:lang w:eastAsia="zh-TW"/>
        </w:rPr>
        <w:t>DAFTAR PUSTAKA</w:t>
      </w:r>
    </w:p>
    <w:p w:rsidR="00A37F88" w:rsidRPr="00A37F88" w:rsidRDefault="00A37F88" w:rsidP="00A37F88">
      <w:pPr>
        <w:widowControl w:val="0"/>
        <w:spacing w:after="0" w:line="480" w:lineRule="auto"/>
        <w:rPr>
          <w:rFonts w:ascii="Times New Roman" w:eastAsia="PMingLiU" w:hAnsi="Times New Roman" w:cs="Times New Roman"/>
          <w:b/>
          <w:kern w:val="2"/>
          <w:sz w:val="24"/>
          <w:szCs w:val="24"/>
          <w:lang w:eastAsia="zh-TW"/>
        </w:rPr>
      </w:pPr>
    </w:p>
    <w:p w:rsidR="00A37F88" w:rsidRPr="00A37F88" w:rsidRDefault="00A37F88" w:rsidP="00A37F88">
      <w:pPr>
        <w:widowControl w:val="0"/>
        <w:numPr>
          <w:ilvl w:val="0"/>
          <w:numId w:val="96"/>
        </w:numPr>
        <w:spacing w:after="0" w:line="480" w:lineRule="auto"/>
        <w:contextualSpacing/>
        <w:jc w:val="both"/>
        <w:rPr>
          <w:rFonts w:ascii="Times New Roman" w:eastAsia="PMingLiU" w:hAnsi="Times New Roman" w:cs="Times New Roman"/>
          <w:b/>
          <w:kern w:val="2"/>
          <w:sz w:val="24"/>
          <w:szCs w:val="24"/>
          <w:lang w:eastAsia="zh-TW"/>
        </w:rPr>
      </w:pPr>
      <w:r w:rsidRPr="00A37F88">
        <w:rPr>
          <w:rFonts w:ascii="Times New Roman" w:eastAsia="PMingLiU" w:hAnsi="Times New Roman" w:cs="Times New Roman"/>
          <w:b/>
          <w:kern w:val="2"/>
          <w:sz w:val="24"/>
          <w:szCs w:val="24"/>
          <w:lang w:eastAsia="zh-TW"/>
        </w:rPr>
        <w:t>Buku</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val="en-US" w:eastAsia="zh-TW"/>
        </w:rPr>
      </w:pPr>
      <w:r w:rsidRPr="00A37F88">
        <w:rPr>
          <w:rFonts w:ascii="Times New Roman" w:eastAsia="PMingLiU" w:hAnsi="Times New Roman" w:cs="Times New Roman"/>
          <w:kern w:val="2"/>
          <w:sz w:val="24"/>
          <w:szCs w:val="24"/>
          <w:lang w:val="en-US" w:eastAsia="zh-TW"/>
        </w:rPr>
        <w:t>A.K</w:t>
      </w:r>
      <w:r w:rsidRPr="00A37F88">
        <w:rPr>
          <w:rFonts w:ascii="Times New Roman" w:eastAsia="PMingLiU" w:hAnsi="Times New Roman" w:cs="Times New Roman"/>
          <w:kern w:val="2"/>
          <w:sz w:val="24"/>
          <w:szCs w:val="24"/>
          <w:lang w:eastAsia="zh-TW"/>
        </w:rPr>
        <w:t>,</w:t>
      </w:r>
      <w:r w:rsidRPr="00A37F88">
        <w:rPr>
          <w:rFonts w:ascii="Times New Roman" w:eastAsia="PMingLiU" w:hAnsi="Times New Roman" w:cs="Times New Roman"/>
          <w:kern w:val="2"/>
          <w:sz w:val="24"/>
          <w:szCs w:val="24"/>
          <w:lang w:val="en-US" w:eastAsia="zh-TW"/>
        </w:rPr>
        <w:t xml:space="preserve"> Syahmin.,</w:t>
      </w:r>
      <w:r w:rsidRPr="00A37F88">
        <w:rPr>
          <w:rFonts w:ascii="Times New Roman" w:eastAsia="PMingLiU" w:hAnsi="Times New Roman" w:cs="Times New Roman"/>
          <w:kern w:val="2"/>
          <w:sz w:val="24"/>
          <w:szCs w:val="24"/>
          <w:lang w:eastAsia="zh-TW"/>
        </w:rPr>
        <w:t xml:space="preserve"> 2006, </w:t>
      </w:r>
      <w:r w:rsidRPr="00A37F88">
        <w:rPr>
          <w:rFonts w:ascii="Times New Roman" w:eastAsia="PMingLiU" w:hAnsi="Times New Roman" w:cs="Times New Roman"/>
          <w:kern w:val="2"/>
          <w:sz w:val="24"/>
          <w:szCs w:val="24"/>
          <w:lang w:val="en-US" w:eastAsia="zh-TW"/>
        </w:rPr>
        <w:t xml:space="preserve"> </w:t>
      </w:r>
      <w:r w:rsidRPr="00A37F88">
        <w:rPr>
          <w:rFonts w:ascii="Times New Roman" w:eastAsia="PMingLiU" w:hAnsi="Times New Roman" w:cs="Times New Roman"/>
          <w:i/>
          <w:kern w:val="2"/>
          <w:sz w:val="24"/>
          <w:szCs w:val="24"/>
          <w:lang w:val="en-US" w:eastAsia="zh-TW"/>
        </w:rPr>
        <w:t>Hukum Dagang Internasional (Dalam Kerangka Studi Analitis),</w:t>
      </w:r>
      <w:r w:rsidRPr="00A37F88">
        <w:rPr>
          <w:rFonts w:ascii="Times New Roman" w:eastAsia="PMingLiU" w:hAnsi="Times New Roman" w:cs="Times New Roman"/>
          <w:kern w:val="2"/>
          <w:sz w:val="24"/>
          <w:szCs w:val="24"/>
          <w:lang w:val="en-US" w:eastAsia="zh-TW"/>
        </w:rPr>
        <w:t xml:space="preserve"> </w:t>
      </w:r>
      <w:r w:rsidRPr="00A37F88">
        <w:rPr>
          <w:rFonts w:ascii="Times New Roman" w:eastAsia="PMingLiU" w:hAnsi="Times New Roman" w:cs="Times New Roman"/>
          <w:kern w:val="2"/>
          <w:sz w:val="24"/>
          <w:szCs w:val="24"/>
          <w:lang w:eastAsia="zh-TW"/>
        </w:rPr>
        <w:t xml:space="preserve">Jakarta : </w:t>
      </w:r>
      <w:r w:rsidRPr="00A37F88">
        <w:rPr>
          <w:rFonts w:ascii="Times New Roman" w:eastAsia="PMingLiU" w:hAnsi="Times New Roman" w:cs="Times New Roman"/>
          <w:kern w:val="2"/>
          <w:sz w:val="24"/>
          <w:szCs w:val="24"/>
          <w:lang w:val="en-US" w:eastAsia="zh-TW"/>
        </w:rPr>
        <w:t>PT Raja Grafindo Persada</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Abdulkadir, Muhammad., 2004,  </w:t>
      </w:r>
      <w:r w:rsidRPr="00A37F88">
        <w:rPr>
          <w:rFonts w:ascii="Times New Roman" w:eastAsia="PMingLiU" w:hAnsi="Times New Roman" w:cs="Times New Roman"/>
          <w:i/>
          <w:kern w:val="2"/>
          <w:sz w:val="24"/>
          <w:szCs w:val="24"/>
          <w:lang w:eastAsia="zh-TW"/>
        </w:rPr>
        <w:t>Hukum dan Penelitian Hukum</w:t>
      </w:r>
      <w:r w:rsidRPr="00A37F88">
        <w:rPr>
          <w:rFonts w:ascii="Times New Roman" w:eastAsia="PMingLiU" w:hAnsi="Times New Roman" w:cs="Times New Roman"/>
          <w:kern w:val="2"/>
          <w:sz w:val="24"/>
          <w:szCs w:val="24"/>
          <w:lang w:eastAsia="zh-TW"/>
        </w:rPr>
        <w:t>, Bandung : Citra Aditya Bakti</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Adrian, Payne., 2012, </w:t>
      </w:r>
      <w:r w:rsidRPr="00A37F88">
        <w:rPr>
          <w:rFonts w:ascii="Times New Roman" w:eastAsia="PMingLiU" w:hAnsi="Times New Roman" w:cs="Times New Roman"/>
          <w:i/>
          <w:kern w:val="2"/>
          <w:sz w:val="24"/>
          <w:szCs w:val="24"/>
          <w:lang w:eastAsia="zh-TW"/>
        </w:rPr>
        <w:t>Pemasaran Jasa (The Essence of Service Marketing)</w:t>
      </w:r>
      <w:r w:rsidRPr="00A37F88">
        <w:rPr>
          <w:rFonts w:ascii="Times New Roman" w:eastAsia="PMingLiU" w:hAnsi="Times New Roman" w:cs="Times New Roman"/>
          <w:kern w:val="2"/>
          <w:sz w:val="24"/>
          <w:szCs w:val="24"/>
          <w:lang w:eastAsia="zh-TW"/>
        </w:rPr>
        <w:t>, Terjemahan Fandy Tjiptono, Edisi Pertama, Cetakan Pertama, Yogyakarta : Penerbit Andi</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val="en-US" w:eastAsia="zh-TW"/>
        </w:rPr>
      </w:pPr>
      <w:r w:rsidRPr="00A37F88">
        <w:rPr>
          <w:rFonts w:ascii="Times New Roman" w:eastAsia="PMingLiU" w:hAnsi="Times New Roman" w:cs="Times New Roman"/>
          <w:kern w:val="2"/>
          <w:sz w:val="24"/>
          <w:szCs w:val="24"/>
          <w:lang w:eastAsia="zh-TW"/>
        </w:rPr>
        <w:t>Arifin,</w:t>
      </w:r>
      <w:r w:rsidRPr="00A37F88">
        <w:rPr>
          <w:rFonts w:ascii="Times New Roman" w:eastAsia="PMingLiU" w:hAnsi="Times New Roman" w:cs="Times New Roman"/>
          <w:kern w:val="2"/>
          <w:sz w:val="24"/>
          <w:szCs w:val="24"/>
          <w:lang w:val="en-US" w:eastAsia="zh-TW"/>
        </w:rPr>
        <w:t xml:space="preserve"> Sjamsul</w:t>
      </w:r>
      <w:r w:rsidRPr="00A37F88">
        <w:rPr>
          <w:rFonts w:ascii="Times New Roman" w:eastAsia="PMingLiU" w:hAnsi="Times New Roman" w:cs="Times New Roman"/>
          <w:kern w:val="2"/>
          <w:sz w:val="24"/>
          <w:szCs w:val="24"/>
          <w:lang w:eastAsia="zh-TW"/>
        </w:rPr>
        <w:t>., 2008,</w:t>
      </w:r>
      <w:r w:rsidRPr="00A37F88">
        <w:rPr>
          <w:rFonts w:ascii="Times New Roman" w:eastAsia="PMingLiU" w:hAnsi="Times New Roman" w:cs="Times New Roman"/>
          <w:kern w:val="2"/>
          <w:sz w:val="24"/>
          <w:szCs w:val="24"/>
          <w:lang w:val="en-US" w:eastAsia="zh-TW"/>
        </w:rPr>
        <w:t xml:space="preserve"> </w:t>
      </w:r>
      <w:r w:rsidRPr="00A37F88">
        <w:rPr>
          <w:rFonts w:ascii="Times New Roman" w:eastAsia="PMingLiU" w:hAnsi="Times New Roman" w:cs="Times New Roman"/>
          <w:i/>
          <w:kern w:val="2"/>
          <w:sz w:val="24"/>
          <w:szCs w:val="24"/>
          <w:lang w:val="en-US" w:eastAsia="zh-TW"/>
        </w:rPr>
        <w:t>Masyarakat Ekonomi ASEAN 2015:Memperkuat Sinergi</w:t>
      </w:r>
      <w:r w:rsidRPr="00A37F88">
        <w:rPr>
          <w:rFonts w:ascii="Times New Roman" w:eastAsia="PMingLiU" w:hAnsi="Times New Roman" w:cs="Times New Roman"/>
          <w:i/>
          <w:kern w:val="2"/>
          <w:sz w:val="24"/>
          <w:szCs w:val="24"/>
          <w:lang w:eastAsia="zh-TW"/>
        </w:rPr>
        <w:t xml:space="preserve"> </w:t>
      </w:r>
      <w:r w:rsidRPr="00A37F88">
        <w:rPr>
          <w:rFonts w:ascii="Times New Roman" w:eastAsia="PMingLiU" w:hAnsi="Times New Roman" w:cs="Times New Roman"/>
          <w:i/>
          <w:kern w:val="2"/>
          <w:sz w:val="24"/>
          <w:szCs w:val="24"/>
          <w:lang w:val="en-US" w:eastAsia="zh-TW"/>
        </w:rPr>
        <w:t>ASEAN Ditengah Kompetisi Global</w:t>
      </w:r>
      <w:r w:rsidRPr="00A37F88">
        <w:rPr>
          <w:rFonts w:ascii="Times New Roman" w:eastAsia="PMingLiU" w:hAnsi="Times New Roman" w:cs="Times New Roman"/>
          <w:kern w:val="2"/>
          <w:sz w:val="24"/>
          <w:szCs w:val="24"/>
          <w:lang w:val="en-US" w:eastAsia="zh-TW"/>
        </w:rPr>
        <w:t>. Jakarta: PT Elex Media Komputindo</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val="en-US" w:eastAsia="zh-TW"/>
        </w:rPr>
      </w:pPr>
      <w:r w:rsidRPr="00A37F88">
        <w:rPr>
          <w:rFonts w:ascii="Times New Roman" w:eastAsia="PMingLiU" w:hAnsi="Times New Roman" w:cs="Times New Roman"/>
          <w:kern w:val="2"/>
          <w:sz w:val="24"/>
          <w:szCs w:val="24"/>
          <w:lang w:val="en-US" w:eastAsia="zh-TW"/>
        </w:rPr>
        <w:t xml:space="preserve">Badan Pengkajian dan Kebijakan Kementerian Luar Negeri Republik Indonesia BPPK Kemenlu-RI, </w:t>
      </w:r>
      <w:r w:rsidRPr="00A37F88">
        <w:rPr>
          <w:rFonts w:ascii="Times New Roman" w:eastAsia="PMingLiU" w:hAnsi="Times New Roman" w:cs="Times New Roman"/>
          <w:kern w:val="2"/>
          <w:sz w:val="24"/>
          <w:szCs w:val="24"/>
          <w:lang w:eastAsia="zh-TW"/>
        </w:rPr>
        <w:t xml:space="preserve">2008, </w:t>
      </w:r>
      <w:r w:rsidRPr="00A37F88">
        <w:rPr>
          <w:rFonts w:ascii="Times New Roman" w:eastAsia="PMingLiU" w:hAnsi="Times New Roman" w:cs="Times New Roman"/>
          <w:i/>
          <w:kern w:val="2"/>
          <w:sz w:val="24"/>
          <w:szCs w:val="24"/>
          <w:lang w:val="en-US" w:eastAsia="zh-TW"/>
        </w:rPr>
        <w:t>AEC Blueprint: Tindak Lanjut dan Kesiapan Indonesia Menuju Implementasi AEC 2015</w:t>
      </w:r>
      <w:r w:rsidRPr="00A37F88">
        <w:rPr>
          <w:rFonts w:ascii="Times New Roman" w:eastAsia="PMingLiU" w:hAnsi="Times New Roman" w:cs="Times New Roman"/>
          <w:kern w:val="2"/>
          <w:sz w:val="24"/>
          <w:szCs w:val="24"/>
          <w:lang w:eastAsia="zh-TW"/>
        </w:rPr>
        <w:t xml:space="preserve">, </w:t>
      </w:r>
      <w:r w:rsidRPr="00A37F88">
        <w:rPr>
          <w:rFonts w:ascii="Times New Roman" w:eastAsia="PMingLiU" w:hAnsi="Times New Roman" w:cs="Times New Roman"/>
          <w:kern w:val="2"/>
          <w:sz w:val="24"/>
          <w:szCs w:val="24"/>
          <w:lang w:val="en-US" w:eastAsia="zh-TW"/>
        </w:rPr>
        <w:t>Jakarta: Sekretariat BPPK</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Badan Pusat Statistik, 2015, </w:t>
      </w:r>
      <w:r w:rsidRPr="00A37F88">
        <w:rPr>
          <w:rFonts w:ascii="Times New Roman" w:eastAsia="PMingLiU" w:hAnsi="Times New Roman" w:cs="Times New Roman"/>
          <w:i/>
          <w:kern w:val="2"/>
          <w:sz w:val="24"/>
          <w:szCs w:val="24"/>
          <w:lang w:eastAsia="zh-TW"/>
        </w:rPr>
        <w:t>Jenis – Jenis Konstruksi</w:t>
      </w:r>
      <w:r w:rsidRPr="00A37F88">
        <w:rPr>
          <w:rFonts w:ascii="Times New Roman" w:eastAsia="PMingLiU" w:hAnsi="Times New Roman" w:cs="Times New Roman"/>
          <w:kern w:val="2"/>
          <w:sz w:val="24"/>
          <w:szCs w:val="24"/>
          <w:lang w:eastAsia="zh-TW"/>
        </w:rPr>
        <w:t>, Jakarta : BPS Press</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val="en-US" w:eastAsia="zh-TW"/>
        </w:rPr>
      </w:pPr>
      <w:r w:rsidRPr="00A37F88">
        <w:rPr>
          <w:rFonts w:ascii="Times New Roman" w:eastAsia="PMingLiU" w:hAnsi="Times New Roman" w:cs="Times New Roman"/>
          <w:kern w:val="2"/>
          <w:sz w:val="24"/>
          <w:szCs w:val="24"/>
          <w:lang w:val="en-US" w:eastAsia="zh-TW"/>
        </w:rPr>
        <w:t>Budiman, Aida s, Dkk.</w:t>
      </w:r>
      <w:r w:rsidRPr="00A37F88">
        <w:rPr>
          <w:rFonts w:ascii="Times New Roman" w:eastAsia="PMingLiU" w:hAnsi="Times New Roman" w:cs="Times New Roman"/>
          <w:kern w:val="2"/>
          <w:sz w:val="24"/>
          <w:szCs w:val="24"/>
          <w:lang w:eastAsia="zh-TW"/>
        </w:rPr>
        <w:t>, 2008,</w:t>
      </w:r>
      <w:r w:rsidRPr="00A37F88">
        <w:rPr>
          <w:rFonts w:ascii="Times New Roman" w:eastAsia="PMingLiU" w:hAnsi="Times New Roman" w:cs="Times New Roman"/>
          <w:kern w:val="2"/>
          <w:sz w:val="24"/>
          <w:szCs w:val="24"/>
          <w:lang w:val="en-US" w:eastAsia="zh-TW"/>
        </w:rPr>
        <w:t xml:space="preserve"> </w:t>
      </w:r>
      <w:r w:rsidRPr="00A37F88">
        <w:rPr>
          <w:rFonts w:ascii="Times New Roman" w:eastAsia="PMingLiU" w:hAnsi="Times New Roman" w:cs="Times New Roman"/>
          <w:i/>
          <w:kern w:val="2"/>
          <w:sz w:val="24"/>
          <w:szCs w:val="24"/>
          <w:lang w:val="en-US" w:eastAsia="zh-TW"/>
        </w:rPr>
        <w:t>Masyarakat Ekonomi Asean 2015</w:t>
      </w:r>
      <w:r w:rsidRPr="00A37F88">
        <w:rPr>
          <w:rFonts w:ascii="Times New Roman" w:eastAsia="PMingLiU" w:hAnsi="Times New Roman" w:cs="Times New Roman"/>
          <w:kern w:val="2"/>
          <w:sz w:val="24"/>
          <w:szCs w:val="24"/>
          <w:lang w:eastAsia="zh-TW"/>
        </w:rPr>
        <w:t>, Jakarta :</w:t>
      </w:r>
      <w:r w:rsidRPr="00A37F88">
        <w:rPr>
          <w:rFonts w:ascii="Times New Roman" w:eastAsia="PMingLiU" w:hAnsi="Times New Roman" w:cs="Times New Roman"/>
          <w:kern w:val="2"/>
          <w:sz w:val="24"/>
          <w:szCs w:val="24"/>
          <w:lang w:val="en-US" w:eastAsia="zh-TW"/>
        </w:rPr>
        <w:t xml:space="preserve"> PT Elex Media Komputindo</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val="en-US" w:eastAsia="zh-TW"/>
        </w:rPr>
        <w:t xml:space="preserve">Cahyono, A., 2005, </w:t>
      </w:r>
      <w:r w:rsidRPr="00A37F88">
        <w:rPr>
          <w:rFonts w:ascii="Times New Roman" w:eastAsia="PMingLiU" w:hAnsi="Times New Roman" w:cs="Times New Roman"/>
          <w:i/>
          <w:kern w:val="2"/>
          <w:sz w:val="24"/>
          <w:szCs w:val="24"/>
          <w:lang w:val="en-US" w:eastAsia="zh-TW"/>
        </w:rPr>
        <w:t>Sertifikat Profesi, Kebutuhan atau Sekedar Persyaratan</w:t>
      </w:r>
      <w:r w:rsidRPr="00A37F88">
        <w:rPr>
          <w:rFonts w:ascii="Times New Roman" w:eastAsia="PMingLiU" w:hAnsi="Times New Roman" w:cs="Times New Roman"/>
          <w:kern w:val="2"/>
          <w:sz w:val="24"/>
          <w:szCs w:val="24"/>
          <w:lang w:val="en-US" w:eastAsia="zh-TW"/>
        </w:rPr>
        <w:t>, Consulting Edisi 06/VIII/2005</w:t>
      </w:r>
      <w:r w:rsidRPr="00A37F88">
        <w:rPr>
          <w:rFonts w:ascii="Times New Roman" w:eastAsia="PMingLiU" w:hAnsi="Times New Roman" w:cs="Times New Roman"/>
          <w:kern w:val="2"/>
          <w:sz w:val="24"/>
          <w:szCs w:val="24"/>
          <w:lang w:eastAsia="zh-TW"/>
        </w:rPr>
        <w:t>, Semarang</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Cetak Biru Masyarakat Ekonomi ASEAN., 2014, </w:t>
      </w:r>
      <w:r w:rsidRPr="00A37F88">
        <w:rPr>
          <w:rFonts w:ascii="Times New Roman" w:eastAsia="PMingLiU" w:hAnsi="Times New Roman" w:cs="Times New Roman"/>
          <w:i/>
          <w:kern w:val="2"/>
          <w:sz w:val="24"/>
          <w:szCs w:val="24"/>
          <w:lang w:eastAsia="zh-TW"/>
        </w:rPr>
        <w:t>Membawa Perubahan</w:t>
      </w:r>
      <w:r w:rsidRPr="00A37F88">
        <w:rPr>
          <w:rFonts w:ascii="Times New Roman" w:eastAsia="PMingLiU" w:hAnsi="Times New Roman" w:cs="Times New Roman"/>
          <w:kern w:val="2"/>
          <w:sz w:val="24"/>
          <w:szCs w:val="24"/>
          <w:lang w:eastAsia="zh-TW"/>
        </w:rPr>
        <w:t xml:space="preserve">,  Sekretariat ASEAN 2008 Indonesia </w:t>
      </w:r>
      <w:r w:rsidRPr="00A37F88">
        <w:rPr>
          <w:rFonts w:ascii="Times New Roman" w:eastAsia="PMingLiU" w:hAnsi="Times New Roman" w:cs="Times New Roman"/>
          <w:i/>
          <w:kern w:val="2"/>
          <w:sz w:val="24"/>
          <w:szCs w:val="24"/>
          <w:lang w:eastAsia="zh-TW"/>
        </w:rPr>
        <w:t>Economic Quarterly</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lastRenderedPageBreak/>
        <w:t xml:space="preserve">Departemen  perdagangan RI, 2015, </w:t>
      </w:r>
      <w:r w:rsidRPr="00A37F88">
        <w:rPr>
          <w:rFonts w:ascii="Times New Roman" w:eastAsia="PMingLiU" w:hAnsi="Times New Roman" w:cs="Times New Roman"/>
          <w:i/>
          <w:kern w:val="2"/>
          <w:sz w:val="24"/>
          <w:szCs w:val="24"/>
          <w:lang w:eastAsia="zh-TW"/>
        </w:rPr>
        <w:t>Menuju  ASEAN  ECONOMIC COMUNITY</w:t>
      </w:r>
      <w:r w:rsidRPr="00A37F88">
        <w:rPr>
          <w:rFonts w:ascii="Times New Roman" w:eastAsia="PMingLiU" w:hAnsi="Times New Roman" w:cs="Times New Roman"/>
          <w:kern w:val="2"/>
          <w:sz w:val="24"/>
          <w:szCs w:val="24"/>
          <w:lang w:eastAsia="zh-TW"/>
        </w:rPr>
        <w:t xml:space="preserve">, Jakarta : Departemen perdagangan RI </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val="en-US" w:eastAsia="zh-TW"/>
        </w:rPr>
      </w:pPr>
      <w:r w:rsidRPr="00A37F88">
        <w:rPr>
          <w:rFonts w:ascii="Times New Roman" w:eastAsia="PMingLiU" w:hAnsi="Times New Roman" w:cs="Times New Roman"/>
          <w:kern w:val="2"/>
          <w:sz w:val="24"/>
          <w:szCs w:val="24"/>
          <w:lang w:val="en-US" w:eastAsia="zh-TW"/>
        </w:rPr>
        <w:t>Djafar, Zainuddin</w:t>
      </w:r>
      <w:r w:rsidRPr="00A37F88">
        <w:rPr>
          <w:rFonts w:ascii="Times New Roman" w:eastAsia="PMingLiU" w:hAnsi="Times New Roman" w:cs="Times New Roman"/>
          <w:kern w:val="2"/>
          <w:sz w:val="24"/>
          <w:szCs w:val="24"/>
          <w:lang w:eastAsia="zh-TW"/>
        </w:rPr>
        <w:t>,</w:t>
      </w:r>
      <w:r w:rsidRPr="00A37F88">
        <w:rPr>
          <w:rFonts w:ascii="Times New Roman" w:eastAsia="PMingLiU" w:hAnsi="Times New Roman" w:cs="Times New Roman"/>
          <w:kern w:val="2"/>
          <w:sz w:val="24"/>
          <w:szCs w:val="24"/>
          <w:lang w:val="en-US" w:eastAsia="zh-TW"/>
        </w:rPr>
        <w:t xml:space="preserve"> Moon Young Ju dan Anissa Farha Mariana</w:t>
      </w:r>
      <w:r w:rsidRPr="00A37F88">
        <w:rPr>
          <w:rFonts w:ascii="Times New Roman" w:eastAsia="PMingLiU" w:hAnsi="Times New Roman" w:cs="Times New Roman"/>
          <w:kern w:val="2"/>
          <w:sz w:val="24"/>
          <w:szCs w:val="24"/>
          <w:lang w:eastAsia="zh-TW"/>
        </w:rPr>
        <w:t>.</w:t>
      </w:r>
      <w:r w:rsidRPr="00A37F88">
        <w:rPr>
          <w:rFonts w:ascii="Times New Roman" w:eastAsia="PMingLiU" w:hAnsi="Times New Roman" w:cs="Times New Roman"/>
          <w:kern w:val="2"/>
          <w:sz w:val="24"/>
          <w:szCs w:val="24"/>
          <w:lang w:val="en-US" w:eastAsia="zh-TW"/>
        </w:rPr>
        <w:t>,</w:t>
      </w:r>
      <w:r w:rsidRPr="00A37F88">
        <w:rPr>
          <w:rFonts w:ascii="Times New Roman" w:eastAsia="PMingLiU" w:hAnsi="Times New Roman" w:cs="Times New Roman"/>
          <w:kern w:val="2"/>
          <w:sz w:val="24"/>
          <w:szCs w:val="24"/>
          <w:lang w:eastAsia="zh-TW"/>
        </w:rPr>
        <w:t xml:space="preserve"> 2012,</w:t>
      </w:r>
      <w:r w:rsidRPr="00A37F88">
        <w:rPr>
          <w:rFonts w:ascii="Times New Roman" w:eastAsia="PMingLiU" w:hAnsi="Times New Roman" w:cs="Times New Roman"/>
          <w:kern w:val="2"/>
          <w:sz w:val="24"/>
          <w:szCs w:val="24"/>
          <w:lang w:val="en-US" w:eastAsia="zh-TW"/>
        </w:rPr>
        <w:t xml:space="preserve"> </w:t>
      </w:r>
      <w:r w:rsidRPr="00A37F88">
        <w:rPr>
          <w:rFonts w:ascii="Times New Roman" w:eastAsia="PMingLiU" w:hAnsi="Times New Roman" w:cs="Times New Roman"/>
          <w:i/>
          <w:kern w:val="2"/>
          <w:sz w:val="24"/>
          <w:szCs w:val="24"/>
          <w:lang w:val="en-US" w:eastAsia="zh-TW"/>
        </w:rPr>
        <w:t>Peran Strategis Indonesia dalam Pembentukan ASEAN dan Dinamikanya, Kajian Kebijakan Polugri RI, UKM Regional, Implikasi Liberalisasi Perdagangan, Realitas Piagam ASEAN dan Esensi Kompetisi Regiona</w:t>
      </w:r>
      <w:r w:rsidRPr="00A37F88">
        <w:rPr>
          <w:rFonts w:ascii="Times New Roman" w:eastAsia="PMingLiU" w:hAnsi="Times New Roman" w:cs="Times New Roman"/>
          <w:kern w:val="2"/>
          <w:sz w:val="24"/>
          <w:szCs w:val="24"/>
          <w:lang w:val="en-US" w:eastAsia="zh-TW"/>
        </w:rPr>
        <w:t>l, Jakarta: Penerbit Universitas Indonesia (UI Press)</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Direktorat Perundingan Perdagangan Jasa dan Direktorat Jendral Kerja Sama Perdagangan Internasional Kementerian Perdagangan Republik Indonesia,  2015, </w:t>
      </w:r>
      <w:r w:rsidRPr="00A37F88">
        <w:rPr>
          <w:rFonts w:ascii="Times New Roman" w:eastAsia="PMingLiU" w:hAnsi="Times New Roman" w:cs="Times New Roman"/>
          <w:i/>
          <w:kern w:val="2"/>
          <w:sz w:val="24"/>
          <w:szCs w:val="24"/>
          <w:lang w:eastAsia="zh-TW"/>
        </w:rPr>
        <w:t>Kesiapan Sektor Jasa Konstruksi Nasional Menghadapi Masyarkat Ekonomi ASEAN (MEA) 2015</w:t>
      </w:r>
      <w:r w:rsidRPr="00A37F88">
        <w:rPr>
          <w:rFonts w:ascii="Times New Roman" w:eastAsia="PMingLiU" w:hAnsi="Times New Roman" w:cs="Times New Roman"/>
          <w:kern w:val="2"/>
          <w:sz w:val="24"/>
          <w:szCs w:val="24"/>
          <w:lang w:eastAsia="zh-TW"/>
        </w:rPr>
        <w:t>, Jakarta : Departemen perdagangan RI</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val="en-US" w:eastAsia="zh-TW"/>
        </w:rPr>
      </w:pPr>
      <w:r w:rsidRPr="00A37F88">
        <w:rPr>
          <w:rFonts w:ascii="Times New Roman" w:eastAsia="PMingLiU" w:hAnsi="Times New Roman" w:cs="Times New Roman"/>
          <w:kern w:val="2"/>
          <w:sz w:val="24"/>
          <w:szCs w:val="24"/>
          <w:lang w:val="en-US" w:eastAsia="zh-TW"/>
        </w:rPr>
        <w:t>Gunadi</w:t>
      </w:r>
      <w:r w:rsidRPr="00A37F88">
        <w:rPr>
          <w:rFonts w:ascii="Times New Roman" w:eastAsia="PMingLiU" w:hAnsi="Times New Roman" w:cs="Times New Roman"/>
          <w:kern w:val="2"/>
          <w:sz w:val="24"/>
          <w:szCs w:val="24"/>
          <w:lang w:eastAsia="zh-TW"/>
        </w:rPr>
        <w:t xml:space="preserve">, </w:t>
      </w:r>
      <w:r w:rsidRPr="00A37F88">
        <w:rPr>
          <w:rFonts w:ascii="Times New Roman" w:eastAsia="PMingLiU" w:hAnsi="Times New Roman" w:cs="Times New Roman"/>
          <w:kern w:val="2"/>
          <w:sz w:val="24"/>
          <w:szCs w:val="24"/>
          <w:lang w:val="en-US" w:eastAsia="zh-TW"/>
        </w:rPr>
        <w:t>Ariawan</w:t>
      </w:r>
      <w:r w:rsidRPr="00A37F88">
        <w:rPr>
          <w:rFonts w:ascii="Times New Roman" w:eastAsia="PMingLiU" w:hAnsi="Times New Roman" w:cs="Times New Roman"/>
          <w:kern w:val="2"/>
          <w:sz w:val="24"/>
          <w:szCs w:val="24"/>
          <w:lang w:eastAsia="zh-TW"/>
        </w:rPr>
        <w:t xml:space="preserve">, </w:t>
      </w:r>
      <w:r w:rsidRPr="00A37F88">
        <w:rPr>
          <w:rFonts w:ascii="Times New Roman" w:eastAsia="PMingLiU" w:hAnsi="Times New Roman" w:cs="Times New Roman"/>
          <w:kern w:val="2"/>
          <w:sz w:val="24"/>
          <w:szCs w:val="24"/>
          <w:lang w:val="en-US" w:eastAsia="zh-TW"/>
        </w:rPr>
        <w:t xml:space="preserve"> dan Serian Wijatno</w:t>
      </w:r>
      <w:r w:rsidRPr="00A37F88">
        <w:rPr>
          <w:rFonts w:ascii="Times New Roman" w:eastAsia="PMingLiU" w:hAnsi="Times New Roman" w:cs="Times New Roman"/>
          <w:kern w:val="2"/>
          <w:sz w:val="24"/>
          <w:szCs w:val="24"/>
          <w:lang w:eastAsia="zh-TW"/>
        </w:rPr>
        <w:t>., 2014</w:t>
      </w:r>
      <w:r w:rsidRPr="00A37F88">
        <w:rPr>
          <w:rFonts w:ascii="Times New Roman" w:eastAsia="PMingLiU" w:hAnsi="Times New Roman" w:cs="Times New Roman"/>
          <w:i/>
          <w:kern w:val="2"/>
          <w:sz w:val="24"/>
          <w:szCs w:val="24"/>
          <w:lang w:val="en-US" w:eastAsia="zh-TW"/>
        </w:rPr>
        <w:t xml:space="preserve"> Perdagangan Bebas dalam Perspektif Hukum Perdagangan Internasiona</w:t>
      </w:r>
      <w:r w:rsidRPr="00A37F88">
        <w:rPr>
          <w:rFonts w:ascii="Times New Roman" w:eastAsia="PMingLiU" w:hAnsi="Times New Roman" w:cs="Times New Roman"/>
          <w:i/>
          <w:kern w:val="2"/>
          <w:sz w:val="24"/>
          <w:szCs w:val="24"/>
          <w:lang w:eastAsia="zh-TW"/>
        </w:rPr>
        <w:t>l</w:t>
      </w:r>
      <w:r w:rsidRPr="00A37F88">
        <w:rPr>
          <w:rFonts w:ascii="Times New Roman" w:eastAsia="PMingLiU" w:hAnsi="Times New Roman" w:cs="Times New Roman"/>
          <w:kern w:val="2"/>
          <w:sz w:val="24"/>
          <w:szCs w:val="24"/>
          <w:lang w:val="en-US" w:eastAsia="zh-TW"/>
        </w:rPr>
        <w:t>. Jakarta: PT. Grasindo</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Halwani, Hendera., 2002 </w:t>
      </w:r>
      <w:r w:rsidRPr="00A37F88">
        <w:rPr>
          <w:rFonts w:ascii="Times New Roman" w:eastAsia="PMingLiU" w:hAnsi="Times New Roman" w:cs="Times New Roman"/>
          <w:i/>
          <w:kern w:val="2"/>
          <w:sz w:val="24"/>
          <w:szCs w:val="24"/>
          <w:lang w:eastAsia="zh-TW"/>
        </w:rPr>
        <w:t>Ekonomi Internasional dan Globalisasi Ekonomi</w:t>
      </w:r>
      <w:r w:rsidRPr="00A37F88">
        <w:rPr>
          <w:rFonts w:ascii="Times New Roman" w:eastAsia="PMingLiU" w:hAnsi="Times New Roman" w:cs="Times New Roman"/>
          <w:kern w:val="2"/>
          <w:sz w:val="24"/>
          <w:szCs w:val="24"/>
          <w:lang w:eastAsia="zh-TW"/>
        </w:rPr>
        <w:t>,  Jakarta : Ghalia Indonesia</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Husein, Umar., 2003, </w:t>
      </w:r>
      <w:r w:rsidRPr="00A37F88">
        <w:rPr>
          <w:rFonts w:ascii="Times New Roman" w:eastAsia="PMingLiU" w:hAnsi="Times New Roman" w:cs="Times New Roman"/>
          <w:i/>
          <w:kern w:val="2"/>
          <w:sz w:val="24"/>
          <w:szCs w:val="24"/>
          <w:lang w:eastAsia="zh-TW"/>
        </w:rPr>
        <w:t>Metode Riset Komunikasi Oraganisasi</w:t>
      </w:r>
      <w:r w:rsidRPr="00A37F88">
        <w:rPr>
          <w:rFonts w:ascii="Times New Roman" w:eastAsia="PMingLiU" w:hAnsi="Times New Roman" w:cs="Times New Roman"/>
          <w:kern w:val="2"/>
          <w:sz w:val="24"/>
          <w:szCs w:val="24"/>
          <w:lang w:eastAsia="zh-TW"/>
        </w:rPr>
        <w:t>, Jakarta :  PT Gramedia Pustaka Utama</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val="en-US" w:eastAsia="zh-TW"/>
        </w:rPr>
      </w:pPr>
      <w:r w:rsidRPr="00A37F88">
        <w:rPr>
          <w:rFonts w:ascii="Times New Roman" w:eastAsia="PMingLiU" w:hAnsi="Times New Roman" w:cs="Times New Roman"/>
          <w:kern w:val="2"/>
          <w:sz w:val="24"/>
          <w:szCs w:val="24"/>
          <w:lang w:val="en-US" w:eastAsia="zh-TW"/>
        </w:rPr>
        <w:t>Iwan,</w:t>
      </w:r>
      <w:r w:rsidRPr="00A37F88">
        <w:rPr>
          <w:rFonts w:ascii="Times New Roman" w:eastAsia="PMingLiU" w:hAnsi="Times New Roman" w:cs="Times New Roman"/>
          <w:kern w:val="2"/>
          <w:sz w:val="24"/>
          <w:szCs w:val="24"/>
          <w:lang w:eastAsia="zh-TW"/>
        </w:rPr>
        <w:t xml:space="preserve"> </w:t>
      </w:r>
      <w:r w:rsidRPr="00A37F88">
        <w:rPr>
          <w:rFonts w:ascii="Times New Roman" w:eastAsia="PMingLiU" w:hAnsi="Times New Roman" w:cs="Times New Roman"/>
          <w:kern w:val="2"/>
          <w:sz w:val="24"/>
          <w:szCs w:val="24"/>
          <w:lang w:val="en-US" w:eastAsia="zh-TW"/>
        </w:rPr>
        <w:t>Nursyirwan</w:t>
      </w:r>
      <w:r w:rsidRPr="00A37F88">
        <w:rPr>
          <w:rFonts w:ascii="Times New Roman" w:eastAsia="PMingLiU" w:hAnsi="Times New Roman" w:cs="Times New Roman"/>
          <w:kern w:val="2"/>
          <w:sz w:val="24"/>
          <w:szCs w:val="24"/>
          <w:lang w:eastAsia="zh-TW"/>
        </w:rPr>
        <w:t xml:space="preserve">., 2006, </w:t>
      </w:r>
      <w:r w:rsidRPr="00A37F88">
        <w:rPr>
          <w:rFonts w:ascii="Times New Roman" w:eastAsia="PMingLiU" w:hAnsi="Times New Roman" w:cs="Times New Roman"/>
          <w:i/>
          <w:kern w:val="2"/>
          <w:sz w:val="24"/>
          <w:szCs w:val="24"/>
          <w:lang w:val="en-US" w:eastAsia="zh-TW"/>
        </w:rPr>
        <w:t>Tenaga Kerja Konstruksi Indonesia Perlu Pengakuan</w:t>
      </w:r>
      <w:r w:rsidRPr="00A37F88">
        <w:rPr>
          <w:rFonts w:ascii="Times New Roman" w:eastAsia="PMingLiU" w:hAnsi="Times New Roman" w:cs="Times New Roman"/>
          <w:kern w:val="2"/>
          <w:sz w:val="24"/>
          <w:szCs w:val="24"/>
          <w:lang w:val="en-US" w:eastAsia="zh-TW"/>
        </w:rPr>
        <w:t>, Buletin BPKSDM Departemen Pekerjaan Umum Vol. 3</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Kasmir, 2007,  </w:t>
      </w:r>
      <w:r w:rsidRPr="00A37F88">
        <w:rPr>
          <w:rFonts w:ascii="Times New Roman" w:eastAsia="PMingLiU" w:hAnsi="Times New Roman" w:cs="Times New Roman"/>
          <w:i/>
          <w:kern w:val="2"/>
          <w:sz w:val="24"/>
          <w:szCs w:val="24"/>
          <w:lang w:eastAsia="zh-TW"/>
        </w:rPr>
        <w:t>Kewirausahaan</w:t>
      </w:r>
      <w:r w:rsidRPr="00A37F88">
        <w:rPr>
          <w:rFonts w:ascii="Times New Roman" w:eastAsia="PMingLiU" w:hAnsi="Times New Roman" w:cs="Times New Roman"/>
          <w:kern w:val="2"/>
          <w:sz w:val="24"/>
          <w:szCs w:val="24"/>
          <w:lang w:eastAsia="zh-TW"/>
        </w:rPr>
        <w:t xml:space="preserve"> , Jakarta: PT Raja Grafindo Persada</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Kementrian Pekerjaan Umum dan Perumahan Rakyat Republik Indonesia, 2015, </w:t>
      </w:r>
      <w:r w:rsidRPr="00A37F88">
        <w:rPr>
          <w:rFonts w:ascii="Times New Roman" w:eastAsia="PMingLiU" w:hAnsi="Times New Roman" w:cs="Times New Roman"/>
          <w:i/>
          <w:kern w:val="2"/>
          <w:sz w:val="24"/>
          <w:szCs w:val="24"/>
          <w:lang w:eastAsia="zh-TW"/>
        </w:rPr>
        <w:t>Rencana Stategis 2015-2019</w:t>
      </w:r>
      <w:r w:rsidRPr="00A37F88">
        <w:rPr>
          <w:rFonts w:ascii="Times New Roman" w:eastAsia="PMingLiU" w:hAnsi="Times New Roman" w:cs="Times New Roman"/>
          <w:kern w:val="2"/>
          <w:sz w:val="24"/>
          <w:szCs w:val="24"/>
          <w:lang w:eastAsia="zh-TW"/>
        </w:rPr>
        <w:t>, Jakarta : Kemenpu</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Kurniawan, Trianto., 2011,  </w:t>
      </w:r>
      <w:r w:rsidRPr="00A37F88">
        <w:rPr>
          <w:rFonts w:ascii="Times New Roman" w:eastAsia="PMingLiU" w:hAnsi="Times New Roman" w:cs="Times New Roman"/>
          <w:i/>
          <w:kern w:val="2"/>
          <w:sz w:val="24"/>
          <w:szCs w:val="24"/>
          <w:lang w:eastAsia="zh-TW"/>
        </w:rPr>
        <w:t>Apa itu Usaha Jasa Konstruksi ?</w:t>
      </w:r>
      <w:r w:rsidRPr="00A37F88">
        <w:rPr>
          <w:rFonts w:ascii="Times New Roman" w:eastAsia="PMingLiU" w:hAnsi="Times New Roman" w:cs="Times New Roman"/>
          <w:kern w:val="2"/>
          <w:sz w:val="24"/>
          <w:szCs w:val="24"/>
          <w:lang w:eastAsia="zh-TW"/>
        </w:rPr>
        <w:t xml:space="preserve">, Bloggerized </w:t>
      </w:r>
      <w:r w:rsidRPr="00A37F88">
        <w:rPr>
          <w:rFonts w:ascii="Times New Roman" w:eastAsia="PMingLiU" w:hAnsi="Times New Roman" w:cs="Times New Roman"/>
          <w:kern w:val="2"/>
          <w:sz w:val="24"/>
          <w:szCs w:val="24"/>
          <w:lang w:eastAsia="zh-TW"/>
        </w:rPr>
        <w:lastRenderedPageBreak/>
        <w:t>Lasantha Indonesia</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Laporan Kerja Kementrian Perdagangan RI, 2016, </w:t>
      </w:r>
      <w:r w:rsidRPr="00A37F88">
        <w:rPr>
          <w:rFonts w:ascii="Times New Roman" w:eastAsia="PMingLiU" w:hAnsi="Times New Roman" w:cs="Times New Roman"/>
          <w:i/>
          <w:kern w:val="2"/>
          <w:sz w:val="24"/>
          <w:szCs w:val="24"/>
          <w:lang w:eastAsia="zh-TW"/>
        </w:rPr>
        <w:t>Tantangan Internal dan Eksternal AFAS 2016</w:t>
      </w:r>
      <w:r w:rsidRPr="00A37F88">
        <w:rPr>
          <w:rFonts w:ascii="Times New Roman" w:eastAsia="PMingLiU" w:hAnsi="Times New Roman" w:cs="Times New Roman"/>
          <w:kern w:val="2"/>
          <w:sz w:val="24"/>
          <w:szCs w:val="24"/>
          <w:lang w:eastAsia="zh-TW"/>
        </w:rPr>
        <w:t>. Jakarta : Kementrian Perdagangan RI</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Lupiyoadi, 2014, </w:t>
      </w:r>
      <w:r w:rsidRPr="00A37F88">
        <w:rPr>
          <w:rFonts w:ascii="Times New Roman" w:eastAsia="PMingLiU" w:hAnsi="Times New Roman" w:cs="Times New Roman"/>
          <w:i/>
          <w:kern w:val="2"/>
          <w:sz w:val="24"/>
          <w:szCs w:val="24"/>
          <w:lang w:eastAsia="zh-TW"/>
        </w:rPr>
        <w:t>Manajemen Pemasaran Jasa</w:t>
      </w:r>
      <w:r w:rsidRPr="00A37F88">
        <w:rPr>
          <w:rFonts w:ascii="Times New Roman" w:eastAsia="PMingLiU" w:hAnsi="Times New Roman" w:cs="Times New Roman"/>
          <w:kern w:val="2"/>
          <w:sz w:val="24"/>
          <w:szCs w:val="24"/>
          <w:lang w:eastAsia="zh-TW"/>
        </w:rPr>
        <w:t>, Edisi kedua, Jakarta : Salemba empat</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M, Mursid., 1993,  </w:t>
      </w:r>
      <w:r w:rsidRPr="00A37F88">
        <w:rPr>
          <w:rFonts w:ascii="Times New Roman" w:eastAsia="PMingLiU" w:hAnsi="Times New Roman" w:cs="Times New Roman"/>
          <w:i/>
          <w:kern w:val="2"/>
          <w:sz w:val="24"/>
          <w:szCs w:val="24"/>
          <w:lang w:eastAsia="zh-TW"/>
        </w:rPr>
        <w:t>Manajemen Pemasaran Edisi 1</w:t>
      </w:r>
      <w:r w:rsidRPr="00A37F88">
        <w:rPr>
          <w:rFonts w:ascii="Times New Roman" w:eastAsia="PMingLiU" w:hAnsi="Times New Roman" w:cs="Times New Roman"/>
          <w:kern w:val="2"/>
          <w:sz w:val="24"/>
          <w:szCs w:val="24"/>
          <w:lang w:eastAsia="zh-TW"/>
        </w:rPr>
        <w:t>, Jakarta: Universitas Terbuka Depdikbud</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Ningrum,  Natasya  Sirait., 2004,  </w:t>
      </w:r>
      <w:r w:rsidRPr="00A37F88">
        <w:rPr>
          <w:rFonts w:ascii="Times New Roman" w:eastAsia="PMingLiU" w:hAnsi="Times New Roman" w:cs="Times New Roman"/>
          <w:i/>
          <w:kern w:val="2"/>
          <w:sz w:val="24"/>
          <w:szCs w:val="24"/>
          <w:lang w:eastAsia="zh-TW"/>
        </w:rPr>
        <w:t>Hukum  Persaingan  di  Indonesia</w:t>
      </w:r>
      <w:r w:rsidRPr="00A37F88">
        <w:rPr>
          <w:rFonts w:ascii="Times New Roman" w:eastAsia="PMingLiU" w:hAnsi="Times New Roman" w:cs="Times New Roman"/>
          <w:kern w:val="2"/>
          <w:sz w:val="24"/>
          <w:szCs w:val="24"/>
          <w:lang w:eastAsia="zh-TW"/>
        </w:rPr>
        <w:t>, Medan : Pustaka Bangsa Press</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Nurcholis, Hanif., 2007, </w:t>
      </w:r>
      <w:r w:rsidRPr="00A37F88">
        <w:rPr>
          <w:rFonts w:ascii="Times New Roman" w:eastAsia="PMingLiU" w:hAnsi="Times New Roman" w:cs="Times New Roman"/>
          <w:i/>
          <w:kern w:val="2"/>
          <w:sz w:val="24"/>
          <w:szCs w:val="24"/>
          <w:lang w:eastAsia="zh-TW"/>
        </w:rPr>
        <w:t>Teori dan Praktek Pemerintahan dan Otonomi Daerah</w:t>
      </w:r>
      <w:r w:rsidRPr="00A37F88">
        <w:rPr>
          <w:rFonts w:ascii="Times New Roman" w:eastAsia="PMingLiU" w:hAnsi="Times New Roman" w:cs="Times New Roman"/>
          <w:kern w:val="2"/>
          <w:sz w:val="24"/>
          <w:szCs w:val="24"/>
          <w:lang w:eastAsia="zh-TW"/>
        </w:rPr>
        <w:t>,  Jakarta : P.T. Gramedia Widiasarana Indonesia</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val="en-US" w:eastAsia="zh-TW"/>
        </w:rPr>
        <w:t>Pratiwi Adi, Henny</w:t>
      </w:r>
      <w:r w:rsidRPr="00A37F88">
        <w:rPr>
          <w:rFonts w:ascii="Times New Roman" w:eastAsia="PMingLiU" w:hAnsi="Times New Roman" w:cs="Times New Roman"/>
          <w:kern w:val="2"/>
          <w:sz w:val="24"/>
          <w:szCs w:val="24"/>
          <w:lang w:eastAsia="zh-TW"/>
        </w:rPr>
        <w:t>, dan</w:t>
      </w:r>
      <w:r w:rsidRPr="00A37F88">
        <w:rPr>
          <w:rFonts w:ascii="Times New Roman" w:eastAsia="PMingLiU" w:hAnsi="Times New Roman" w:cs="Times New Roman"/>
          <w:kern w:val="2"/>
          <w:sz w:val="24"/>
          <w:szCs w:val="24"/>
          <w:lang w:val="en-US" w:eastAsia="zh-TW"/>
        </w:rPr>
        <w:t xml:space="preserve"> Siti Ummu Adillah</w:t>
      </w:r>
      <w:r w:rsidRPr="00A37F88">
        <w:rPr>
          <w:rFonts w:ascii="Times New Roman" w:eastAsia="PMingLiU" w:hAnsi="Times New Roman" w:cs="Times New Roman"/>
          <w:kern w:val="2"/>
          <w:sz w:val="24"/>
          <w:szCs w:val="24"/>
          <w:lang w:eastAsia="zh-TW"/>
        </w:rPr>
        <w:t>.</w:t>
      </w:r>
      <w:r w:rsidRPr="00A37F88">
        <w:rPr>
          <w:rFonts w:ascii="Times New Roman" w:eastAsia="PMingLiU" w:hAnsi="Times New Roman" w:cs="Times New Roman"/>
          <w:kern w:val="2"/>
          <w:sz w:val="24"/>
          <w:szCs w:val="24"/>
          <w:lang w:val="en-US" w:eastAsia="zh-TW"/>
        </w:rPr>
        <w:t>,</w:t>
      </w:r>
      <w:r w:rsidRPr="00A37F88">
        <w:rPr>
          <w:rFonts w:ascii="Times New Roman" w:eastAsia="PMingLiU" w:hAnsi="Times New Roman" w:cs="Times New Roman"/>
          <w:kern w:val="2"/>
          <w:sz w:val="24"/>
          <w:szCs w:val="24"/>
          <w:lang w:eastAsia="zh-TW"/>
        </w:rPr>
        <w:t xml:space="preserve"> 2010, </w:t>
      </w:r>
      <w:r w:rsidRPr="00A37F88">
        <w:rPr>
          <w:rFonts w:ascii="Times New Roman" w:eastAsia="PMingLiU" w:hAnsi="Times New Roman" w:cs="Times New Roman"/>
          <w:kern w:val="2"/>
          <w:sz w:val="24"/>
          <w:szCs w:val="24"/>
          <w:lang w:val="en-US" w:eastAsia="zh-TW"/>
        </w:rPr>
        <w:t xml:space="preserve"> </w:t>
      </w:r>
      <w:r w:rsidRPr="00A37F88">
        <w:rPr>
          <w:rFonts w:ascii="Times New Roman" w:eastAsia="PMingLiU" w:hAnsi="Times New Roman" w:cs="Times New Roman"/>
          <w:i/>
          <w:kern w:val="2"/>
          <w:sz w:val="24"/>
          <w:szCs w:val="24"/>
          <w:lang w:eastAsia="zh-TW"/>
        </w:rPr>
        <w:t>Sertifikasi Tenaga Kerja Konstruksi Sebagai Unsur Pendukung Pembangunan Infrastruktur</w:t>
      </w:r>
      <w:r w:rsidRPr="00A37F88">
        <w:rPr>
          <w:rFonts w:ascii="Times New Roman" w:eastAsia="PMingLiU" w:hAnsi="Times New Roman" w:cs="Times New Roman"/>
          <w:kern w:val="2"/>
          <w:sz w:val="24"/>
          <w:szCs w:val="24"/>
          <w:lang w:eastAsia="zh-TW"/>
        </w:rPr>
        <w:t>, Semarang : Fakultas Teknik Universitas Islam Sultan Agung</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Priyono, Joko.</w:t>
      </w:r>
      <w:r w:rsidRPr="00A37F88">
        <w:rPr>
          <w:rFonts w:ascii="Times New Roman" w:eastAsia="PMingLiU" w:hAnsi="Times New Roman" w:cs="Times New Roman"/>
          <w:i/>
          <w:kern w:val="2"/>
          <w:sz w:val="24"/>
          <w:szCs w:val="24"/>
          <w:lang w:eastAsia="zh-TW"/>
        </w:rPr>
        <w:t xml:space="preserve">, </w:t>
      </w:r>
      <w:r w:rsidRPr="00A37F88">
        <w:rPr>
          <w:rFonts w:ascii="Times New Roman" w:eastAsia="PMingLiU" w:hAnsi="Times New Roman" w:cs="Times New Roman"/>
          <w:kern w:val="2"/>
          <w:sz w:val="24"/>
          <w:szCs w:val="24"/>
          <w:lang w:eastAsia="zh-TW"/>
        </w:rPr>
        <w:t>2010,</w:t>
      </w:r>
      <w:r w:rsidRPr="00A37F88">
        <w:rPr>
          <w:rFonts w:ascii="Times New Roman" w:eastAsia="PMingLiU" w:hAnsi="Times New Roman" w:cs="Times New Roman"/>
          <w:i/>
          <w:kern w:val="2"/>
          <w:sz w:val="24"/>
          <w:szCs w:val="24"/>
          <w:lang w:eastAsia="zh-TW"/>
        </w:rPr>
        <w:t xml:space="preserve"> Hukum Perdagangan Jasa (GATS/WTO)</w:t>
      </w:r>
      <w:r w:rsidRPr="00A37F88">
        <w:rPr>
          <w:rFonts w:ascii="Times New Roman" w:eastAsia="PMingLiU" w:hAnsi="Times New Roman" w:cs="Times New Roman"/>
          <w:kern w:val="2"/>
          <w:sz w:val="24"/>
          <w:szCs w:val="24"/>
          <w:lang w:eastAsia="zh-TW"/>
        </w:rPr>
        <w:t>, Semarang : Undip Press</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Riant, Nugroho D., 2006,  </w:t>
      </w:r>
      <w:r w:rsidRPr="00A37F88">
        <w:rPr>
          <w:rFonts w:ascii="Times New Roman" w:eastAsia="PMingLiU" w:hAnsi="Times New Roman" w:cs="Times New Roman"/>
          <w:i/>
          <w:kern w:val="2"/>
          <w:sz w:val="24"/>
          <w:szCs w:val="24"/>
          <w:lang w:eastAsia="zh-TW"/>
        </w:rPr>
        <w:t>Kebijakan Publik Untuk Negara-Negara Berkembang</w:t>
      </w:r>
      <w:r w:rsidRPr="00A37F88">
        <w:rPr>
          <w:rFonts w:ascii="Times New Roman" w:eastAsia="PMingLiU" w:hAnsi="Times New Roman" w:cs="Times New Roman"/>
          <w:kern w:val="2"/>
          <w:sz w:val="24"/>
          <w:szCs w:val="24"/>
          <w:lang w:eastAsia="zh-TW"/>
        </w:rPr>
        <w:t>, Jakarta:  PT Elex Media Komputindo</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Santoso, Wijoyo, et.al., 2008, </w:t>
      </w:r>
      <w:r w:rsidRPr="00A37F88">
        <w:rPr>
          <w:rFonts w:ascii="Times New Roman" w:eastAsia="PMingLiU" w:hAnsi="Times New Roman" w:cs="Times New Roman"/>
          <w:i/>
          <w:kern w:val="2"/>
          <w:sz w:val="24"/>
          <w:szCs w:val="24"/>
          <w:lang w:eastAsia="zh-TW"/>
        </w:rPr>
        <w:t>Intergritas Ekonomi ASEAN dan Prospek Perekonomian</w:t>
      </w:r>
      <w:r w:rsidRPr="00A37F88">
        <w:rPr>
          <w:rFonts w:ascii="Times New Roman" w:eastAsia="PMingLiU" w:hAnsi="Times New Roman" w:cs="Times New Roman"/>
          <w:kern w:val="2"/>
          <w:sz w:val="24"/>
          <w:szCs w:val="24"/>
          <w:lang w:eastAsia="zh-TW"/>
        </w:rPr>
        <w:t xml:space="preserve"> </w:t>
      </w:r>
      <w:r w:rsidRPr="00A37F88">
        <w:rPr>
          <w:rFonts w:ascii="Times New Roman" w:eastAsia="PMingLiU" w:hAnsi="Times New Roman" w:cs="Times New Roman"/>
          <w:i/>
          <w:kern w:val="2"/>
          <w:sz w:val="24"/>
          <w:szCs w:val="24"/>
          <w:lang w:eastAsia="zh-TW"/>
        </w:rPr>
        <w:t>Nasional</w:t>
      </w:r>
      <w:r w:rsidRPr="00A37F88">
        <w:rPr>
          <w:rFonts w:ascii="Times New Roman" w:eastAsia="PMingLiU" w:hAnsi="Times New Roman" w:cs="Times New Roman"/>
          <w:kern w:val="2"/>
          <w:sz w:val="24"/>
          <w:szCs w:val="24"/>
          <w:lang w:eastAsia="zh-TW"/>
        </w:rPr>
        <w:t xml:space="preserve"> , Jakarta : Outlook Ekonomi Indonesia </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Secretariat ASEAN, 2016,  </w:t>
      </w:r>
      <w:r w:rsidRPr="00A37F88">
        <w:rPr>
          <w:rFonts w:ascii="Times New Roman" w:eastAsia="PMingLiU" w:hAnsi="Times New Roman" w:cs="Times New Roman"/>
          <w:i/>
          <w:kern w:val="2"/>
          <w:sz w:val="24"/>
          <w:szCs w:val="24"/>
          <w:lang w:eastAsia="zh-TW"/>
        </w:rPr>
        <w:t>ASEAN Invesment Report 2016</w:t>
      </w:r>
      <w:r w:rsidRPr="00A37F88">
        <w:rPr>
          <w:rFonts w:ascii="Times New Roman" w:eastAsia="PMingLiU" w:hAnsi="Times New Roman" w:cs="Times New Roman"/>
          <w:kern w:val="2"/>
          <w:sz w:val="24"/>
          <w:szCs w:val="24"/>
          <w:lang w:eastAsia="zh-TW"/>
        </w:rPr>
        <w:t>. Jakarta : Secretariat ASEAN</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Soemitro, Ronny Hanitijio., 1995, </w:t>
      </w:r>
      <w:r w:rsidRPr="00A37F88">
        <w:rPr>
          <w:rFonts w:ascii="Times New Roman" w:eastAsia="PMingLiU" w:hAnsi="Times New Roman" w:cs="Times New Roman"/>
          <w:i/>
          <w:kern w:val="2"/>
          <w:sz w:val="24"/>
          <w:szCs w:val="24"/>
          <w:lang w:eastAsia="zh-TW"/>
        </w:rPr>
        <w:t>Metodologi Penelitian Hukum dan Jurimetri</w:t>
      </w:r>
      <w:r w:rsidRPr="00A37F88">
        <w:rPr>
          <w:rFonts w:ascii="Times New Roman" w:eastAsia="PMingLiU" w:hAnsi="Times New Roman" w:cs="Times New Roman"/>
          <w:kern w:val="2"/>
          <w:sz w:val="24"/>
          <w:szCs w:val="24"/>
          <w:lang w:eastAsia="zh-TW"/>
        </w:rPr>
        <w:t xml:space="preserve">,  </w:t>
      </w:r>
      <w:r w:rsidRPr="00A37F88">
        <w:rPr>
          <w:rFonts w:ascii="Times New Roman" w:eastAsia="PMingLiU" w:hAnsi="Times New Roman" w:cs="Times New Roman"/>
          <w:kern w:val="2"/>
          <w:sz w:val="24"/>
          <w:szCs w:val="24"/>
          <w:lang w:eastAsia="zh-TW"/>
        </w:rPr>
        <w:lastRenderedPageBreak/>
        <w:t>Jakarta : Ghalia Indonesia</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Sudarminto, 2002. </w:t>
      </w:r>
      <w:r w:rsidRPr="00A37F88">
        <w:rPr>
          <w:rFonts w:ascii="Times New Roman" w:eastAsia="PMingLiU" w:hAnsi="Times New Roman" w:cs="Times New Roman"/>
          <w:i/>
          <w:kern w:val="2"/>
          <w:sz w:val="24"/>
          <w:szCs w:val="24"/>
          <w:lang w:eastAsia="zh-TW"/>
        </w:rPr>
        <w:t>Kiat  Meningkatkan  Naluri  Menjual  Jasa,  Teori  &amp;  Praktek</w:t>
      </w:r>
      <w:r w:rsidRPr="00A37F88">
        <w:rPr>
          <w:rFonts w:ascii="Times New Roman" w:eastAsia="PMingLiU" w:hAnsi="Times New Roman" w:cs="Times New Roman"/>
          <w:kern w:val="2"/>
          <w:sz w:val="24"/>
          <w:szCs w:val="24"/>
          <w:lang w:eastAsia="zh-TW"/>
        </w:rPr>
        <w:t>, Jakarta</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Sugiyono, 2014, </w:t>
      </w:r>
      <w:r w:rsidRPr="00A37F88">
        <w:rPr>
          <w:rFonts w:ascii="Times New Roman" w:eastAsia="PMingLiU" w:hAnsi="Times New Roman" w:cs="Times New Roman"/>
          <w:i/>
          <w:kern w:val="2"/>
          <w:sz w:val="24"/>
          <w:szCs w:val="24"/>
          <w:lang w:eastAsia="zh-TW"/>
        </w:rPr>
        <w:t xml:space="preserve">Metode Penelitian Pendidikan Pendekatan Kuantitaf, Kualitatif, dan R&amp;D, </w:t>
      </w:r>
      <w:r w:rsidRPr="00A37F88">
        <w:rPr>
          <w:rFonts w:ascii="Times New Roman" w:eastAsia="PMingLiU" w:hAnsi="Times New Roman" w:cs="Times New Roman"/>
          <w:kern w:val="2"/>
          <w:sz w:val="24"/>
          <w:szCs w:val="24"/>
          <w:lang w:eastAsia="zh-TW"/>
        </w:rPr>
        <w:t xml:space="preserve"> Bandung : Alfabeta</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Supranto, J., 2007,  </w:t>
      </w:r>
      <w:r w:rsidRPr="00A37F88">
        <w:rPr>
          <w:rFonts w:ascii="Times New Roman" w:eastAsia="PMingLiU" w:hAnsi="Times New Roman" w:cs="Times New Roman"/>
          <w:i/>
          <w:kern w:val="2"/>
          <w:sz w:val="24"/>
          <w:szCs w:val="24"/>
          <w:lang w:eastAsia="zh-TW"/>
        </w:rPr>
        <w:t>Statistik Teori dan Aplikasi</w:t>
      </w:r>
      <w:r w:rsidRPr="00A37F88">
        <w:rPr>
          <w:rFonts w:ascii="Times New Roman" w:eastAsia="PMingLiU" w:hAnsi="Times New Roman" w:cs="Times New Roman"/>
          <w:kern w:val="2"/>
          <w:sz w:val="24"/>
          <w:szCs w:val="24"/>
          <w:lang w:eastAsia="zh-TW"/>
        </w:rPr>
        <w:t>, Cetakan Kedua, Jakarta: Erlangga</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Tahir, Arifin., 2014, </w:t>
      </w:r>
      <w:r w:rsidRPr="00A37F88">
        <w:rPr>
          <w:rFonts w:ascii="Times New Roman" w:eastAsia="PMingLiU" w:hAnsi="Times New Roman" w:cs="Times New Roman"/>
          <w:i/>
          <w:kern w:val="2"/>
          <w:sz w:val="24"/>
          <w:szCs w:val="24"/>
          <w:lang w:eastAsia="zh-TW"/>
        </w:rPr>
        <w:t>Kebijakan Publik &amp; Transparansi Penyelenggaran Pemerintah Daerah</w:t>
      </w:r>
      <w:r w:rsidRPr="00A37F88">
        <w:rPr>
          <w:rFonts w:ascii="Times New Roman" w:eastAsia="PMingLiU" w:hAnsi="Times New Roman" w:cs="Times New Roman"/>
          <w:kern w:val="2"/>
          <w:sz w:val="24"/>
          <w:szCs w:val="24"/>
          <w:lang w:eastAsia="zh-TW"/>
        </w:rPr>
        <w:t>, Bandung : Alfabeta</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Tjiptono, Fandy., 2000,  </w:t>
      </w:r>
      <w:r w:rsidRPr="00A37F88">
        <w:rPr>
          <w:rFonts w:ascii="Times New Roman" w:eastAsia="PMingLiU" w:hAnsi="Times New Roman" w:cs="Times New Roman"/>
          <w:i/>
          <w:kern w:val="2"/>
          <w:sz w:val="24"/>
          <w:szCs w:val="24"/>
          <w:lang w:eastAsia="zh-TW"/>
        </w:rPr>
        <w:t>Manajemen Jasa</w:t>
      </w:r>
      <w:r w:rsidRPr="00A37F88">
        <w:rPr>
          <w:rFonts w:ascii="Times New Roman" w:eastAsia="PMingLiU" w:hAnsi="Times New Roman" w:cs="Times New Roman"/>
          <w:kern w:val="2"/>
          <w:sz w:val="24"/>
          <w:szCs w:val="24"/>
          <w:lang w:eastAsia="zh-TW"/>
        </w:rPr>
        <w:t xml:space="preserve">, Yogyakarta : Penerbit Andi </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val="en-US" w:eastAsia="zh-TW"/>
        </w:rPr>
      </w:pPr>
      <w:r w:rsidRPr="00A37F88">
        <w:rPr>
          <w:rFonts w:ascii="Times New Roman" w:eastAsia="PMingLiU" w:hAnsi="Times New Roman" w:cs="Times New Roman"/>
          <w:kern w:val="2"/>
          <w:sz w:val="24"/>
          <w:szCs w:val="24"/>
          <w:lang w:val="en-US" w:eastAsia="zh-TW"/>
        </w:rPr>
        <w:t xml:space="preserve">Trianto, 2011, </w:t>
      </w:r>
      <w:r w:rsidRPr="00A37F88">
        <w:rPr>
          <w:rFonts w:ascii="Times New Roman" w:eastAsia="PMingLiU" w:hAnsi="Times New Roman" w:cs="Times New Roman"/>
          <w:i/>
          <w:kern w:val="2"/>
          <w:sz w:val="24"/>
          <w:szCs w:val="24"/>
          <w:lang w:val="en-US" w:eastAsia="zh-TW"/>
        </w:rPr>
        <w:t>Model-model Pembelajaran Inovatif Berorientasi Konstruktivistik</w:t>
      </w:r>
      <w:r w:rsidRPr="00A37F88">
        <w:rPr>
          <w:rFonts w:ascii="Times New Roman" w:eastAsia="PMingLiU" w:hAnsi="Times New Roman" w:cs="Times New Roman"/>
          <w:kern w:val="2"/>
          <w:sz w:val="24"/>
          <w:szCs w:val="24"/>
          <w:lang w:val="en-US" w:eastAsia="zh-TW"/>
        </w:rPr>
        <w:t>, Jakarta : Prestasi Pustaka</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Triyanto, Djoko., 2004,  </w:t>
      </w:r>
      <w:r w:rsidRPr="00A37F88">
        <w:rPr>
          <w:rFonts w:ascii="Times New Roman" w:eastAsia="PMingLiU" w:hAnsi="Times New Roman" w:cs="Times New Roman"/>
          <w:i/>
          <w:kern w:val="2"/>
          <w:sz w:val="24"/>
          <w:szCs w:val="24"/>
          <w:lang w:eastAsia="zh-TW"/>
        </w:rPr>
        <w:t>Hubungan Kerja Di Perusahaan Jasa Konstruksi</w:t>
      </w:r>
      <w:r w:rsidRPr="00A37F88">
        <w:rPr>
          <w:rFonts w:ascii="Times New Roman" w:eastAsia="PMingLiU" w:hAnsi="Times New Roman" w:cs="Times New Roman"/>
          <w:kern w:val="2"/>
          <w:sz w:val="24"/>
          <w:szCs w:val="24"/>
          <w:lang w:eastAsia="zh-TW"/>
        </w:rPr>
        <w:t>,  Bandung : Mandar Maju</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Widjaja, Gunawan., 1999 </w:t>
      </w:r>
      <w:r w:rsidRPr="00A37F88">
        <w:rPr>
          <w:rFonts w:ascii="Times New Roman" w:eastAsia="PMingLiU" w:hAnsi="Times New Roman" w:cs="Times New Roman"/>
          <w:i/>
          <w:kern w:val="2"/>
          <w:sz w:val="24"/>
          <w:szCs w:val="24"/>
          <w:lang w:eastAsia="zh-TW"/>
        </w:rPr>
        <w:t>Merger dalam Persfektif Monopoli</w:t>
      </w:r>
      <w:r w:rsidRPr="00A37F88">
        <w:rPr>
          <w:rFonts w:ascii="Times New Roman" w:eastAsia="PMingLiU" w:hAnsi="Times New Roman" w:cs="Times New Roman"/>
          <w:kern w:val="2"/>
          <w:sz w:val="24"/>
          <w:szCs w:val="24"/>
          <w:lang w:eastAsia="zh-TW"/>
        </w:rPr>
        <w:t>, Jakarta : PT. Raja GrafindoPerkasa.</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val="en-US" w:eastAsia="zh-TW"/>
        </w:rPr>
      </w:pPr>
      <w:r w:rsidRPr="00A37F88">
        <w:rPr>
          <w:rFonts w:ascii="Times New Roman" w:eastAsia="PMingLiU" w:hAnsi="Times New Roman" w:cs="Times New Roman"/>
          <w:kern w:val="2"/>
          <w:sz w:val="24"/>
          <w:szCs w:val="24"/>
          <w:lang w:val="en-US" w:eastAsia="zh-TW"/>
        </w:rPr>
        <w:t>Widiatedja, Parikesit</w:t>
      </w:r>
      <w:r w:rsidRPr="00A37F88">
        <w:rPr>
          <w:rFonts w:ascii="Times New Roman" w:eastAsia="PMingLiU" w:hAnsi="Times New Roman" w:cs="Times New Roman"/>
          <w:kern w:val="2"/>
          <w:sz w:val="24"/>
          <w:szCs w:val="24"/>
          <w:lang w:eastAsia="zh-TW"/>
        </w:rPr>
        <w:t>., 2011,</w:t>
      </w:r>
      <w:r w:rsidRPr="00A37F88">
        <w:rPr>
          <w:rFonts w:ascii="Times New Roman" w:eastAsia="PMingLiU" w:hAnsi="Times New Roman" w:cs="Times New Roman"/>
          <w:kern w:val="2"/>
          <w:sz w:val="24"/>
          <w:szCs w:val="24"/>
          <w:lang w:val="en-US" w:eastAsia="zh-TW"/>
        </w:rPr>
        <w:t xml:space="preserve"> </w:t>
      </w:r>
      <w:r w:rsidRPr="00A37F88">
        <w:rPr>
          <w:rFonts w:ascii="Times New Roman" w:eastAsia="PMingLiU" w:hAnsi="Times New Roman" w:cs="Times New Roman"/>
          <w:i/>
          <w:kern w:val="2"/>
          <w:sz w:val="24"/>
          <w:szCs w:val="24"/>
          <w:lang w:val="en-US" w:eastAsia="zh-TW"/>
        </w:rPr>
        <w:t>Kebijakan Liberalisasi Pariwisata Konstruksi Konsep, Ragam Masalah, dan Alternatif Solusi</w:t>
      </w:r>
      <w:r w:rsidRPr="00A37F88">
        <w:rPr>
          <w:rFonts w:ascii="Times New Roman" w:eastAsia="PMingLiU" w:hAnsi="Times New Roman" w:cs="Times New Roman"/>
          <w:kern w:val="2"/>
          <w:sz w:val="24"/>
          <w:szCs w:val="24"/>
          <w:lang w:val="en-US" w:eastAsia="zh-TW"/>
        </w:rPr>
        <w:t xml:space="preserve">, </w:t>
      </w:r>
      <w:r w:rsidRPr="00A37F88">
        <w:rPr>
          <w:rFonts w:ascii="Times New Roman" w:eastAsia="PMingLiU" w:hAnsi="Times New Roman" w:cs="Times New Roman"/>
          <w:kern w:val="2"/>
          <w:sz w:val="24"/>
          <w:szCs w:val="24"/>
          <w:lang w:eastAsia="zh-TW"/>
        </w:rPr>
        <w:t xml:space="preserve">Denpasar : </w:t>
      </w:r>
      <w:r w:rsidRPr="00A37F88">
        <w:rPr>
          <w:rFonts w:ascii="Times New Roman" w:eastAsia="PMingLiU" w:hAnsi="Times New Roman" w:cs="Times New Roman"/>
          <w:kern w:val="2"/>
          <w:sz w:val="24"/>
          <w:szCs w:val="24"/>
          <w:lang w:val="en-US" w:eastAsia="zh-TW"/>
        </w:rPr>
        <w:t>Udayana University Press</w:t>
      </w:r>
    </w:p>
    <w:p w:rsidR="00A37F88" w:rsidRPr="00A37F88" w:rsidRDefault="00A37F88" w:rsidP="00A37F88">
      <w:pPr>
        <w:widowControl w:val="0"/>
        <w:numPr>
          <w:ilvl w:val="0"/>
          <w:numId w:val="96"/>
        </w:numPr>
        <w:spacing w:after="0" w:line="480" w:lineRule="auto"/>
        <w:contextualSpacing/>
        <w:jc w:val="both"/>
        <w:rPr>
          <w:rFonts w:ascii="Times New Roman" w:eastAsia="PMingLiU" w:hAnsi="Times New Roman" w:cs="Times New Roman"/>
          <w:b/>
          <w:kern w:val="2"/>
          <w:sz w:val="24"/>
          <w:szCs w:val="24"/>
          <w:lang w:eastAsia="zh-TW"/>
        </w:rPr>
      </w:pPr>
      <w:r w:rsidRPr="00A37F88">
        <w:rPr>
          <w:rFonts w:ascii="Times New Roman" w:eastAsia="PMingLiU" w:hAnsi="Times New Roman" w:cs="Times New Roman"/>
          <w:b/>
          <w:kern w:val="2"/>
          <w:sz w:val="24"/>
          <w:szCs w:val="24"/>
          <w:lang w:eastAsia="zh-TW"/>
        </w:rPr>
        <w:t>Jurnal, Tesis, Karya Ilmiah</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val="en-US" w:eastAsia="zh-TW"/>
        </w:rPr>
      </w:pPr>
      <w:r w:rsidRPr="00A37F88">
        <w:rPr>
          <w:rFonts w:ascii="Times New Roman" w:eastAsia="PMingLiU" w:hAnsi="Times New Roman" w:cs="Times New Roman"/>
          <w:kern w:val="2"/>
          <w:sz w:val="24"/>
          <w:szCs w:val="24"/>
          <w:lang w:val="en-US" w:eastAsia="zh-TW"/>
        </w:rPr>
        <w:t xml:space="preserve">  </w:t>
      </w:r>
      <w:r w:rsidRPr="00A37F88">
        <w:rPr>
          <w:rFonts w:ascii="Times New Roman" w:eastAsia="PMingLiU" w:hAnsi="Times New Roman" w:cs="Times New Roman"/>
          <w:i/>
          <w:kern w:val="2"/>
          <w:sz w:val="24"/>
          <w:szCs w:val="24"/>
          <w:lang w:val="en-US" w:eastAsia="zh-TW"/>
        </w:rPr>
        <w:t>Asean study center</w:t>
      </w:r>
      <w:r w:rsidRPr="00A37F88">
        <w:rPr>
          <w:rFonts w:ascii="Times New Roman" w:eastAsia="PMingLiU" w:hAnsi="Times New Roman" w:cs="Times New Roman"/>
          <w:kern w:val="2"/>
          <w:sz w:val="24"/>
          <w:szCs w:val="24"/>
          <w:lang w:val="en-US" w:eastAsia="zh-TW"/>
        </w:rPr>
        <w:t xml:space="preserve"> FISIP UI,</w:t>
      </w:r>
      <w:r w:rsidRPr="00A37F88">
        <w:rPr>
          <w:rFonts w:ascii="Times New Roman" w:eastAsia="PMingLiU" w:hAnsi="Times New Roman" w:cs="Times New Roman"/>
          <w:kern w:val="2"/>
          <w:sz w:val="24"/>
          <w:szCs w:val="24"/>
          <w:lang w:eastAsia="zh-TW"/>
        </w:rPr>
        <w:t xml:space="preserve"> 2013,</w:t>
      </w:r>
      <w:r w:rsidRPr="00A37F88">
        <w:rPr>
          <w:rFonts w:ascii="Times New Roman" w:eastAsia="PMingLiU" w:hAnsi="Times New Roman" w:cs="Times New Roman"/>
          <w:kern w:val="2"/>
          <w:sz w:val="24"/>
          <w:szCs w:val="24"/>
          <w:lang w:val="en-US" w:eastAsia="zh-TW"/>
        </w:rPr>
        <w:t xml:space="preserve"> </w:t>
      </w:r>
      <w:r w:rsidRPr="00A37F88">
        <w:rPr>
          <w:rFonts w:ascii="Times New Roman" w:eastAsia="PMingLiU" w:hAnsi="Times New Roman" w:cs="Times New Roman"/>
          <w:i/>
          <w:kern w:val="2"/>
          <w:sz w:val="24"/>
          <w:szCs w:val="24"/>
          <w:lang w:val="en-US" w:eastAsia="zh-TW"/>
        </w:rPr>
        <w:t>Pemetaan Pekerja Terampil Indonesia Dan Liberalisasi Jasa ASEAN</w:t>
      </w:r>
      <w:r w:rsidRPr="00A37F88">
        <w:rPr>
          <w:rFonts w:ascii="Times New Roman" w:eastAsia="PMingLiU" w:hAnsi="Times New Roman" w:cs="Times New Roman"/>
          <w:kern w:val="2"/>
          <w:sz w:val="24"/>
          <w:szCs w:val="24"/>
          <w:lang w:val="en-US" w:eastAsia="zh-TW"/>
        </w:rPr>
        <w:t>, FISIP UI</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  Crespi. Gregory S., 2011, </w:t>
      </w:r>
      <w:r w:rsidRPr="00A37F88">
        <w:rPr>
          <w:rFonts w:ascii="Times New Roman" w:eastAsia="PMingLiU" w:hAnsi="Times New Roman" w:cs="Times New Roman"/>
          <w:i/>
          <w:kern w:val="2"/>
          <w:sz w:val="24"/>
          <w:szCs w:val="24"/>
          <w:lang w:eastAsia="zh-TW"/>
        </w:rPr>
        <w:t>Teaching The New Law and Eco nomics, Law  Review  Vol.  25  No.  3, University of Toled</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i/>
          <w:kern w:val="2"/>
          <w:sz w:val="24"/>
          <w:szCs w:val="24"/>
          <w:lang w:val="en-US" w:eastAsia="zh-TW"/>
        </w:rPr>
      </w:pPr>
      <w:r w:rsidRPr="00A37F88">
        <w:rPr>
          <w:rFonts w:ascii="Times New Roman" w:eastAsia="PMingLiU" w:hAnsi="Times New Roman" w:cs="Times New Roman"/>
          <w:kern w:val="2"/>
          <w:sz w:val="24"/>
          <w:szCs w:val="24"/>
          <w:lang w:val="en-US" w:eastAsia="zh-TW"/>
        </w:rPr>
        <w:lastRenderedPageBreak/>
        <w:t>Hassan, Mohamed Jahwar</w:t>
      </w:r>
      <w:r w:rsidRPr="00A37F88">
        <w:rPr>
          <w:rFonts w:ascii="Times New Roman" w:eastAsia="PMingLiU" w:hAnsi="Times New Roman" w:cs="Times New Roman"/>
          <w:kern w:val="2"/>
          <w:sz w:val="24"/>
          <w:szCs w:val="24"/>
          <w:lang w:eastAsia="zh-TW"/>
        </w:rPr>
        <w:t xml:space="preserve">., 2007, </w:t>
      </w:r>
      <w:r w:rsidRPr="00A37F88">
        <w:rPr>
          <w:rFonts w:ascii="Times New Roman" w:eastAsia="PMingLiU" w:hAnsi="Times New Roman" w:cs="Times New Roman"/>
          <w:kern w:val="2"/>
          <w:sz w:val="24"/>
          <w:szCs w:val="24"/>
          <w:lang w:val="en-US" w:eastAsia="zh-TW"/>
        </w:rPr>
        <w:t xml:space="preserve"> </w:t>
      </w:r>
      <w:r w:rsidRPr="00A37F88">
        <w:rPr>
          <w:rFonts w:ascii="Times New Roman" w:eastAsia="PMingLiU" w:hAnsi="Times New Roman" w:cs="Times New Roman"/>
          <w:i/>
          <w:kern w:val="2"/>
          <w:sz w:val="24"/>
          <w:szCs w:val="24"/>
          <w:lang w:val="en-US" w:eastAsia="zh-TW"/>
        </w:rPr>
        <w:t>The Resurgence of China and India, major Power Rivalry and The Response of ASEAN,</w:t>
      </w:r>
      <w:r w:rsidRPr="00A37F88">
        <w:rPr>
          <w:rFonts w:ascii="Times New Roman" w:eastAsia="PMingLiU" w:hAnsi="Times New Roman" w:cs="Times New Roman"/>
          <w:i/>
          <w:kern w:val="2"/>
          <w:sz w:val="24"/>
          <w:szCs w:val="24"/>
          <w:lang w:eastAsia="zh-TW"/>
        </w:rPr>
        <w:t xml:space="preserve"> </w:t>
      </w:r>
      <w:r w:rsidRPr="00A37F88">
        <w:rPr>
          <w:rFonts w:ascii="Times New Roman" w:eastAsia="PMingLiU" w:hAnsi="Times New Roman" w:cs="Times New Roman"/>
          <w:i/>
          <w:kern w:val="2"/>
          <w:sz w:val="24"/>
          <w:szCs w:val="24"/>
          <w:lang w:val="en-US" w:eastAsia="zh-TW"/>
        </w:rPr>
        <w:t>dalam Hadi Soesastro dan Clara Joewono (eds.), The Inklusif Regionalist</w:t>
      </w:r>
      <w:r w:rsidRPr="00A37F88">
        <w:rPr>
          <w:rFonts w:ascii="Times New Roman" w:eastAsia="PMingLiU" w:hAnsi="Times New Roman" w:cs="Times New Roman"/>
          <w:kern w:val="2"/>
          <w:sz w:val="24"/>
          <w:szCs w:val="24"/>
          <w:lang w:val="en-US" w:eastAsia="zh-TW"/>
        </w:rPr>
        <w:t xml:space="preserve">, Jakarta: </w:t>
      </w:r>
      <w:r w:rsidRPr="00A37F88">
        <w:rPr>
          <w:rFonts w:ascii="Times New Roman" w:eastAsia="PMingLiU" w:hAnsi="Times New Roman" w:cs="Times New Roman"/>
          <w:i/>
          <w:kern w:val="2"/>
          <w:sz w:val="24"/>
          <w:szCs w:val="24"/>
          <w:lang w:val="en-US" w:eastAsia="zh-TW"/>
        </w:rPr>
        <w:t>Centre For Strategic And</w:t>
      </w:r>
      <w:r w:rsidRPr="00A37F88">
        <w:rPr>
          <w:rFonts w:ascii="Times New Roman" w:eastAsia="PMingLiU" w:hAnsi="Times New Roman" w:cs="Times New Roman"/>
          <w:i/>
          <w:kern w:val="2"/>
          <w:sz w:val="24"/>
          <w:szCs w:val="24"/>
          <w:lang w:eastAsia="zh-TW"/>
        </w:rPr>
        <w:t xml:space="preserve"> </w:t>
      </w:r>
      <w:r w:rsidRPr="00A37F88">
        <w:rPr>
          <w:rFonts w:ascii="Times New Roman" w:eastAsia="PMingLiU" w:hAnsi="Times New Roman" w:cs="Times New Roman"/>
          <w:i/>
          <w:kern w:val="2"/>
          <w:sz w:val="24"/>
          <w:szCs w:val="24"/>
          <w:lang w:val="en-US" w:eastAsia="zh-TW"/>
        </w:rPr>
        <w:t>International Studies Indonesia</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Hanouz, Margareta Drzeniek., 2013,  </w:t>
      </w:r>
      <w:r w:rsidRPr="00A37F88">
        <w:rPr>
          <w:rFonts w:ascii="Times New Roman" w:eastAsia="PMingLiU" w:hAnsi="Times New Roman" w:cs="Times New Roman"/>
          <w:i/>
          <w:kern w:val="2"/>
          <w:sz w:val="24"/>
          <w:szCs w:val="24"/>
          <w:lang w:eastAsia="zh-TW"/>
        </w:rPr>
        <w:t>Global Competitiveness and Risks</w:t>
      </w:r>
      <w:r w:rsidRPr="00A37F88">
        <w:rPr>
          <w:rFonts w:ascii="Times New Roman" w:eastAsia="PMingLiU" w:hAnsi="Times New Roman" w:cs="Times New Roman"/>
          <w:kern w:val="2"/>
          <w:sz w:val="24"/>
          <w:szCs w:val="24"/>
          <w:lang w:eastAsia="zh-TW"/>
        </w:rPr>
        <w:t xml:space="preserve">, Jenewa : </w:t>
      </w:r>
      <w:r w:rsidRPr="00A37F88">
        <w:rPr>
          <w:rFonts w:ascii="Times New Roman" w:eastAsia="PMingLiU" w:hAnsi="Times New Roman" w:cs="Times New Roman"/>
          <w:i/>
          <w:kern w:val="2"/>
          <w:sz w:val="24"/>
          <w:szCs w:val="24"/>
          <w:lang w:eastAsia="zh-TW"/>
        </w:rPr>
        <w:t>World Economic Forum</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Malau, Masnur Tiurmaida., 2015, </w:t>
      </w:r>
      <w:r w:rsidRPr="00A37F88">
        <w:rPr>
          <w:rFonts w:ascii="Times New Roman" w:eastAsia="PMingLiU" w:hAnsi="Times New Roman" w:cs="Times New Roman"/>
          <w:i/>
          <w:kern w:val="2"/>
          <w:sz w:val="24"/>
          <w:szCs w:val="24"/>
          <w:lang w:eastAsia="zh-TW"/>
        </w:rPr>
        <w:t>Aspek Hukum Peraturan dan Kebijakan Pemerintah Indonesia Menghadapi Liberalisasi Ekonomi Regional : Masyarakat Ekonomi ASEAN 2015</w:t>
      </w:r>
      <w:r w:rsidRPr="00A37F88">
        <w:rPr>
          <w:rFonts w:ascii="Times New Roman" w:eastAsia="PMingLiU" w:hAnsi="Times New Roman" w:cs="Times New Roman"/>
          <w:kern w:val="2"/>
          <w:sz w:val="24"/>
          <w:szCs w:val="24"/>
          <w:lang w:eastAsia="zh-TW"/>
        </w:rPr>
        <w:t>, Pusat Penelitian dan Pengembangan Sistem Hukum Nasional BPHN</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val="en-US" w:eastAsia="zh-TW"/>
        </w:rPr>
        <w:t>Pianandita,</w:t>
      </w:r>
      <w:r w:rsidRPr="00A37F88">
        <w:rPr>
          <w:rFonts w:ascii="Times New Roman" w:eastAsia="PMingLiU" w:hAnsi="Times New Roman" w:cs="Times New Roman"/>
          <w:kern w:val="2"/>
          <w:sz w:val="24"/>
          <w:szCs w:val="24"/>
          <w:lang w:eastAsia="zh-TW"/>
        </w:rPr>
        <w:t xml:space="preserve"> </w:t>
      </w:r>
      <w:r w:rsidRPr="00A37F88">
        <w:rPr>
          <w:rFonts w:ascii="Times New Roman" w:eastAsia="PMingLiU" w:hAnsi="Times New Roman" w:cs="Times New Roman"/>
          <w:kern w:val="2"/>
          <w:sz w:val="24"/>
          <w:szCs w:val="24"/>
          <w:lang w:val="en-US" w:eastAsia="zh-TW"/>
        </w:rPr>
        <w:t>Rizki Wahyu Sinatria</w:t>
      </w:r>
      <w:r w:rsidRPr="00A37F88">
        <w:rPr>
          <w:rFonts w:ascii="Times New Roman" w:eastAsia="PMingLiU" w:hAnsi="Times New Roman" w:cs="Times New Roman"/>
          <w:kern w:val="2"/>
          <w:sz w:val="24"/>
          <w:szCs w:val="24"/>
          <w:lang w:eastAsia="zh-TW"/>
        </w:rPr>
        <w:t xml:space="preserve">., 2009, </w:t>
      </w:r>
      <w:r w:rsidRPr="00A37F88">
        <w:rPr>
          <w:rFonts w:ascii="Times New Roman" w:eastAsia="PMingLiU" w:hAnsi="Times New Roman" w:cs="Times New Roman"/>
          <w:i/>
          <w:kern w:val="2"/>
          <w:sz w:val="24"/>
          <w:szCs w:val="24"/>
          <w:lang w:val="en-US" w:eastAsia="zh-TW"/>
        </w:rPr>
        <w:t>Penanganan Sengketa pada Kontrak Konstruksi yang Berdimensi Publik</w:t>
      </w:r>
      <w:r w:rsidRPr="00A37F88">
        <w:rPr>
          <w:rFonts w:ascii="Times New Roman" w:eastAsia="PMingLiU" w:hAnsi="Times New Roman" w:cs="Times New Roman"/>
          <w:kern w:val="2"/>
          <w:sz w:val="24"/>
          <w:szCs w:val="24"/>
          <w:lang w:val="en-US" w:eastAsia="zh-TW"/>
        </w:rPr>
        <w:t>. Jakarta : Tesis, Sarjana Hukum, Pasca Sarjana Fakultas Hukum Universitas Indonesia</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Prasetya, Bagus., 2009, </w:t>
      </w:r>
      <w:r w:rsidRPr="00A37F88">
        <w:rPr>
          <w:rFonts w:ascii="Times New Roman" w:eastAsia="PMingLiU" w:hAnsi="Times New Roman" w:cs="Times New Roman"/>
          <w:i/>
          <w:kern w:val="2"/>
          <w:sz w:val="24"/>
          <w:szCs w:val="24"/>
          <w:lang w:eastAsia="zh-TW"/>
        </w:rPr>
        <w:t>Menilik Kesiapan Dunia Ketenagakerjaan Indonesia Menghadapi MEA</w:t>
      </w:r>
      <w:r w:rsidRPr="00A37F88">
        <w:rPr>
          <w:rFonts w:ascii="Times New Roman" w:eastAsia="PMingLiU" w:hAnsi="Times New Roman" w:cs="Times New Roman"/>
          <w:kern w:val="2"/>
          <w:sz w:val="24"/>
          <w:szCs w:val="24"/>
          <w:lang w:eastAsia="zh-TW"/>
        </w:rPr>
        <w:t>, Jurnal Rechtsvinding</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val="en-US" w:eastAsia="zh-TW"/>
        </w:rPr>
        <w:t>Schwab, Klaus</w:t>
      </w:r>
      <w:r w:rsidRPr="00A37F88">
        <w:rPr>
          <w:rFonts w:ascii="Times New Roman" w:eastAsia="PMingLiU" w:hAnsi="Times New Roman" w:cs="Times New Roman"/>
          <w:kern w:val="2"/>
          <w:sz w:val="24"/>
          <w:szCs w:val="24"/>
          <w:lang w:eastAsia="zh-TW"/>
        </w:rPr>
        <w:t xml:space="preserve">., 2013, </w:t>
      </w:r>
      <w:r w:rsidRPr="00A37F88">
        <w:rPr>
          <w:rFonts w:ascii="Times New Roman" w:eastAsia="PMingLiU" w:hAnsi="Times New Roman" w:cs="Times New Roman"/>
          <w:i/>
          <w:kern w:val="2"/>
          <w:sz w:val="24"/>
          <w:szCs w:val="24"/>
          <w:lang w:val="en-US" w:eastAsia="zh-TW"/>
        </w:rPr>
        <w:t>The Global Competitiveness Report 2013-2014</w:t>
      </w:r>
      <w:r w:rsidRPr="00A37F88">
        <w:rPr>
          <w:rFonts w:ascii="Times New Roman" w:eastAsia="PMingLiU" w:hAnsi="Times New Roman" w:cs="Times New Roman"/>
          <w:kern w:val="2"/>
          <w:sz w:val="24"/>
          <w:szCs w:val="24"/>
          <w:lang w:val="en-US" w:eastAsia="zh-TW"/>
        </w:rPr>
        <w:t>, Jenewa</w:t>
      </w:r>
      <w:r w:rsidRPr="00A37F88">
        <w:rPr>
          <w:rFonts w:ascii="Times New Roman" w:eastAsia="PMingLiU" w:hAnsi="Times New Roman" w:cs="Times New Roman"/>
          <w:kern w:val="2"/>
          <w:sz w:val="24"/>
          <w:szCs w:val="24"/>
          <w:lang w:eastAsia="zh-TW"/>
        </w:rPr>
        <w:t xml:space="preserve"> </w:t>
      </w:r>
      <w:r w:rsidRPr="00A37F88">
        <w:rPr>
          <w:rFonts w:ascii="Times New Roman" w:eastAsia="PMingLiU" w:hAnsi="Times New Roman" w:cs="Times New Roman"/>
          <w:kern w:val="2"/>
          <w:sz w:val="24"/>
          <w:szCs w:val="24"/>
          <w:lang w:val="en-US" w:eastAsia="zh-TW"/>
        </w:rPr>
        <w:t xml:space="preserve">: </w:t>
      </w:r>
      <w:r w:rsidRPr="00A37F88">
        <w:rPr>
          <w:rFonts w:ascii="Times New Roman" w:eastAsia="PMingLiU" w:hAnsi="Times New Roman" w:cs="Times New Roman"/>
          <w:i/>
          <w:kern w:val="2"/>
          <w:sz w:val="24"/>
          <w:szCs w:val="24"/>
          <w:lang w:val="en-US" w:eastAsia="zh-TW"/>
        </w:rPr>
        <w:t>World Economic Forum</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val="en-US" w:eastAsia="zh-TW"/>
        </w:rPr>
      </w:pPr>
      <w:r w:rsidRPr="00A37F88">
        <w:rPr>
          <w:rFonts w:ascii="Times New Roman" w:eastAsia="PMingLiU" w:hAnsi="Times New Roman" w:cs="Times New Roman"/>
          <w:kern w:val="2"/>
          <w:sz w:val="24"/>
          <w:szCs w:val="24"/>
          <w:lang w:val="en-US" w:eastAsia="zh-TW"/>
        </w:rPr>
        <w:t>Soesastro</w:t>
      </w:r>
      <w:r w:rsidRPr="00A37F88">
        <w:rPr>
          <w:rFonts w:ascii="Times New Roman" w:eastAsia="PMingLiU" w:hAnsi="Times New Roman" w:cs="Times New Roman"/>
          <w:kern w:val="2"/>
          <w:sz w:val="24"/>
          <w:szCs w:val="24"/>
          <w:lang w:eastAsia="zh-TW"/>
        </w:rPr>
        <w:t>,</w:t>
      </w:r>
      <w:r w:rsidRPr="00A37F88">
        <w:rPr>
          <w:rFonts w:ascii="Times New Roman" w:eastAsia="PMingLiU" w:hAnsi="Times New Roman" w:cs="Times New Roman"/>
          <w:kern w:val="2"/>
          <w:sz w:val="24"/>
          <w:szCs w:val="24"/>
          <w:lang w:val="en-US" w:eastAsia="zh-TW"/>
        </w:rPr>
        <w:t xml:space="preserve"> Hadi</w:t>
      </w:r>
      <w:r w:rsidRPr="00A37F88">
        <w:rPr>
          <w:rFonts w:ascii="Times New Roman" w:eastAsia="PMingLiU" w:hAnsi="Times New Roman" w:cs="Times New Roman"/>
          <w:kern w:val="2"/>
          <w:sz w:val="24"/>
          <w:szCs w:val="24"/>
          <w:lang w:eastAsia="zh-TW"/>
        </w:rPr>
        <w:t>., 2014,</w:t>
      </w:r>
      <w:r w:rsidRPr="00A37F88">
        <w:rPr>
          <w:rFonts w:ascii="Times New Roman" w:eastAsia="PMingLiU" w:hAnsi="Times New Roman" w:cs="Times New Roman"/>
          <w:kern w:val="2"/>
          <w:sz w:val="24"/>
          <w:szCs w:val="24"/>
          <w:lang w:val="en-US" w:eastAsia="zh-TW"/>
        </w:rPr>
        <w:t xml:space="preserve"> </w:t>
      </w:r>
      <w:r w:rsidRPr="00A37F88">
        <w:rPr>
          <w:rFonts w:ascii="Times New Roman" w:eastAsia="PMingLiU" w:hAnsi="Times New Roman" w:cs="Times New Roman"/>
          <w:i/>
          <w:kern w:val="2"/>
          <w:sz w:val="24"/>
          <w:szCs w:val="24"/>
          <w:lang w:val="en-US" w:eastAsia="zh-TW"/>
        </w:rPr>
        <w:t>A New ASEAN in a New Millenium,Centre for Strategic and International Student</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Wahyudi, Dian., 2015,  </w:t>
      </w:r>
      <w:r w:rsidRPr="00A37F88">
        <w:rPr>
          <w:rFonts w:ascii="Times New Roman" w:eastAsia="PMingLiU" w:hAnsi="Times New Roman" w:cs="Times New Roman"/>
          <w:i/>
          <w:kern w:val="2"/>
          <w:sz w:val="24"/>
          <w:szCs w:val="24"/>
          <w:lang w:eastAsia="zh-TW"/>
        </w:rPr>
        <w:t>Peluang atau Tantangan Indonesia Menuju Asean Economic Community (AEC) 2015</w:t>
      </w:r>
      <w:r w:rsidRPr="00A37F88">
        <w:rPr>
          <w:rFonts w:ascii="Times New Roman" w:eastAsia="PMingLiU" w:hAnsi="Times New Roman" w:cs="Times New Roman"/>
          <w:kern w:val="2"/>
          <w:sz w:val="24"/>
          <w:szCs w:val="24"/>
          <w:lang w:eastAsia="zh-TW"/>
        </w:rPr>
        <w:t>,  Jurnal Ilmiah</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p>
    <w:p w:rsidR="00A37F88" w:rsidRPr="00A37F88" w:rsidRDefault="00A37F88" w:rsidP="00A37F88">
      <w:pPr>
        <w:widowControl w:val="0"/>
        <w:numPr>
          <w:ilvl w:val="0"/>
          <w:numId w:val="96"/>
        </w:numPr>
        <w:spacing w:after="0" w:line="480" w:lineRule="auto"/>
        <w:contextualSpacing/>
        <w:jc w:val="both"/>
        <w:rPr>
          <w:rFonts w:ascii="Times New Roman" w:eastAsia="PMingLiU" w:hAnsi="Times New Roman" w:cs="Times New Roman"/>
          <w:b/>
          <w:kern w:val="2"/>
          <w:sz w:val="24"/>
          <w:szCs w:val="24"/>
          <w:lang w:eastAsia="zh-TW"/>
        </w:rPr>
      </w:pPr>
      <w:r w:rsidRPr="00A37F88">
        <w:rPr>
          <w:rFonts w:ascii="Times New Roman" w:eastAsia="PMingLiU" w:hAnsi="Times New Roman" w:cs="Times New Roman"/>
          <w:b/>
          <w:kern w:val="2"/>
          <w:sz w:val="24"/>
          <w:szCs w:val="24"/>
          <w:lang w:eastAsia="zh-TW"/>
        </w:rPr>
        <w:t xml:space="preserve">Peraturan </w:t>
      </w:r>
    </w:p>
    <w:p w:rsidR="00A37F88" w:rsidRPr="00A37F88" w:rsidRDefault="00A37F88" w:rsidP="00A37F88">
      <w:pPr>
        <w:widowControl w:val="0"/>
        <w:spacing w:after="0" w:line="480" w:lineRule="auto"/>
        <w:ind w:left="720"/>
        <w:contextualSpacing/>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lastRenderedPageBreak/>
        <w:t>Undang-Undang Nomor 18 Tahun 1999 Tentang Jasa Konstruksi</w:t>
      </w:r>
    </w:p>
    <w:p w:rsidR="00A37F88" w:rsidRPr="00A37F88" w:rsidRDefault="00A37F88" w:rsidP="00A37F88">
      <w:pPr>
        <w:widowControl w:val="0"/>
        <w:spacing w:after="0" w:line="480" w:lineRule="auto"/>
        <w:ind w:left="720"/>
        <w:contextualSpacing/>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Undang-Undang   Nomor   25   Tahun   2007  Tentang  Penanaman  Modal</w:t>
      </w:r>
    </w:p>
    <w:p w:rsidR="00A37F88" w:rsidRPr="00A37F88" w:rsidRDefault="00A37F88" w:rsidP="00A37F88">
      <w:pPr>
        <w:widowControl w:val="0"/>
        <w:spacing w:after="0" w:line="480" w:lineRule="auto"/>
        <w:ind w:left="720"/>
        <w:contextualSpacing/>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Undang - Undang Nomor 7 Tahun 2014 Tentang Perdagangan</w:t>
      </w:r>
    </w:p>
    <w:p w:rsidR="00A37F88" w:rsidRPr="00A37F88" w:rsidRDefault="00A37F88" w:rsidP="00A37F88">
      <w:pPr>
        <w:widowControl w:val="0"/>
        <w:spacing w:after="0" w:line="480" w:lineRule="auto"/>
        <w:ind w:left="720"/>
        <w:contextualSpacing/>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Undang – Undang Nomor 11 Tahun 2014 Tentang Keinsinyuran</w:t>
      </w:r>
    </w:p>
    <w:p w:rsidR="00A37F88" w:rsidRPr="00A37F88" w:rsidRDefault="00A37F88" w:rsidP="00A37F88">
      <w:pPr>
        <w:widowControl w:val="0"/>
        <w:spacing w:after="0" w:line="480" w:lineRule="auto"/>
        <w:ind w:left="720"/>
        <w:contextualSpacing/>
        <w:jc w:val="both"/>
        <w:rPr>
          <w:rFonts w:ascii="Times New Roman" w:eastAsia="PMingLiU" w:hAnsi="Times New Roman" w:cs="Times New Roman"/>
          <w:kern w:val="2"/>
          <w:sz w:val="24"/>
          <w:szCs w:val="24"/>
          <w:lang w:val="en-US" w:eastAsia="zh-TW"/>
        </w:rPr>
      </w:pPr>
      <w:r w:rsidRPr="00A37F88">
        <w:rPr>
          <w:rFonts w:ascii="Times New Roman" w:eastAsia="PMingLiU" w:hAnsi="Times New Roman" w:cs="Times New Roman"/>
          <w:kern w:val="2"/>
          <w:sz w:val="24"/>
          <w:szCs w:val="24"/>
          <w:lang w:val="en-US" w:eastAsia="zh-TW"/>
        </w:rPr>
        <w:t>Peraturan Presiden Nomor 8 Tahun 2012 tentang Kerangka Kualifikasi Nasional Indonesia</w:t>
      </w:r>
    </w:p>
    <w:p w:rsidR="00A37F88" w:rsidRPr="00A37F88" w:rsidRDefault="00A37F88" w:rsidP="00A37F88">
      <w:pPr>
        <w:widowControl w:val="0"/>
        <w:spacing w:after="0" w:line="480" w:lineRule="auto"/>
        <w:ind w:left="720"/>
        <w:contextualSpacing/>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Peraturan Presiden Nomor 44 Tahun 2016 tentang Daftar Bidang Usaha yang Tertutup dan Bidang Usaha yang Terbuka dengan Persyaratan di Bidang Penanaman Modal</w:t>
      </w:r>
    </w:p>
    <w:p w:rsidR="00A37F88" w:rsidRPr="00A37F88" w:rsidRDefault="00A37F88" w:rsidP="00A37F88">
      <w:pPr>
        <w:widowControl w:val="0"/>
        <w:spacing w:after="0" w:line="480" w:lineRule="auto"/>
        <w:ind w:left="720"/>
        <w:contextualSpacing/>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Peraturan Menteri Pekerjaan Umum Nomor 8 Tahun 2011 Tentang Pembagian Subklasifikasi dan  Subkualifikasi  Usaha Jasa Konstruksi</w:t>
      </w:r>
    </w:p>
    <w:p w:rsidR="00A37F88" w:rsidRPr="00A37F88" w:rsidRDefault="00A37F88" w:rsidP="00A37F88">
      <w:pPr>
        <w:widowControl w:val="0"/>
        <w:spacing w:after="0" w:line="480" w:lineRule="auto"/>
        <w:ind w:left="720"/>
        <w:contextualSpacing/>
        <w:jc w:val="both"/>
        <w:rPr>
          <w:rFonts w:ascii="Times New Roman" w:eastAsia="PMingLiU" w:hAnsi="Times New Roman" w:cs="Times New Roman"/>
          <w:kern w:val="2"/>
          <w:sz w:val="24"/>
          <w:szCs w:val="24"/>
          <w:lang w:val="en-US" w:eastAsia="zh-TW"/>
        </w:rPr>
      </w:pPr>
      <w:r w:rsidRPr="00A37F88">
        <w:rPr>
          <w:rFonts w:ascii="Times New Roman" w:eastAsia="PMingLiU" w:hAnsi="Times New Roman" w:cs="Times New Roman"/>
          <w:kern w:val="2"/>
          <w:sz w:val="24"/>
          <w:szCs w:val="24"/>
          <w:lang w:val="en-US" w:eastAsia="zh-TW"/>
        </w:rPr>
        <w:t>Peraturan Menteri Pekerjaan Umum, Nomor : 09/PRT/M/2013 Tentang : Persyaratan Kompetensi Untuk Subkualifikasi Tenaga Ahli dan Tenaga Terampil Bidang Jasa Konstruksi</w:t>
      </w:r>
    </w:p>
    <w:p w:rsidR="00A37F88" w:rsidRPr="00A37F88" w:rsidRDefault="00A37F88" w:rsidP="00A37F88">
      <w:pPr>
        <w:widowControl w:val="0"/>
        <w:spacing w:after="0" w:line="480" w:lineRule="auto"/>
        <w:ind w:firstLine="720"/>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i/>
          <w:kern w:val="2"/>
          <w:sz w:val="24"/>
          <w:szCs w:val="24"/>
          <w:lang w:eastAsia="zh-TW"/>
        </w:rPr>
        <w:t>General Agreement Trade In Services</w:t>
      </w:r>
      <w:r w:rsidRPr="00A37F88">
        <w:rPr>
          <w:rFonts w:ascii="Times New Roman" w:eastAsia="PMingLiU" w:hAnsi="Times New Roman" w:cs="Times New Roman"/>
          <w:kern w:val="2"/>
          <w:sz w:val="24"/>
          <w:szCs w:val="24"/>
          <w:lang w:eastAsia="zh-TW"/>
        </w:rPr>
        <w:t xml:space="preserve"> (GATS)</w:t>
      </w:r>
    </w:p>
    <w:p w:rsidR="00A37F88" w:rsidRPr="00A37F88" w:rsidRDefault="00A37F88" w:rsidP="00A37F88">
      <w:pPr>
        <w:widowControl w:val="0"/>
        <w:spacing w:after="0" w:line="480" w:lineRule="auto"/>
        <w:ind w:firstLine="720"/>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i/>
          <w:kern w:val="2"/>
          <w:sz w:val="24"/>
          <w:szCs w:val="24"/>
          <w:lang w:eastAsia="zh-TW"/>
        </w:rPr>
        <w:t>ASEAN Framework Agreement On Services</w:t>
      </w:r>
      <w:r w:rsidRPr="00A37F88">
        <w:rPr>
          <w:rFonts w:ascii="Times New Roman" w:eastAsia="PMingLiU" w:hAnsi="Times New Roman" w:cs="Times New Roman"/>
          <w:kern w:val="2"/>
          <w:sz w:val="24"/>
          <w:szCs w:val="24"/>
          <w:lang w:eastAsia="zh-TW"/>
        </w:rPr>
        <w:t xml:space="preserve"> (AFAS)</w:t>
      </w:r>
    </w:p>
    <w:p w:rsidR="00A37F88" w:rsidRPr="00A37F88" w:rsidRDefault="00A37F88" w:rsidP="00A37F88">
      <w:pPr>
        <w:widowControl w:val="0"/>
        <w:spacing w:after="0" w:line="480" w:lineRule="auto"/>
        <w:ind w:firstLine="720"/>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i/>
          <w:kern w:val="2"/>
          <w:sz w:val="24"/>
          <w:szCs w:val="24"/>
          <w:lang w:eastAsia="zh-TW"/>
        </w:rPr>
        <w:t>ASEAN Economic Community Blueprint</w:t>
      </w:r>
      <w:r w:rsidRPr="00A37F88">
        <w:rPr>
          <w:rFonts w:ascii="Times New Roman" w:eastAsia="PMingLiU" w:hAnsi="Times New Roman" w:cs="Times New Roman"/>
          <w:kern w:val="2"/>
          <w:sz w:val="24"/>
          <w:szCs w:val="24"/>
          <w:lang w:eastAsia="zh-TW"/>
        </w:rPr>
        <w:t xml:space="preserve"> 2015</w:t>
      </w:r>
    </w:p>
    <w:p w:rsidR="00A37F88" w:rsidRPr="00A37F88" w:rsidRDefault="00A37F88" w:rsidP="00A37F88">
      <w:pPr>
        <w:widowControl w:val="0"/>
        <w:spacing w:after="0" w:line="480" w:lineRule="auto"/>
        <w:ind w:firstLine="720"/>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Piagam Bali Concord II</w:t>
      </w:r>
    </w:p>
    <w:p w:rsidR="00A37F88" w:rsidRPr="00A37F88" w:rsidRDefault="00A37F88" w:rsidP="00A37F88">
      <w:pPr>
        <w:widowControl w:val="0"/>
        <w:numPr>
          <w:ilvl w:val="0"/>
          <w:numId w:val="96"/>
        </w:numPr>
        <w:spacing w:after="0" w:line="480" w:lineRule="auto"/>
        <w:contextualSpacing/>
        <w:jc w:val="both"/>
        <w:rPr>
          <w:rFonts w:ascii="Times New Roman" w:eastAsia="PMingLiU" w:hAnsi="Times New Roman" w:cs="Times New Roman"/>
          <w:b/>
          <w:kern w:val="2"/>
          <w:sz w:val="24"/>
          <w:szCs w:val="24"/>
          <w:lang w:eastAsia="zh-TW"/>
        </w:rPr>
      </w:pPr>
      <w:r w:rsidRPr="00A37F88">
        <w:rPr>
          <w:rFonts w:ascii="Times New Roman" w:eastAsia="PMingLiU" w:hAnsi="Times New Roman" w:cs="Times New Roman"/>
          <w:b/>
          <w:kern w:val="2"/>
          <w:sz w:val="24"/>
          <w:szCs w:val="24"/>
          <w:lang w:eastAsia="zh-TW"/>
        </w:rPr>
        <w:t>Artikel, Majalah, Koran</w:t>
      </w:r>
    </w:p>
    <w:p w:rsidR="00A37F88" w:rsidRPr="00A37F88" w:rsidRDefault="00A37F88" w:rsidP="00A37F88">
      <w:pPr>
        <w:spacing w:line="480" w:lineRule="auto"/>
        <w:ind w:left="709" w:hanging="709"/>
        <w:contextualSpacing/>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Buletin Lembaga Pengembang Jasa Konstruksi Nasional LPJKN, </w:t>
      </w:r>
      <w:r w:rsidRPr="00A37F88">
        <w:rPr>
          <w:rFonts w:ascii="Times New Roman" w:eastAsia="PMingLiU" w:hAnsi="Times New Roman" w:cs="Times New Roman"/>
          <w:i/>
          <w:kern w:val="2"/>
          <w:sz w:val="24"/>
          <w:szCs w:val="24"/>
          <w:lang w:eastAsia="zh-TW"/>
        </w:rPr>
        <w:t>Pengembangan Jasa Konstruksi 2016</w:t>
      </w:r>
      <w:r w:rsidRPr="00A37F88">
        <w:rPr>
          <w:rFonts w:ascii="Times New Roman" w:eastAsia="PMingLiU" w:hAnsi="Times New Roman" w:cs="Times New Roman"/>
          <w:kern w:val="2"/>
          <w:sz w:val="24"/>
          <w:szCs w:val="24"/>
          <w:lang w:eastAsia="zh-TW"/>
        </w:rPr>
        <w:t>. Jakarta : LPJKN Press, 2016</w:t>
      </w:r>
    </w:p>
    <w:p w:rsidR="00A37F88" w:rsidRPr="00A37F88" w:rsidRDefault="00A37F88" w:rsidP="00A37F88">
      <w:pPr>
        <w:spacing w:line="480" w:lineRule="auto"/>
        <w:ind w:left="709" w:hanging="709"/>
        <w:contextualSpacing/>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val="en-US" w:eastAsia="zh-TW"/>
        </w:rPr>
        <w:lastRenderedPageBreak/>
        <w:t>Suraji, A,</w:t>
      </w:r>
      <w:r w:rsidRPr="00A37F88">
        <w:rPr>
          <w:rFonts w:ascii="Times New Roman" w:eastAsia="PMingLiU" w:hAnsi="Times New Roman" w:cs="Times New Roman"/>
          <w:kern w:val="2"/>
          <w:sz w:val="24"/>
          <w:szCs w:val="24"/>
          <w:lang w:eastAsia="zh-TW"/>
        </w:rPr>
        <w:t xml:space="preserve"> </w:t>
      </w:r>
      <w:r w:rsidRPr="00A37F88">
        <w:rPr>
          <w:rFonts w:ascii="Times New Roman" w:eastAsia="PMingLiU" w:hAnsi="Times New Roman" w:cs="Times New Roman"/>
          <w:i/>
          <w:kern w:val="2"/>
          <w:sz w:val="24"/>
          <w:szCs w:val="24"/>
          <w:lang w:val="en-US" w:eastAsia="zh-TW"/>
        </w:rPr>
        <w:t>Makalah Kebijakan Tranformasi Konstruksi, Prosiding Forum KAKI Yogyakarta, Bandung &amp; Jakarta</w:t>
      </w:r>
      <w:r w:rsidRPr="00A37F88">
        <w:rPr>
          <w:rFonts w:ascii="Times New Roman" w:eastAsia="PMingLiU" w:hAnsi="Times New Roman" w:cs="Times New Roman"/>
          <w:kern w:val="2"/>
          <w:sz w:val="24"/>
          <w:szCs w:val="24"/>
          <w:lang w:val="en-US" w:eastAsia="zh-TW"/>
        </w:rPr>
        <w:t>, BPKSDM</w:t>
      </w:r>
      <w:r w:rsidRPr="00A37F88">
        <w:rPr>
          <w:rFonts w:ascii="Times New Roman" w:eastAsia="PMingLiU" w:hAnsi="Times New Roman" w:cs="Times New Roman"/>
          <w:kern w:val="2"/>
          <w:sz w:val="24"/>
          <w:szCs w:val="24"/>
          <w:lang w:eastAsia="zh-TW"/>
        </w:rPr>
        <w:t xml:space="preserve"> :</w:t>
      </w:r>
      <w:r w:rsidRPr="00A37F88">
        <w:rPr>
          <w:rFonts w:ascii="Times New Roman" w:eastAsia="PMingLiU" w:hAnsi="Times New Roman" w:cs="Times New Roman"/>
          <w:kern w:val="2"/>
          <w:sz w:val="24"/>
          <w:szCs w:val="24"/>
          <w:lang w:val="en-US" w:eastAsia="zh-TW"/>
        </w:rPr>
        <w:t xml:space="preserve"> Departemen Pekerjaan Umum</w:t>
      </w:r>
      <w:r w:rsidRPr="00A37F88">
        <w:rPr>
          <w:rFonts w:ascii="Times New Roman" w:eastAsia="PMingLiU" w:hAnsi="Times New Roman" w:cs="Times New Roman"/>
          <w:kern w:val="2"/>
          <w:sz w:val="24"/>
          <w:szCs w:val="24"/>
          <w:lang w:eastAsia="zh-TW"/>
        </w:rPr>
        <w:t>, 2006</w:t>
      </w:r>
    </w:p>
    <w:p w:rsidR="00A37F88" w:rsidRPr="00A37F88" w:rsidRDefault="00A37F88" w:rsidP="00A37F88">
      <w:pPr>
        <w:spacing w:line="480" w:lineRule="auto"/>
        <w:ind w:left="709" w:hanging="709"/>
        <w:contextualSpacing/>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i/>
          <w:kern w:val="2"/>
          <w:sz w:val="24"/>
          <w:szCs w:val="24"/>
          <w:lang w:val="en-US" w:eastAsia="zh-TW"/>
        </w:rPr>
        <w:t>National Health Interview Survey</w:t>
      </w:r>
      <w:r w:rsidRPr="00A37F88">
        <w:rPr>
          <w:rFonts w:ascii="Times New Roman" w:eastAsia="PMingLiU" w:hAnsi="Times New Roman" w:cs="Times New Roman"/>
          <w:kern w:val="2"/>
          <w:sz w:val="24"/>
          <w:szCs w:val="24"/>
          <w:lang w:eastAsia="zh-TW"/>
        </w:rPr>
        <w:t xml:space="preserve">, 2010, </w:t>
      </w:r>
      <w:r w:rsidRPr="00A37F88">
        <w:rPr>
          <w:rFonts w:ascii="Times New Roman" w:eastAsia="PMingLiU" w:hAnsi="Times New Roman" w:cs="Times New Roman"/>
          <w:i/>
          <w:kern w:val="2"/>
          <w:sz w:val="24"/>
          <w:szCs w:val="24"/>
          <w:lang w:eastAsia="zh-TW"/>
        </w:rPr>
        <w:t xml:space="preserve">Safety constructions, </w:t>
      </w:r>
      <w:r w:rsidRPr="00A37F88">
        <w:rPr>
          <w:rFonts w:ascii="Times New Roman" w:eastAsia="PMingLiU" w:hAnsi="Times New Roman" w:cs="Times New Roman"/>
          <w:kern w:val="2"/>
          <w:sz w:val="24"/>
          <w:szCs w:val="24"/>
          <w:lang w:eastAsia="zh-TW"/>
        </w:rPr>
        <w:t xml:space="preserve"> NHIS</w:t>
      </w:r>
    </w:p>
    <w:p w:rsidR="00A37F88" w:rsidRPr="00A37F88" w:rsidRDefault="00A37F88" w:rsidP="00A37F88">
      <w:pPr>
        <w:spacing w:line="480" w:lineRule="auto"/>
        <w:ind w:left="709" w:hanging="709"/>
        <w:contextualSpacing/>
        <w:jc w:val="both"/>
        <w:rPr>
          <w:rFonts w:ascii="Times New Roman" w:eastAsia="PMingLiU" w:hAnsi="Times New Roman" w:cs="Times New Roman"/>
          <w:kern w:val="2"/>
          <w:sz w:val="24"/>
          <w:szCs w:val="24"/>
          <w:lang w:eastAsia="zh-TW"/>
        </w:rPr>
      </w:pPr>
    </w:p>
    <w:p w:rsidR="00A37F88" w:rsidRPr="00A37F88" w:rsidRDefault="00A37F88" w:rsidP="00A37F88">
      <w:pPr>
        <w:widowControl w:val="0"/>
        <w:numPr>
          <w:ilvl w:val="0"/>
          <w:numId w:val="96"/>
        </w:numPr>
        <w:spacing w:after="0" w:line="480" w:lineRule="auto"/>
        <w:contextualSpacing/>
        <w:jc w:val="both"/>
        <w:rPr>
          <w:rFonts w:ascii="Times New Roman" w:eastAsia="PMingLiU" w:hAnsi="Times New Roman" w:cs="Times New Roman"/>
          <w:b/>
          <w:kern w:val="2"/>
          <w:sz w:val="24"/>
          <w:szCs w:val="24"/>
          <w:lang w:eastAsia="zh-TW"/>
        </w:rPr>
      </w:pPr>
      <w:r w:rsidRPr="00A37F88">
        <w:rPr>
          <w:rFonts w:ascii="Times New Roman" w:eastAsia="PMingLiU" w:hAnsi="Times New Roman" w:cs="Times New Roman"/>
          <w:b/>
          <w:kern w:val="2"/>
          <w:sz w:val="24"/>
          <w:szCs w:val="24"/>
          <w:lang w:eastAsia="zh-TW"/>
        </w:rPr>
        <w:t>Internet</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Aji, Reno,</w:t>
      </w:r>
      <w:r w:rsidRPr="00A37F88">
        <w:rPr>
          <w:rFonts w:ascii="Calibri" w:eastAsia="Calibri" w:hAnsi="Calibri" w:cs="Times New Roman"/>
        </w:rPr>
        <w:t xml:space="preserve">  </w:t>
      </w:r>
      <w:r w:rsidRPr="00A37F88">
        <w:rPr>
          <w:rFonts w:ascii="Times New Roman" w:eastAsia="PMingLiU" w:hAnsi="Times New Roman" w:cs="Times New Roman"/>
          <w:i/>
          <w:kern w:val="2"/>
          <w:sz w:val="24"/>
          <w:szCs w:val="24"/>
          <w:lang w:eastAsia="zh-TW"/>
        </w:rPr>
        <w:t>Pengertian Analisis,</w:t>
      </w:r>
      <w:r w:rsidRPr="00A37F88">
        <w:rPr>
          <w:rFonts w:ascii="Times New Roman" w:eastAsia="PMingLiU" w:hAnsi="Times New Roman" w:cs="Times New Roman"/>
          <w:kern w:val="2"/>
          <w:sz w:val="24"/>
          <w:szCs w:val="24"/>
          <w:lang w:eastAsia="zh-TW"/>
        </w:rPr>
        <w:t xml:space="preserve"> http://repository.usu.ac.id/. diakses tanggal  6 Oktober 2016</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ASEAN </w:t>
      </w:r>
      <w:r w:rsidRPr="00A37F88">
        <w:rPr>
          <w:rFonts w:ascii="Times New Roman" w:eastAsia="PMingLiU" w:hAnsi="Times New Roman" w:cs="Times New Roman"/>
          <w:i/>
          <w:kern w:val="2"/>
          <w:sz w:val="24"/>
          <w:szCs w:val="24"/>
          <w:lang w:eastAsia="zh-TW"/>
        </w:rPr>
        <w:t>Economic Community Blueprint</w:t>
      </w:r>
      <w:r w:rsidRPr="00A37F88">
        <w:rPr>
          <w:rFonts w:ascii="Times New Roman" w:eastAsia="PMingLiU" w:hAnsi="Times New Roman" w:cs="Times New Roman"/>
          <w:kern w:val="2"/>
          <w:sz w:val="24"/>
          <w:szCs w:val="24"/>
          <w:lang w:eastAsia="zh-TW"/>
        </w:rPr>
        <w:t>, http://www.aseansec.org/21083.pdf, diakses tanggal 5 Oktober 2016</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Integrasi Ekonomi ASEAN 2015, </w:t>
      </w:r>
      <w:hyperlink r:id="rId21" w:history="1">
        <w:r w:rsidRPr="00A37F88">
          <w:rPr>
            <w:rFonts w:ascii="Times New Roman" w:eastAsia="PMingLiU" w:hAnsi="Times New Roman" w:cs="Times New Roman"/>
            <w:color w:val="0000FF"/>
            <w:kern w:val="2"/>
            <w:sz w:val="24"/>
            <w:szCs w:val="24"/>
            <w:u w:val="single"/>
            <w:lang w:eastAsia="zh-TW"/>
          </w:rPr>
          <w:t>https://www.academia.edu/9503310/</w:t>
        </w:r>
      </w:hyperlink>
      <w:r w:rsidRPr="00A37F88">
        <w:rPr>
          <w:rFonts w:ascii="Times New Roman" w:eastAsia="PMingLiU" w:hAnsi="Times New Roman" w:cs="Times New Roman"/>
          <w:kern w:val="2"/>
          <w:sz w:val="24"/>
          <w:szCs w:val="24"/>
          <w:lang w:eastAsia="zh-TW"/>
        </w:rPr>
        <w:t>, diakses tanggal 25 Agustus 2016)</w:t>
      </w:r>
    </w:p>
    <w:p w:rsidR="00A37F88" w:rsidRPr="00A37F88" w:rsidRDefault="00A37F88" w:rsidP="00A37F88">
      <w:pPr>
        <w:widowControl w:val="0"/>
        <w:spacing w:after="0" w:line="480" w:lineRule="auto"/>
        <w:ind w:left="709" w:hanging="709"/>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KBBI Online. http://kbbi.web.id/ . diakses pada tanggal 6 Oktober 2016</w:t>
      </w:r>
    </w:p>
    <w:p w:rsidR="00A37F88" w:rsidRPr="00A37F88" w:rsidRDefault="00A37F88" w:rsidP="00A37F88">
      <w:pPr>
        <w:widowControl w:val="0"/>
        <w:spacing w:after="0" w:line="480" w:lineRule="auto"/>
        <w:ind w:left="851" w:hanging="851"/>
        <w:contextualSpacing/>
        <w:jc w:val="both"/>
        <w:rPr>
          <w:rFonts w:ascii="Times New Roman" w:eastAsia="PMingLiU" w:hAnsi="Times New Roman" w:cs="Times New Roman"/>
          <w:kern w:val="2"/>
          <w:sz w:val="24"/>
          <w:szCs w:val="24"/>
          <w:lang w:eastAsia="zh-TW"/>
        </w:rPr>
      </w:pPr>
      <w:r w:rsidRPr="00A37F88">
        <w:rPr>
          <w:rFonts w:ascii="Times New Roman" w:eastAsia="PMingLiU" w:hAnsi="Times New Roman" w:cs="Times New Roman"/>
          <w:kern w:val="2"/>
          <w:sz w:val="24"/>
          <w:szCs w:val="24"/>
          <w:lang w:eastAsia="zh-TW"/>
        </w:rPr>
        <w:t xml:space="preserve">AEC, www.asean.org. </w:t>
      </w:r>
      <w:r w:rsidRPr="00A37F88">
        <w:rPr>
          <w:rFonts w:ascii="Times New Roman" w:eastAsia="PMingLiU" w:hAnsi="Times New Roman" w:cs="Times New Roman"/>
          <w:i/>
          <w:kern w:val="2"/>
          <w:sz w:val="24"/>
          <w:szCs w:val="24"/>
          <w:lang w:eastAsia="zh-TW"/>
        </w:rPr>
        <w:t>Asean Economyc Comunity</w:t>
      </w:r>
      <w:r w:rsidRPr="00A37F88">
        <w:rPr>
          <w:rFonts w:ascii="Times New Roman" w:eastAsia="PMingLiU" w:hAnsi="Times New Roman" w:cs="Times New Roman"/>
          <w:kern w:val="2"/>
          <w:sz w:val="24"/>
          <w:szCs w:val="24"/>
          <w:lang w:eastAsia="zh-TW"/>
        </w:rPr>
        <w:t xml:space="preserve"> (AEC), diakses tanggal 23 November 2016</w:t>
      </w:r>
    </w:p>
    <w:p w:rsidR="00A37F88" w:rsidRPr="00A37F88" w:rsidRDefault="00A37F88" w:rsidP="00A37F88">
      <w:pPr>
        <w:widowControl w:val="0"/>
        <w:spacing w:after="0" w:line="480" w:lineRule="auto"/>
        <w:ind w:left="720"/>
        <w:contextualSpacing/>
        <w:jc w:val="both"/>
        <w:rPr>
          <w:rFonts w:ascii="Times New Roman" w:eastAsia="PMingLiU" w:hAnsi="Times New Roman" w:cs="Times New Roman"/>
          <w:kern w:val="2"/>
          <w:sz w:val="24"/>
          <w:szCs w:val="24"/>
          <w:lang w:eastAsia="zh-TW"/>
        </w:rPr>
      </w:pPr>
    </w:p>
    <w:p w:rsidR="00A37F88" w:rsidRPr="00A37F88" w:rsidRDefault="00A37F88" w:rsidP="00A37F88">
      <w:pPr>
        <w:widowControl w:val="0"/>
        <w:spacing w:after="0" w:line="480" w:lineRule="auto"/>
        <w:ind w:left="720"/>
        <w:contextualSpacing/>
        <w:jc w:val="both"/>
        <w:rPr>
          <w:rFonts w:ascii="Times New Roman" w:eastAsia="PMingLiU" w:hAnsi="Times New Roman" w:cs="Times New Roman"/>
          <w:kern w:val="2"/>
          <w:sz w:val="24"/>
          <w:szCs w:val="24"/>
          <w:lang w:eastAsia="zh-TW"/>
        </w:rPr>
      </w:pPr>
    </w:p>
    <w:p w:rsidR="00A37F88" w:rsidRPr="00A37F88" w:rsidRDefault="00A37F88" w:rsidP="00A37F88">
      <w:pPr>
        <w:rPr>
          <w:rFonts w:ascii="Times New Roman" w:eastAsia="Calibri" w:hAnsi="Times New Roman" w:cs="Times New Roman"/>
          <w:sz w:val="24"/>
          <w:szCs w:val="24"/>
        </w:rPr>
      </w:pPr>
    </w:p>
    <w:p w:rsidR="00A37F88" w:rsidRPr="00A37F88" w:rsidRDefault="00A37F88" w:rsidP="00A37F88">
      <w:pPr>
        <w:widowControl w:val="0"/>
        <w:spacing w:after="0" w:line="480" w:lineRule="auto"/>
        <w:ind w:left="426" w:firstLine="294"/>
        <w:contextualSpacing/>
        <w:jc w:val="both"/>
        <w:rPr>
          <w:rFonts w:ascii="Times New Roman" w:eastAsia="PMingLiU" w:hAnsi="Times New Roman" w:cs="Times New Roman"/>
          <w:b/>
          <w:bCs/>
          <w:color w:val="000000"/>
          <w:kern w:val="2"/>
          <w:sz w:val="24"/>
          <w:szCs w:val="24"/>
          <w:lang w:eastAsia="zh-TW"/>
        </w:rPr>
      </w:pPr>
    </w:p>
    <w:p w:rsidR="00A37F88" w:rsidRPr="00A37F88" w:rsidRDefault="00A37F88" w:rsidP="00A37F88">
      <w:pPr>
        <w:rPr>
          <w:rFonts w:ascii="Calibri" w:eastAsia="Calibri" w:hAnsi="Calibri" w:cs="Times New Roman"/>
        </w:rPr>
      </w:pPr>
    </w:p>
    <w:p w:rsidR="00F855D9" w:rsidRDefault="00F855D9" w:rsidP="007558F8">
      <w:pPr>
        <w:rPr>
          <w:rFonts w:ascii="Times New Roman" w:eastAsia="PMingLiU" w:hAnsi="Times New Roman" w:cs="Times New Roman"/>
          <w:sz w:val="24"/>
          <w:szCs w:val="24"/>
          <w:lang w:eastAsia="zh-TW"/>
        </w:rPr>
      </w:pPr>
    </w:p>
    <w:p w:rsidR="006C53A8" w:rsidRDefault="006C53A8" w:rsidP="007558F8">
      <w:pPr>
        <w:rPr>
          <w:rFonts w:ascii="Times New Roman" w:eastAsia="PMingLiU" w:hAnsi="Times New Roman" w:cs="Times New Roman"/>
          <w:sz w:val="24"/>
          <w:szCs w:val="24"/>
          <w:lang w:eastAsia="zh-TW"/>
        </w:rPr>
      </w:pPr>
    </w:p>
    <w:p w:rsidR="006C53A8" w:rsidRDefault="006C53A8" w:rsidP="007558F8">
      <w:pPr>
        <w:rPr>
          <w:rFonts w:ascii="Times New Roman" w:eastAsia="PMingLiU" w:hAnsi="Times New Roman" w:cs="Times New Roman"/>
          <w:sz w:val="24"/>
          <w:szCs w:val="24"/>
          <w:lang w:eastAsia="zh-TW"/>
        </w:rPr>
      </w:pPr>
    </w:p>
    <w:p w:rsidR="006C53A8" w:rsidRDefault="006C53A8" w:rsidP="007558F8">
      <w:pPr>
        <w:rPr>
          <w:rFonts w:ascii="Times New Roman" w:eastAsia="PMingLiU" w:hAnsi="Times New Roman" w:cs="Times New Roman"/>
          <w:sz w:val="24"/>
          <w:szCs w:val="24"/>
          <w:lang w:eastAsia="zh-TW"/>
        </w:rPr>
      </w:pPr>
    </w:p>
    <w:p w:rsidR="006C53A8" w:rsidRPr="006C53A8" w:rsidRDefault="006C53A8" w:rsidP="006C53A8">
      <w:pPr>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lastRenderedPageBreak/>
        <w:t xml:space="preserve">INSTRUMEN WAWANCARA : KEMENTRIAN PEKERJAAN UMUM DAN PERUMAHAN RAKYAT  </w:t>
      </w:r>
    </w:p>
    <w:p w:rsidR="006C53A8" w:rsidRPr="006C53A8" w:rsidRDefault="006C53A8" w:rsidP="006C53A8">
      <w:pPr>
        <w:jc w:val="both"/>
        <w:rPr>
          <w:rFonts w:ascii="Times New Roman" w:eastAsia="Calibri" w:hAnsi="Times New Roman" w:cs="Times New Roman"/>
          <w:sz w:val="24"/>
          <w:szCs w:val="24"/>
        </w:rPr>
      </w:pPr>
    </w:p>
    <w:p w:rsidR="006C53A8" w:rsidRPr="006C53A8" w:rsidRDefault="006C53A8" w:rsidP="006C53A8">
      <w:pPr>
        <w:numPr>
          <w:ilvl w:val="0"/>
          <w:numId w:val="99"/>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Apa sajakah kebijakan yang sudah dikeluarkan Kementrian Pekerjaan Umum dan Perumahan Rakyat dalam menghadapi perdagangan jasa di bidang konstruksi di era MEA ?</w:t>
      </w:r>
    </w:p>
    <w:p w:rsidR="006C53A8" w:rsidRPr="006C53A8" w:rsidRDefault="006C53A8" w:rsidP="006C53A8">
      <w:pPr>
        <w:numPr>
          <w:ilvl w:val="0"/>
          <w:numId w:val="99"/>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Bagaimana perkembangan pangsa pasar jasa konstruksi selama MEA berlangsung ?</w:t>
      </w:r>
    </w:p>
    <w:p w:rsidR="006C53A8" w:rsidRPr="006C53A8" w:rsidRDefault="006C53A8" w:rsidP="006C53A8">
      <w:pPr>
        <w:numPr>
          <w:ilvl w:val="0"/>
          <w:numId w:val="99"/>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Apa sajakah hambatan pemerintah Indonesia selama MEA berlangsung terkait dengan perdagangan jasa di sektor konstruksi ?</w:t>
      </w:r>
    </w:p>
    <w:p w:rsidR="006C53A8" w:rsidRPr="006C53A8" w:rsidRDefault="006C53A8" w:rsidP="006C53A8">
      <w:pPr>
        <w:numPr>
          <w:ilvl w:val="0"/>
          <w:numId w:val="99"/>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Bagimanakah membatasi tenaga kerja asing dalam suatu pekerjaan konstruksi ?</w:t>
      </w:r>
    </w:p>
    <w:p w:rsidR="006C53A8" w:rsidRPr="006C53A8" w:rsidRDefault="006C53A8" w:rsidP="006C53A8">
      <w:pPr>
        <w:numPr>
          <w:ilvl w:val="0"/>
          <w:numId w:val="99"/>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Bagimanakah daya saing tenaga kerja Indonesia dalam bidang jasa konstruksi dibandingkan dengan negara anggota ASEAN lainnya ?</w:t>
      </w:r>
    </w:p>
    <w:p w:rsidR="006C53A8" w:rsidRPr="006C53A8" w:rsidRDefault="006C53A8" w:rsidP="006C53A8">
      <w:pPr>
        <w:numPr>
          <w:ilvl w:val="0"/>
          <w:numId w:val="99"/>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Apa sajakah dampak berlangsungnya MEA terhadap pasar konstruksi Indonesia ?</w:t>
      </w:r>
    </w:p>
    <w:p w:rsidR="006C53A8" w:rsidRPr="006C53A8" w:rsidRDefault="006C53A8" w:rsidP="006C53A8">
      <w:pPr>
        <w:numPr>
          <w:ilvl w:val="0"/>
          <w:numId w:val="99"/>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Langkah stategis apa yang dikeluarkan kementrian pekerjaan umum dan perumahan rakyat terkait perdagangan jasa di bidang konstruksi ?</w:t>
      </w:r>
    </w:p>
    <w:p w:rsidR="006C53A8" w:rsidRPr="006C53A8" w:rsidRDefault="006C53A8" w:rsidP="006C53A8">
      <w:pPr>
        <w:numPr>
          <w:ilvl w:val="0"/>
          <w:numId w:val="99"/>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Adakah kerja sama dengan asosiasi dan masyarkat terkait perdagangan jasa di era MEA sekarang ini ?</w:t>
      </w:r>
    </w:p>
    <w:p w:rsidR="006C53A8" w:rsidRPr="006C53A8" w:rsidRDefault="006C53A8" w:rsidP="006C53A8">
      <w:pPr>
        <w:numPr>
          <w:ilvl w:val="0"/>
          <w:numId w:val="99"/>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Bagaimana cara pemerintah mendorong pelaku usaha konstruksi dalam negeri melakukan ekspansi pekerjaan konstruksi di berbagai negara di ASEAN ?</w:t>
      </w:r>
    </w:p>
    <w:p w:rsidR="006C53A8" w:rsidRDefault="006C53A8" w:rsidP="006C53A8">
      <w:pPr>
        <w:numPr>
          <w:ilvl w:val="0"/>
          <w:numId w:val="99"/>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Apakah MEA telah mencapai tujuannya sebagai integrasi ekonomi di wilayah ASEAN ?</w:t>
      </w:r>
    </w:p>
    <w:p w:rsidR="006C53A8" w:rsidRPr="006C53A8" w:rsidRDefault="006C53A8" w:rsidP="00F52E6B">
      <w:pPr>
        <w:spacing w:line="360" w:lineRule="auto"/>
        <w:ind w:left="720"/>
        <w:jc w:val="both"/>
        <w:rPr>
          <w:rFonts w:ascii="Times New Roman" w:eastAsia="Calibri" w:hAnsi="Times New Roman" w:cs="Times New Roman"/>
          <w:sz w:val="24"/>
          <w:szCs w:val="24"/>
        </w:rPr>
      </w:pPr>
    </w:p>
    <w:p w:rsidR="006C53A8" w:rsidRPr="006C53A8" w:rsidRDefault="006C53A8" w:rsidP="006C53A8">
      <w:p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lastRenderedPageBreak/>
        <w:t xml:space="preserve">INSTRUMEN WAWANCARA : KEMENTRIAN PERDAGANGAN   </w:t>
      </w:r>
    </w:p>
    <w:p w:rsidR="006C53A8" w:rsidRPr="006C53A8" w:rsidRDefault="006C53A8" w:rsidP="006C53A8">
      <w:pPr>
        <w:spacing w:line="360" w:lineRule="auto"/>
        <w:jc w:val="both"/>
        <w:rPr>
          <w:rFonts w:ascii="Times New Roman" w:eastAsia="Calibri" w:hAnsi="Times New Roman" w:cs="Times New Roman"/>
          <w:sz w:val="24"/>
          <w:szCs w:val="24"/>
        </w:rPr>
      </w:pPr>
    </w:p>
    <w:p w:rsidR="006C53A8" w:rsidRPr="006C53A8" w:rsidRDefault="006C53A8" w:rsidP="006C53A8">
      <w:pPr>
        <w:numPr>
          <w:ilvl w:val="0"/>
          <w:numId w:val="98"/>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Bagaimana iklim persaingan perdagangan jasa di sektor konstruksi selama era MEA berlangsung ?</w:t>
      </w:r>
    </w:p>
    <w:p w:rsidR="006C53A8" w:rsidRPr="006C53A8" w:rsidRDefault="006C53A8" w:rsidP="006C53A8">
      <w:pPr>
        <w:numPr>
          <w:ilvl w:val="0"/>
          <w:numId w:val="98"/>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Apa sajakah kebijakan pemerintah Indonesia yang telah dikeluarkan dalam menghadapi persaingan perdagangan jasa di sektor konstruksi ?</w:t>
      </w:r>
    </w:p>
    <w:p w:rsidR="006C53A8" w:rsidRPr="006C53A8" w:rsidRDefault="006C53A8" w:rsidP="006C53A8">
      <w:pPr>
        <w:numPr>
          <w:ilvl w:val="0"/>
          <w:numId w:val="98"/>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Adakah kerja sama pemerintah Indoensia dengan negara anggota ASEAN lainnya dalam terkait perdagangan jasa di sektor konstruksi ?</w:t>
      </w:r>
    </w:p>
    <w:p w:rsidR="006C53A8" w:rsidRPr="006C53A8" w:rsidRDefault="006C53A8" w:rsidP="006C53A8">
      <w:pPr>
        <w:numPr>
          <w:ilvl w:val="0"/>
          <w:numId w:val="98"/>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Bagaimana kerja sama pemerintah dengan pelaku usaha konstruksi selama era MEA berlangsung ?</w:t>
      </w:r>
    </w:p>
    <w:p w:rsidR="006C53A8" w:rsidRPr="006C53A8" w:rsidRDefault="006C53A8" w:rsidP="006C53A8">
      <w:pPr>
        <w:numPr>
          <w:ilvl w:val="0"/>
          <w:numId w:val="98"/>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Pencapaian apa saja yang telah didapatkan pemerintah Indonesia selama era MEA berlangsung ?</w:t>
      </w:r>
    </w:p>
    <w:p w:rsidR="006C53A8" w:rsidRPr="006C53A8" w:rsidRDefault="006C53A8" w:rsidP="006C53A8">
      <w:pPr>
        <w:numPr>
          <w:ilvl w:val="0"/>
          <w:numId w:val="98"/>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Bagaimana daya saing Indonesia dalam perdagangan jasa di sektor konstruksi pada era MEA ?</w:t>
      </w:r>
    </w:p>
    <w:p w:rsidR="006C53A8" w:rsidRPr="006C53A8" w:rsidRDefault="006C53A8" w:rsidP="006C53A8">
      <w:pPr>
        <w:numPr>
          <w:ilvl w:val="0"/>
          <w:numId w:val="98"/>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Bagaimana perbandingan daya saing investasi dalam bidang jasa konstruksi selama era MEA berlangsung ?</w:t>
      </w:r>
    </w:p>
    <w:p w:rsidR="006C53A8" w:rsidRPr="006C53A8" w:rsidRDefault="006C53A8" w:rsidP="006C53A8">
      <w:pPr>
        <w:numPr>
          <w:ilvl w:val="0"/>
          <w:numId w:val="98"/>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Apa sajakah hambatan pemerintah Indonesia dalam mengahadapi persaingan perdagangan jasa selama era MEA berlangsung ?</w:t>
      </w:r>
    </w:p>
    <w:p w:rsidR="006C53A8" w:rsidRPr="006C53A8" w:rsidRDefault="006C53A8" w:rsidP="006C53A8">
      <w:pPr>
        <w:numPr>
          <w:ilvl w:val="0"/>
          <w:numId w:val="98"/>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Apakah setiap kebijakan yang dikeluarkan pemerintah terkait perdagangan jasa di bidang konstruksi sudah cukup efektif dan efisien diterapkan ?</w:t>
      </w:r>
    </w:p>
    <w:p w:rsidR="006C53A8" w:rsidRPr="006C53A8" w:rsidRDefault="006C53A8" w:rsidP="006C53A8">
      <w:pPr>
        <w:numPr>
          <w:ilvl w:val="0"/>
          <w:numId w:val="98"/>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Apakah keuntungan yang dirasakan Indonesia selama era MEA berlangsung ?</w:t>
      </w:r>
    </w:p>
    <w:p w:rsidR="006C53A8" w:rsidRDefault="006C53A8" w:rsidP="006C53A8">
      <w:pPr>
        <w:spacing w:line="360" w:lineRule="auto"/>
        <w:jc w:val="both"/>
        <w:rPr>
          <w:rFonts w:ascii="Times New Roman" w:eastAsia="Calibri" w:hAnsi="Times New Roman" w:cs="Times New Roman"/>
          <w:sz w:val="24"/>
          <w:szCs w:val="24"/>
        </w:rPr>
      </w:pPr>
    </w:p>
    <w:p w:rsidR="00F52E6B" w:rsidRPr="006C53A8" w:rsidRDefault="00F52E6B" w:rsidP="006C53A8">
      <w:pPr>
        <w:spacing w:line="360" w:lineRule="auto"/>
        <w:jc w:val="both"/>
        <w:rPr>
          <w:rFonts w:ascii="Times New Roman" w:eastAsia="Calibri" w:hAnsi="Times New Roman" w:cs="Times New Roman"/>
          <w:sz w:val="24"/>
          <w:szCs w:val="24"/>
        </w:rPr>
      </w:pPr>
    </w:p>
    <w:p w:rsidR="006C53A8" w:rsidRPr="006C53A8" w:rsidRDefault="006C53A8" w:rsidP="006C53A8">
      <w:p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lastRenderedPageBreak/>
        <w:t>INSTRUMEN WAWANCARA : SEKERTARIAT ASEAN</w:t>
      </w:r>
    </w:p>
    <w:p w:rsidR="006C53A8" w:rsidRPr="006C53A8" w:rsidRDefault="006C53A8" w:rsidP="006C53A8">
      <w:pPr>
        <w:spacing w:line="360" w:lineRule="auto"/>
        <w:jc w:val="both"/>
        <w:rPr>
          <w:rFonts w:ascii="Times New Roman" w:eastAsia="Calibri" w:hAnsi="Times New Roman" w:cs="Times New Roman"/>
          <w:sz w:val="24"/>
          <w:szCs w:val="24"/>
        </w:rPr>
      </w:pPr>
    </w:p>
    <w:p w:rsidR="006C53A8" w:rsidRPr="006C53A8" w:rsidRDefault="006C53A8" w:rsidP="006C53A8">
      <w:pPr>
        <w:numPr>
          <w:ilvl w:val="0"/>
          <w:numId w:val="100"/>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Bagimana daya saing negara Singapura dalam perdagangan jasa di bidang konstruksi selama era MEA berlangsung ?</w:t>
      </w:r>
    </w:p>
    <w:p w:rsidR="006C53A8" w:rsidRPr="006C53A8" w:rsidRDefault="006C53A8" w:rsidP="006C53A8">
      <w:pPr>
        <w:numPr>
          <w:ilvl w:val="0"/>
          <w:numId w:val="100"/>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Bagimana daya saing negara Indonesia dalam perdagangan jasa di bidang konstruksi selama era MEA berlangsung ?</w:t>
      </w:r>
    </w:p>
    <w:p w:rsidR="006C53A8" w:rsidRPr="006C53A8" w:rsidRDefault="006C53A8" w:rsidP="006C53A8">
      <w:pPr>
        <w:numPr>
          <w:ilvl w:val="0"/>
          <w:numId w:val="100"/>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Bagimana daya saing negara Malaysia dalam perdagangan jasa di bidang konstruksi selama era MEA berlangsung ?</w:t>
      </w:r>
    </w:p>
    <w:p w:rsidR="006C53A8" w:rsidRPr="006C53A8" w:rsidRDefault="006C53A8" w:rsidP="006C53A8">
      <w:pPr>
        <w:numPr>
          <w:ilvl w:val="0"/>
          <w:numId w:val="100"/>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Bagimana daya saing negara Thailand dalam perdagangan jasa di bidang konstruksi selama era MEA berlangsung ?</w:t>
      </w:r>
    </w:p>
    <w:p w:rsidR="006C53A8" w:rsidRPr="006C53A8" w:rsidRDefault="006C53A8" w:rsidP="006C53A8">
      <w:pPr>
        <w:numPr>
          <w:ilvl w:val="0"/>
          <w:numId w:val="100"/>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Bagimana daya saing negara Brunei Darussalam dalam perdagangan jasa di bidang konstruksi selama era MEA berlangsung ?</w:t>
      </w:r>
    </w:p>
    <w:p w:rsidR="006C53A8" w:rsidRPr="006C53A8" w:rsidRDefault="006C53A8" w:rsidP="006C53A8">
      <w:pPr>
        <w:numPr>
          <w:ilvl w:val="0"/>
          <w:numId w:val="100"/>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Bagimana daya saing negara Filipina dalam perdagangan jasa di bidang konstruksi selama era MEA berlangsung ?</w:t>
      </w:r>
    </w:p>
    <w:p w:rsidR="006C53A8" w:rsidRPr="006C53A8" w:rsidRDefault="006C53A8" w:rsidP="006C53A8">
      <w:pPr>
        <w:numPr>
          <w:ilvl w:val="0"/>
          <w:numId w:val="100"/>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Bagimana daya saing negara Vietnam dalam perdagangan jasa di bidang konstruksi selama era MEA berlangsung ?</w:t>
      </w:r>
    </w:p>
    <w:p w:rsidR="006C53A8" w:rsidRPr="006C53A8" w:rsidRDefault="006C53A8" w:rsidP="006C53A8">
      <w:pPr>
        <w:numPr>
          <w:ilvl w:val="0"/>
          <w:numId w:val="100"/>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Bagimana daya saing negara Kamboja dalam perdagangan jasa di bidang konstruksi selama era MEA berlangsung ?</w:t>
      </w:r>
    </w:p>
    <w:p w:rsidR="006C53A8" w:rsidRPr="006C53A8" w:rsidRDefault="006C53A8" w:rsidP="006C53A8">
      <w:pPr>
        <w:numPr>
          <w:ilvl w:val="0"/>
          <w:numId w:val="100"/>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Bagimana daya saing negara Myanmar dalam perdagangan jasa di bidang konstruksi selama era MEA berlangsung ?</w:t>
      </w:r>
    </w:p>
    <w:p w:rsidR="006C53A8" w:rsidRPr="006C53A8" w:rsidRDefault="006C53A8" w:rsidP="006C53A8">
      <w:pPr>
        <w:numPr>
          <w:ilvl w:val="0"/>
          <w:numId w:val="100"/>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Bagimana daya saing negara Laos dalam perdagangan jasa di bidang konstruksi selama era MEA berlangsung ?</w:t>
      </w:r>
    </w:p>
    <w:p w:rsidR="00F52E6B" w:rsidRDefault="00F52E6B" w:rsidP="006C53A8">
      <w:pPr>
        <w:spacing w:line="360" w:lineRule="auto"/>
        <w:jc w:val="both"/>
        <w:rPr>
          <w:rFonts w:ascii="Times New Roman" w:eastAsia="Calibri" w:hAnsi="Times New Roman" w:cs="Times New Roman"/>
          <w:sz w:val="24"/>
          <w:szCs w:val="24"/>
        </w:rPr>
      </w:pPr>
    </w:p>
    <w:p w:rsidR="00F52E6B" w:rsidRDefault="00F52E6B" w:rsidP="006C53A8">
      <w:pPr>
        <w:spacing w:line="360" w:lineRule="auto"/>
        <w:jc w:val="both"/>
        <w:rPr>
          <w:rFonts w:ascii="Times New Roman" w:eastAsia="Calibri" w:hAnsi="Times New Roman" w:cs="Times New Roman"/>
          <w:sz w:val="24"/>
          <w:szCs w:val="24"/>
        </w:rPr>
      </w:pPr>
    </w:p>
    <w:p w:rsidR="006C53A8" w:rsidRPr="006C53A8" w:rsidRDefault="006C53A8" w:rsidP="006C53A8">
      <w:p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lastRenderedPageBreak/>
        <w:t>INSTRUMEN WAWANCARA : ASOSIASI KONTRAKTOR INDONESIA (AKI)</w:t>
      </w:r>
    </w:p>
    <w:p w:rsidR="006C53A8" w:rsidRPr="006C53A8" w:rsidRDefault="006C53A8" w:rsidP="006C53A8">
      <w:pPr>
        <w:spacing w:line="360" w:lineRule="auto"/>
        <w:jc w:val="both"/>
        <w:rPr>
          <w:rFonts w:ascii="Times New Roman" w:eastAsia="Calibri" w:hAnsi="Times New Roman" w:cs="Times New Roman"/>
          <w:sz w:val="24"/>
          <w:szCs w:val="24"/>
        </w:rPr>
      </w:pPr>
    </w:p>
    <w:p w:rsidR="006C53A8" w:rsidRPr="006C53A8" w:rsidRDefault="006C53A8" w:rsidP="006C53A8">
      <w:pPr>
        <w:numPr>
          <w:ilvl w:val="0"/>
          <w:numId w:val="101"/>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Apa sajakah peran AKI dalam mendorong konstraktor Indonesia dalam menghadapi MEA ?</w:t>
      </w:r>
    </w:p>
    <w:p w:rsidR="006C53A8" w:rsidRPr="006C53A8" w:rsidRDefault="006C53A8" w:rsidP="006C53A8">
      <w:pPr>
        <w:numPr>
          <w:ilvl w:val="0"/>
          <w:numId w:val="101"/>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Apakah MEA membawa dampak yang positif terhadap pasar jasa konstruksi Indonesia ?</w:t>
      </w:r>
    </w:p>
    <w:p w:rsidR="006C53A8" w:rsidRPr="006C53A8" w:rsidRDefault="006C53A8" w:rsidP="006C53A8">
      <w:pPr>
        <w:numPr>
          <w:ilvl w:val="0"/>
          <w:numId w:val="101"/>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Apakah AKI melakukan pelatihan dan pembinaan kepada kontraktor dalam negeri dalam menghadapi MEA ?</w:t>
      </w:r>
    </w:p>
    <w:p w:rsidR="006C53A8" w:rsidRPr="006C53A8" w:rsidRDefault="006C53A8" w:rsidP="006C53A8">
      <w:pPr>
        <w:numPr>
          <w:ilvl w:val="0"/>
          <w:numId w:val="101"/>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Bagaimana kesiapan pelaku usaha konstruksi dalam bersaing dengan pelaku usaha asing di era MEA ?</w:t>
      </w:r>
    </w:p>
    <w:p w:rsidR="006C53A8" w:rsidRPr="006C53A8" w:rsidRDefault="006C53A8" w:rsidP="006C53A8">
      <w:pPr>
        <w:numPr>
          <w:ilvl w:val="0"/>
          <w:numId w:val="101"/>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Faktor apa sajakah yang menjadi penghambat pelaku usaha dalam negeri bersaing dengan pelaku usaha asing ?</w:t>
      </w:r>
    </w:p>
    <w:p w:rsidR="006C53A8" w:rsidRPr="006C53A8" w:rsidRDefault="006C53A8" w:rsidP="006C53A8">
      <w:pPr>
        <w:numPr>
          <w:ilvl w:val="0"/>
          <w:numId w:val="101"/>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Sudahkan kebijakan yang dikeluarkan pemerintah mengakomodasi kepentingan pelaku usaha dalam negeri dalam perdagangan jasa di era MEA ?</w:t>
      </w:r>
    </w:p>
    <w:p w:rsidR="006C53A8" w:rsidRPr="006C53A8" w:rsidRDefault="006C53A8" w:rsidP="006C53A8">
      <w:pPr>
        <w:numPr>
          <w:ilvl w:val="0"/>
          <w:numId w:val="101"/>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Seberapa pentingkah sertifikasi kompetensi bagi para sarjana teknik, arsitek dan tenaga ahli dalam era MEA ?</w:t>
      </w:r>
    </w:p>
    <w:p w:rsidR="006C53A8" w:rsidRPr="006C53A8" w:rsidRDefault="006C53A8" w:rsidP="006C53A8">
      <w:pPr>
        <w:numPr>
          <w:ilvl w:val="0"/>
          <w:numId w:val="101"/>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Mengapa lulusan sarjana teknik kian tahun semakin sedikit ?</w:t>
      </w:r>
    </w:p>
    <w:p w:rsidR="006C53A8" w:rsidRPr="006C53A8" w:rsidRDefault="006C53A8" w:rsidP="006C53A8">
      <w:pPr>
        <w:numPr>
          <w:ilvl w:val="0"/>
          <w:numId w:val="101"/>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Adakah langkah strategis dari AKI dalam menghadapi persaingan perdagangan jasa konstruksi ?</w:t>
      </w:r>
    </w:p>
    <w:p w:rsidR="006C53A8" w:rsidRPr="006C53A8" w:rsidRDefault="006C53A8" w:rsidP="006C53A8">
      <w:pPr>
        <w:numPr>
          <w:ilvl w:val="0"/>
          <w:numId w:val="101"/>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Apa sajakah pengaruh MEA yang dapat dirasakan oleh pelaku usaha konstruksi  Indonesia sampai saat ini ?</w:t>
      </w:r>
    </w:p>
    <w:p w:rsidR="006C53A8" w:rsidRPr="006C53A8" w:rsidRDefault="006C53A8" w:rsidP="006C53A8">
      <w:pPr>
        <w:spacing w:line="360" w:lineRule="auto"/>
        <w:ind w:left="720"/>
        <w:jc w:val="both"/>
        <w:rPr>
          <w:rFonts w:ascii="Times New Roman" w:eastAsia="Calibri" w:hAnsi="Times New Roman" w:cs="Times New Roman"/>
          <w:sz w:val="24"/>
          <w:szCs w:val="24"/>
        </w:rPr>
      </w:pPr>
    </w:p>
    <w:p w:rsidR="006C53A8" w:rsidRPr="006C53A8" w:rsidRDefault="006C53A8" w:rsidP="006C53A8">
      <w:pPr>
        <w:spacing w:line="360" w:lineRule="auto"/>
        <w:jc w:val="both"/>
        <w:rPr>
          <w:rFonts w:ascii="Times New Roman" w:eastAsia="Calibri" w:hAnsi="Times New Roman" w:cs="Times New Roman"/>
          <w:sz w:val="24"/>
          <w:szCs w:val="24"/>
        </w:rPr>
      </w:pPr>
    </w:p>
    <w:p w:rsidR="006C53A8" w:rsidRPr="006C53A8" w:rsidRDefault="006C53A8" w:rsidP="006C53A8">
      <w:p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lastRenderedPageBreak/>
        <w:t>INSTRUMEN WAWANCARA : ASOSIASI PENGUSAHA INDONESIA</w:t>
      </w:r>
    </w:p>
    <w:p w:rsidR="006C53A8" w:rsidRPr="006C53A8" w:rsidRDefault="006C53A8" w:rsidP="006C53A8">
      <w:pPr>
        <w:spacing w:line="360" w:lineRule="auto"/>
        <w:jc w:val="both"/>
        <w:rPr>
          <w:rFonts w:ascii="Times New Roman" w:eastAsia="Calibri" w:hAnsi="Times New Roman" w:cs="Times New Roman"/>
          <w:sz w:val="24"/>
          <w:szCs w:val="24"/>
        </w:rPr>
      </w:pPr>
    </w:p>
    <w:p w:rsidR="006C53A8" w:rsidRPr="006C53A8" w:rsidRDefault="006C53A8" w:rsidP="006C53A8">
      <w:pPr>
        <w:numPr>
          <w:ilvl w:val="0"/>
          <w:numId w:val="102"/>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Apakah iklim persaingan perdagangan jasa konstruksi mempengaruhi kecenderungan pengusaha di bidang konstruksi untuk melakukan ekspansi pekerjaan di lauar wilayah Indonesia ?</w:t>
      </w:r>
    </w:p>
    <w:p w:rsidR="006C53A8" w:rsidRPr="006C53A8" w:rsidRDefault="006C53A8" w:rsidP="006C53A8">
      <w:pPr>
        <w:numPr>
          <w:ilvl w:val="0"/>
          <w:numId w:val="102"/>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Apa sajakah dampak yang dirasakan pengusaha konstruksi selama MEA berlangsung ?</w:t>
      </w:r>
    </w:p>
    <w:p w:rsidR="006C53A8" w:rsidRPr="006C53A8" w:rsidRDefault="006C53A8" w:rsidP="006C53A8">
      <w:pPr>
        <w:numPr>
          <w:ilvl w:val="0"/>
          <w:numId w:val="102"/>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Adakah kerja sama APINDO dengan pemerintah Indonesia terkait perdagangan jasa di sektor konstruksi dalam era MEA ?</w:t>
      </w:r>
    </w:p>
    <w:p w:rsidR="006C53A8" w:rsidRPr="006C53A8" w:rsidRDefault="006C53A8" w:rsidP="006C53A8">
      <w:pPr>
        <w:numPr>
          <w:ilvl w:val="0"/>
          <w:numId w:val="102"/>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Bagaimana kesiapan pengusaha konstruksi dalam menghadapi persaingan perdagangan jasa di sektor konstruksi dalam era MEA ?</w:t>
      </w:r>
    </w:p>
    <w:p w:rsidR="006C53A8" w:rsidRPr="006C53A8" w:rsidRDefault="006C53A8" w:rsidP="006C53A8">
      <w:pPr>
        <w:numPr>
          <w:ilvl w:val="0"/>
          <w:numId w:val="102"/>
        </w:numPr>
        <w:spacing w:line="360" w:lineRule="auto"/>
        <w:jc w:val="both"/>
        <w:rPr>
          <w:rFonts w:ascii="Times New Roman" w:eastAsia="Calibri" w:hAnsi="Times New Roman" w:cs="Times New Roman"/>
          <w:sz w:val="24"/>
          <w:szCs w:val="24"/>
        </w:rPr>
      </w:pPr>
      <w:r w:rsidRPr="006C53A8">
        <w:rPr>
          <w:rFonts w:ascii="Times New Roman" w:eastAsia="Calibri" w:hAnsi="Times New Roman" w:cs="Times New Roman"/>
          <w:sz w:val="24"/>
          <w:szCs w:val="24"/>
        </w:rPr>
        <w:t>Bagaimana pengusaha konstruksi menyikapi pelaku usaha asing dan tenaga kerja asing dalam bidang konstruksi membanjiri pasar jasa konstruksi Indonesia ?</w:t>
      </w:r>
    </w:p>
    <w:p w:rsidR="006C53A8" w:rsidRDefault="006C53A8" w:rsidP="006C53A8">
      <w:pPr>
        <w:spacing w:line="360" w:lineRule="auto"/>
        <w:jc w:val="both"/>
        <w:rPr>
          <w:rFonts w:ascii="Times New Roman" w:eastAsia="Calibri" w:hAnsi="Times New Roman" w:cs="Times New Roman"/>
          <w:sz w:val="24"/>
          <w:szCs w:val="24"/>
        </w:rPr>
      </w:pPr>
    </w:p>
    <w:p w:rsidR="006C53A8" w:rsidRDefault="006C53A8" w:rsidP="006C53A8">
      <w:pPr>
        <w:spacing w:line="360" w:lineRule="auto"/>
        <w:jc w:val="both"/>
        <w:rPr>
          <w:rFonts w:ascii="Times New Roman" w:eastAsia="Calibri" w:hAnsi="Times New Roman" w:cs="Times New Roman"/>
          <w:sz w:val="24"/>
          <w:szCs w:val="24"/>
        </w:rPr>
      </w:pPr>
    </w:p>
    <w:p w:rsidR="006C53A8" w:rsidRDefault="006C53A8" w:rsidP="006C53A8">
      <w:pPr>
        <w:spacing w:line="360" w:lineRule="auto"/>
        <w:jc w:val="both"/>
        <w:rPr>
          <w:rFonts w:ascii="Times New Roman" w:eastAsia="Calibri" w:hAnsi="Times New Roman" w:cs="Times New Roman"/>
          <w:sz w:val="24"/>
          <w:szCs w:val="24"/>
        </w:rPr>
      </w:pPr>
    </w:p>
    <w:p w:rsidR="006C53A8" w:rsidRDefault="006C53A8" w:rsidP="006C53A8">
      <w:pPr>
        <w:spacing w:line="360" w:lineRule="auto"/>
        <w:jc w:val="both"/>
        <w:rPr>
          <w:rFonts w:ascii="Times New Roman" w:eastAsia="Calibri" w:hAnsi="Times New Roman" w:cs="Times New Roman"/>
          <w:sz w:val="24"/>
          <w:szCs w:val="24"/>
        </w:rPr>
      </w:pPr>
    </w:p>
    <w:p w:rsidR="006C53A8" w:rsidRDefault="006C53A8" w:rsidP="006C53A8">
      <w:pPr>
        <w:spacing w:line="360" w:lineRule="auto"/>
        <w:jc w:val="both"/>
        <w:rPr>
          <w:rFonts w:ascii="Times New Roman" w:eastAsia="Calibri" w:hAnsi="Times New Roman" w:cs="Times New Roman"/>
          <w:sz w:val="24"/>
          <w:szCs w:val="24"/>
        </w:rPr>
      </w:pPr>
    </w:p>
    <w:p w:rsidR="006C53A8" w:rsidRDefault="006C53A8" w:rsidP="006C53A8">
      <w:pPr>
        <w:spacing w:line="360" w:lineRule="auto"/>
        <w:jc w:val="both"/>
        <w:rPr>
          <w:rFonts w:ascii="Times New Roman" w:eastAsia="Calibri" w:hAnsi="Times New Roman" w:cs="Times New Roman"/>
          <w:sz w:val="24"/>
          <w:szCs w:val="24"/>
        </w:rPr>
      </w:pPr>
    </w:p>
    <w:p w:rsidR="006C53A8" w:rsidRDefault="006C53A8" w:rsidP="006C53A8">
      <w:pPr>
        <w:spacing w:line="360" w:lineRule="auto"/>
        <w:jc w:val="both"/>
        <w:rPr>
          <w:rFonts w:ascii="Times New Roman" w:eastAsia="Calibri" w:hAnsi="Times New Roman" w:cs="Times New Roman"/>
          <w:sz w:val="24"/>
          <w:szCs w:val="24"/>
        </w:rPr>
      </w:pPr>
    </w:p>
    <w:p w:rsidR="006C53A8" w:rsidRDefault="006C53A8" w:rsidP="006C53A8">
      <w:pPr>
        <w:spacing w:line="360" w:lineRule="auto"/>
        <w:jc w:val="both"/>
        <w:rPr>
          <w:rFonts w:ascii="Times New Roman" w:eastAsia="Calibri" w:hAnsi="Times New Roman" w:cs="Times New Roman"/>
          <w:sz w:val="24"/>
          <w:szCs w:val="24"/>
        </w:rPr>
      </w:pPr>
    </w:p>
    <w:p w:rsidR="006C53A8" w:rsidRDefault="006C53A8" w:rsidP="006C53A8">
      <w:pPr>
        <w:spacing w:line="360" w:lineRule="auto"/>
        <w:jc w:val="both"/>
        <w:rPr>
          <w:rFonts w:ascii="Times New Roman" w:eastAsia="Calibri" w:hAnsi="Times New Roman" w:cs="Times New Roman"/>
          <w:sz w:val="24"/>
          <w:szCs w:val="24"/>
        </w:rPr>
      </w:pPr>
    </w:p>
    <w:p w:rsidR="006C53A8" w:rsidRPr="006C53A8" w:rsidRDefault="006C53A8" w:rsidP="006C53A8">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w:lastRenderedPageBreak/>
        <w:drawing>
          <wp:inline distT="0" distB="0" distL="0" distR="0">
            <wp:extent cx="5129530" cy="7921256"/>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 LAMPIRAN 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4265" cy="7928567"/>
                    </a:xfrm>
                    <a:prstGeom prst="rect">
                      <a:avLst/>
                    </a:prstGeom>
                  </pic:spPr>
                </pic:pic>
              </a:graphicData>
            </a:graphic>
          </wp:inline>
        </w:drawing>
      </w:r>
    </w:p>
    <w:p w:rsidR="006C53A8" w:rsidRPr="006C53A8" w:rsidRDefault="006C53A8" w:rsidP="006C53A8">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w:lastRenderedPageBreak/>
        <w:drawing>
          <wp:inline distT="0" distB="0" distL="0" distR="0">
            <wp:extent cx="5130165" cy="753848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 LAMPIRAN 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31815" cy="7540908"/>
                    </a:xfrm>
                    <a:prstGeom prst="rect">
                      <a:avLst/>
                    </a:prstGeom>
                  </pic:spPr>
                </pic:pic>
              </a:graphicData>
            </a:graphic>
          </wp:inline>
        </w:drawing>
      </w:r>
    </w:p>
    <w:p w:rsidR="006C53A8" w:rsidRPr="007558F8" w:rsidRDefault="006C53A8" w:rsidP="007558F8">
      <w:pPr>
        <w:rPr>
          <w:rFonts w:ascii="Times New Roman" w:eastAsia="PMingLiU" w:hAnsi="Times New Roman" w:cs="Times New Roman"/>
          <w:sz w:val="24"/>
          <w:szCs w:val="24"/>
          <w:lang w:eastAsia="zh-TW"/>
        </w:rPr>
      </w:pPr>
    </w:p>
    <w:sectPr w:rsidR="006C53A8" w:rsidRPr="007558F8" w:rsidSect="00DB0979">
      <w:footerReference w:type="even" r:id="rId24"/>
      <w:footerReference w:type="first" r:id="rId25"/>
      <w:pgSz w:w="11906" w:h="16838"/>
      <w:pgMar w:top="2268" w:right="1700" w:bottom="1701" w:left="2127"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D38" w:rsidRDefault="00040D38" w:rsidP="00C10C4F">
      <w:pPr>
        <w:spacing w:after="0" w:line="240" w:lineRule="auto"/>
      </w:pPr>
      <w:r>
        <w:separator/>
      </w:r>
    </w:p>
  </w:endnote>
  <w:endnote w:type="continuationSeparator" w:id="0">
    <w:p w:rsidR="00040D38" w:rsidRDefault="00040D38" w:rsidP="00C10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143816"/>
      <w:docPartObj>
        <w:docPartGallery w:val="Page Numbers (Bottom of Page)"/>
        <w:docPartUnique/>
      </w:docPartObj>
    </w:sdtPr>
    <w:sdtEndPr>
      <w:rPr>
        <w:noProof/>
      </w:rPr>
    </w:sdtEndPr>
    <w:sdtContent>
      <w:p w:rsidR="00967E1A" w:rsidRDefault="00967E1A">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967E1A" w:rsidRDefault="00967E1A" w:rsidP="00065000">
    <w:pPr>
      <w:pStyle w:val="Footer"/>
      <w:jc w:val="center"/>
    </w:pPr>
  </w:p>
  <w:p w:rsidR="00967E1A" w:rsidRDefault="00967E1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414435"/>
      <w:docPartObj>
        <w:docPartGallery w:val="Page Numbers (Bottom of Page)"/>
        <w:docPartUnique/>
      </w:docPartObj>
    </w:sdtPr>
    <w:sdtEndPr>
      <w:rPr>
        <w:noProof/>
      </w:rPr>
    </w:sdtEndPr>
    <w:sdtContent>
      <w:p w:rsidR="00967E1A" w:rsidRDefault="00967E1A">
        <w:pPr>
          <w:pStyle w:val="Footer"/>
          <w:jc w:val="center"/>
        </w:pPr>
        <w:r>
          <w:fldChar w:fldCharType="begin"/>
        </w:r>
        <w:r>
          <w:instrText xml:space="preserve"> PAGE   \* MERGEFORMAT </w:instrText>
        </w:r>
        <w:r>
          <w:fldChar w:fldCharType="separate"/>
        </w:r>
        <w:r w:rsidR="00F52E6B">
          <w:rPr>
            <w:noProof/>
          </w:rPr>
          <w:t>viii</w:t>
        </w:r>
        <w:r>
          <w:rPr>
            <w:noProof/>
          </w:rPr>
          <w:fldChar w:fldCharType="end"/>
        </w:r>
      </w:p>
    </w:sdtContent>
  </w:sdt>
  <w:p w:rsidR="00967E1A" w:rsidRDefault="00967E1A" w:rsidP="00F855D9">
    <w:pPr>
      <w:pStyle w:val="Footer"/>
      <w:tabs>
        <w:tab w:val="clear" w:pos="4513"/>
        <w:tab w:val="clear" w:pos="9026"/>
        <w:tab w:val="left" w:pos="5966"/>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1A" w:rsidRDefault="00967E1A" w:rsidP="00F855D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979" w:rsidRPr="00216539" w:rsidRDefault="004E6C18" w:rsidP="00366D5C">
    <w:pPr>
      <w:pStyle w:val="Footer"/>
      <w:jc w:val="center"/>
    </w:pPr>
    <w:r>
      <w:t>ii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979" w:rsidRDefault="004E6C18">
    <w:pPr>
      <w:pStyle w:val="Footer"/>
      <w:jc w:val="center"/>
    </w:pPr>
    <w:r>
      <w:fldChar w:fldCharType="begin"/>
    </w:r>
    <w:r>
      <w:instrText xml:space="preserve"> PAGE   \* MERGEFORMAT </w:instrText>
    </w:r>
    <w:r>
      <w:fldChar w:fldCharType="separate"/>
    </w:r>
    <w:r w:rsidR="00F52E6B">
      <w:rPr>
        <w:noProof/>
      </w:rPr>
      <w:t>164</w:t>
    </w:r>
    <w:r>
      <w:rPr>
        <w:noProof/>
      </w:rPr>
      <w:fldChar w:fldCharType="end"/>
    </w:r>
  </w:p>
  <w:p w:rsidR="00DB0979" w:rsidRDefault="00F52E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D38" w:rsidRDefault="00040D38" w:rsidP="00C10C4F">
      <w:pPr>
        <w:spacing w:after="0" w:line="240" w:lineRule="auto"/>
      </w:pPr>
      <w:r>
        <w:separator/>
      </w:r>
    </w:p>
  </w:footnote>
  <w:footnote w:type="continuationSeparator" w:id="0">
    <w:p w:rsidR="00040D38" w:rsidRDefault="00040D38" w:rsidP="00C10C4F">
      <w:pPr>
        <w:spacing w:after="0" w:line="240" w:lineRule="auto"/>
      </w:pPr>
      <w:r>
        <w:continuationSeparator/>
      </w:r>
    </w:p>
  </w:footnote>
  <w:footnote w:id="1">
    <w:p w:rsidR="00967E1A" w:rsidRDefault="00967E1A" w:rsidP="00F855D9">
      <w:pPr>
        <w:pStyle w:val="FootnoteText"/>
        <w:jc w:val="both"/>
      </w:pPr>
      <w:r>
        <w:rPr>
          <w:rStyle w:val="FootnoteReference"/>
        </w:rPr>
        <w:footnoteRef/>
      </w:r>
      <w:r>
        <w:t xml:space="preserve"> </w:t>
      </w:r>
      <w:r w:rsidRPr="0026488F">
        <w:t>Integrasi Ekonomi ASEAN 2015, https://www.academia.edu/9503310/ (diakses tanggal 25 Juli 2015)</w:t>
      </w:r>
    </w:p>
  </w:footnote>
  <w:footnote w:id="2">
    <w:p w:rsidR="00967E1A" w:rsidRPr="000E07AC" w:rsidRDefault="00967E1A" w:rsidP="00F855D9">
      <w:pPr>
        <w:pStyle w:val="FootnoteText"/>
        <w:jc w:val="both"/>
        <w:rPr>
          <w:lang w:val="id-ID"/>
        </w:rPr>
      </w:pPr>
      <w:r>
        <w:rPr>
          <w:rStyle w:val="FootnoteReference"/>
        </w:rPr>
        <w:footnoteRef/>
      </w:r>
      <w:r>
        <w:t xml:space="preserve"> </w:t>
      </w:r>
      <w:r w:rsidRPr="003B6A87">
        <w:t>Ceta</w:t>
      </w:r>
      <w:r>
        <w:t>k Biru Masyarakat Ekonomi ASEAN</w:t>
      </w:r>
      <w:r w:rsidRPr="003B6A87">
        <w:t>,</w:t>
      </w:r>
      <w:r>
        <w:rPr>
          <w:lang w:val="id-ID"/>
        </w:rPr>
        <w:t xml:space="preserve"> 2008,</w:t>
      </w:r>
      <w:r w:rsidRPr="003B6A87">
        <w:t xml:space="preserve"> </w:t>
      </w:r>
      <w:r w:rsidRPr="00915C1B">
        <w:rPr>
          <w:i/>
          <w:lang w:val="id-ID"/>
        </w:rPr>
        <w:t>Masyarkat Ekonomi ASEAN</w:t>
      </w:r>
      <w:r>
        <w:rPr>
          <w:lang w:val="id-ID"/>
        </w:rPr>
        <w:t xml:space="preserve">, </w:t>
      </w:r>
      <w:r w:rsidRPr="003B6A87">
        <w:t>Sekretariat ASEAN</w:t>
      </w:r>
      <w:r>
        <w:rPr>
          <w:lang w:val="id-ID"/>
        </w:rPr>
        <w:t>, hal 3</w:t>
      </w:r>
    </w:p>
  </w:footnote>
  <w:footnote w:id="3">
    <w:p w:rsidR="00967E1A" w:rsidRPr="003E2D38" w:rsidRDefault="00967E1A" w:rsidP="00F855D9">
      <w:pPr>
        <w:pStyle w:val="FootnoteText"/>
        <w:jc w:val="both"/>
        <w:rPr>
          <w:lang w:val="id-ID"/>
        </w:rPr>
      </w:pPr>
      <w:r>
        <w:rPr>
          <w:rStyle w:val="FootnoteReference"/>
        </w:rPr>
        <w:footnoteRef/>
      </w:r>
      <w:r>
        <w:t xml:space="preserve"> </w:t>
      </w:r>
      <w:r>
        <w:rPr>
          <w:lang w:val="id-ID"/>
        </w:rPr>
        <w:t xml:space="preserve">Buku Panduan </w:t>
      </w:r>
      <w:r w:rsidRPr="00915C1B">
        <w:rPr>
          <w:i/>
          <w:lang w:val="id-ID"/>
        </w:rPr>
        <w:t>Indonesia Economic Quarterly</w:t>
      </w:r>
      <w:r>
        <w:rPr>
          <w:lang w:val="id-ID"/>
        </w:rPr>
        <w:t xml:space="preserve">, 2014, </w:t>
      </w:r>
      <w:r w:rsidRPr="00915C1B">
        <w:rPr>
          <w:i/>
          <w:lang w:val="id-ID"/>
        </w:rPr>
        <w:t>Membawa Perubahan</w:t>
      </w:r>
      <w:r>
        <w:rPr>
          <w:lang w:val="id-ID"/>
        </w:rPr>
        <w:t>, hal  31</w:t>
      </w:r>
    </w:p>
  </w:footnote>
  <w:footnote w:id="4">
    <w:p w:rsidR="00967E1A" w:rsidRDefault="00967E1A" w:rsidP="00F855D9">
      <w:pPr>
        <w:pStyle w:val="FootnoteText"/>
        <w:jc w:val="both"/>
      </w:pPr>
      <w:r>
        <w:rPr>
          <w:rStyle w:val="FootnoteReference"/>
        </w:rPr>
        <w:footnoteRef/>
      </w:r>
      <w:r>
        <w:t xml:space="preserve"> </w:t>
      </w:r>
      <w:r w:rsidRPr="00720471">
        <w:t>Hendera Halwani,</w:t>
      </w:r>
      <w:r>
        <w:rPr>
          <w:lang w:val="id-ID"/>
        </w:rPr>
        <w:t xml:space="preserve"> 2002,</w:t>
      </w:r>
      <w:r w:rsidRPr="00720471">
        <w:t xml:space="preserve"> </w:t>
      </w:r>
      <w:r w:rsidRPr="00BB1F90">
        <w:rPr>
          <w:i/>
        </w:rPr>
        <w:t>Ekonomi Internasional dan Globalisasi Ekonomi</w:t>
      </w:r>
      <w:r>
        <w:t>, Jakarta: Ghalia Indonesia,  h</w:t>
      </w:r>
      <w:r>
        <w:rPr>
          <w:lang w:val="id-ID"/>
        </w:rPr>
        <w:t>al</w:t>
      </w:r>
      <w:r w:rsidRPr="00720471">
        <w:t>. 246.</w:t>
      </w:r>
    </w:p>
  </w:footnote>
  <w:footnote w:id="5">
    <w:p w:rsidR="00967E1A" w:rsidRPr="00EA42E3" w:rsidRDefault="00967E1A" w:rsidP="00F855D9">
      <w:pPr>
        <w:pStyle w:val="FootnoteText"/>
        <w:jc w:val="both"/>
        <w:rPr>
          <w:lang w:val="id-ID"/>
        </w:rPr>
      </w:pPr>
      <w:r>
        <w:rPr>
          <w:rStyle w:val="FootnoteReference"/>
        </w:rPr>
        <w:footnoteRef/>
      </w:r>
      <w:r>
        <w:t xml:space="preserve"> </w:t>
      </w:r>
      <w:r>
        <w:rPr>
          <w:lang w:val="id-ID"/>
        </w:rPr>
        <w:t xml:space="preserve">Buku Pedoman </w:t>
      </w:r>
      <w:r w:rsidRPr="00EA42E3">
        <w:rPr>
          <w:lang w:val="id-ID"/>
        </w:rPr>
        <w:t>Direktorat Perundingan Perdagangan Jasa dan Direktorat Jendral Kerja Sama Perdagangan Internasional Kementerian Perdagangan Republik Indonesia,</w:t>
      </w:r>
      <w:r>
        <w:rPr>
          <w:lang w:val="id-ID"/>
        </w:rPr>
        <w:t xml:space="preserve"> 2015,</w:t>
      </w:r>
      <w:r w:rsidRPr="00EA42E3">
        <w:rPr>
          <w:lang w:val="id-ID"/>
        </w:rPr>
        <w:t xml:space="preserve"> </w:t>
      </w:r>
      <w:r w:rsidRPr="00EA42E3">
        <w:rPr>
          <w:i/>
          <w:lang w:val="id-ID"/>
        </w:rPr>
        <w:t>Kesiapan Sektor Jasa Konstruksi Nasional Menghadapi Masyarkat Ekonomi ASEAN (MEA)</w:t>
      </w:r>
      <w:r w:rsidRPr="00EA42E3">
        <w:rPr>
          <w:lang w:val="id-ID"/>
        </w:rPr>
        <w:t xml:space="preserve"> </w:t>
      </w:r>
      <w:r w:rsidRPr="00EA42E3">
        <w:rPr>
          <w:i/>
          <w:lang w:val="id-ID"/>
        </w:rPr>
        <w:t>2015</w:t>
      </w:r>
      <w:r>
        <w:rPr>
          <w:lang w:val="id-ID"/>
        </w:rPr>
        <w:t>, Jakarta,  hal 12</w:t>
      </w:r>
    </w:p>
  </w:footnote>
  <w:footnote w:id="6">
    <w:p w:rsidR="00967E1A" w:rsidRDefault="00967E1A" w:rsidP="00F855D9">
      <w:pPr>
        <w:pStyle w:val="FootnoteText"/>
        <w:jc w:val="both"/>
      </w:pPr>
      <w:r>
        <w:rPr>
          <w:rStyle w:val="FootnoteReference"/>
        </w:rPr>
        <w:footnoteRef/>
      </w:r>
      <w:r>
        <w:t xml:space="preserve"> </w:t>
      </w:r>
      <w:r w:rsidRPr="00A0652E">
        <w:t>Wijoyo Santoso, et.al.,</w:t>
      </w:r>
      <w:r>
        <w:rPr>
          <w:lang w:val="id-ID"/>
        </w:rPr>
        <w:t xml:space="preserve"> 2008,</w:t>
      </w:r>
      <w:r w:rsidRPr="00A0652E">
        <w:t xml:space="preserve"> </w:t>
      </w:r>
      <w:r w:rsidRPr="00DD49D7">
        <w:rPr>
          <w:i/>
        </w:rPr>
        <w:t>Intergritas Ekonomi ASEAN dan Prospek Perekonomian Nasional</w:t>
      </w:r>
      <w:r>
        <w:t xml:space="preserve"> </w:t>
      </w:r>
      <w:r w:rsidRPr="00A0652E">
        <w:t xml:space="preserve">Jakarta: </w:t>
      </w:r>
      <w:r>
        <w:t>Outlook Ekonomi Indonesia, h</w:t>
      </w:r>
      <w:r>
        <w:rPr>
          <w:lang w:val="id-ID"/>
        </w:rPr>
        <w:t>al</w:t>
      </w:r>
      <w:r w:rsidRPr="00A0652E">
        <w:t xml:space="preserve"> 21</w:t>
      </w:r>
    </w:p>
  </w:footnote>
  <w:footnote w:id="7">
    <w:p w:rsidR="00967E1A" w:rsidRPr="00A422F0" w:rsidRDefault="00967E1A" w:rsidP="00F855D9">
      <w:pPr>
        <w:pStyle w:val="FootnoteText"/>
        <w:jc w:val="both"/>
        <w:rPr>
          <w:lang w:val="id-ID"/>
        </w:rPr>
      </w:pPr>
      <w:r>
        <w:rPr>
          <w:rStyle w:val="FootnoteReference"/>
        </w:rPr>
        <w:footnoteRef/>
      </w:r>
      <w:r>
        <w:t xml:space="preserve"> </w:t>
      </w:r>
      <w:r w:rsidRPr="00A422F0">
        <w:t>Cetak Biru Masyarakat Ekonomi ASEAN,</w:t>
      </w:r>
      <w:r>
        <w:rPr>
          <w:lang w:val="id-ID"/>
        </w:rPr>
        <w:t xml:space="preserve"> 2014,</w:t>
      </w:r>
      <w:r w:rsidRPr="00A422F0">
        <w:t xml:space="preserve"> </w:t>
      </w:r>
      <w:r w:rsidRPr="00A422F0">
        <w:rPr>
          <w:i/>
        </w:rPr>
        <w:t>Membawa Perubahan</w:t>
      </w:r>
      <w:r>
        <w:rPr>
          <w:lang w:val="id-ID"/>
        </w:rPr>
        <w:t xml:space="preserve">, </w:t>
      </w:r>
      <w:r w:rsidRPr="00A422F0">
        <w:t xml:space="preserve">Sekretariat ASEAN 2008 </w:t>
      </w:r>
      <w:r>
        <w:rPr>
          <w:lang w:val="id-ID"/>
        </w:rPr>
        <w:t xml:space="preserve">: </w:t>
      </w:r>
      <w:r w:rsidRPr="00A422F0">
        <w:rPr>
          <w:i/>
        </w:rPr>
        <w:t>Indonesia Economic Quarterly</w:t>
      </w:r>
      <w:r>
        <w:rPr>
          <w:lang w:val="id-ID"/>
        </w:rPr>
        <w:t xml:space="preserve">, </w:t>
      </w:r>
      <w:r w:rsidRPr="00A422F0">
        <w:t xml:space="preserve"> </w:t>
      </w:r>
      <w:r>
        <w:rPr>
          <w:lang w:val="id-ID"/>
        </w:rPr>
        <w:t>hal 17</w:t>
      </w:r>
    </w:p>
  </w:footnote>
  <w:footnote w:id="8">
    <w:p w:rsidR="00967E1A" w:rsidRPr="00A279FA" w:rsidRDefault="00967E1A" w:rsidP="00F855D9">
      <w:pPr>
        <w:pStyle w:val="FootnoteText"/>
        <w:jc w:val="both"/>
        <w:rPr>
          <w:lang w:val="id-ID"/>
        </w:rPr>
      </w:pPr>
      <w:r>
        <w:rPr>
          <w:rStyle w:val="FootnoteReference"/>
        </w:rPr>
        <w:footnoteRef/>
      </w:r>
      <w:r>
        <w:t xml:space="preserve"> </w:t>
      </w:r>
      <w:r w:rsidRPr="00A279FA">
        <w:t>Djoko Triyanto,</w:t>
      </w:r>
      <w:r>
        <w:rPr>
          <w:lang w:val="id-ID"/>
        </w:rPr>
        <w:t xml:space="preserve"> 2004,</w:t>
      </w:r>
      <w:r w:rsidRPr="00A279FA">
        <w:t xml:space="preserve"> </w:t>
      </w:r>
      <w:r w:rsidRPr="00A279FA">
        <w:rPr>
          <w:i/>
        </w:rPr>
        <w:t>Hubungan Kerja Di Perusahaan Jasa Konstruksi</w:t>
      </w:r>
      <w:r>
        <w:rPr>
          <w:lang w:val="id-ID"/>
        </w:rPr>
        <w:t xml:space="preserve">, </w:t>
      </w:r>
      <w:r>
        <w:t>Bandung: Mandar Maju,</w:t>
      </w:r>
      <w:r>
        <w:rPr>
          <w:lang w:val="id-ID"/>
        </w:rPr>
        <w:t xml:space="preserve"> </w:t>
      </w:r>
      <w:r>
        <w:t>hal</w:t>
      </w:r>
      <w:r w:rsidRPr="00A279FA">
        <w:t xml:space="preserve"> 20.</w:t>
      </w:r>
    </w:p>
  </w:footnote>
  <w:footnote w:id="9">
    <w:p w:rsidR="00967E1A" w:rsidRPr="007F7C33" w:rsidRDefault="00967E1A" w:rsidP="00F855D9">
      <w:pPr>
        <w:pStyle w:val="FootnoteText"/>
        <w:rPr>
          <w:lang w:val="id-ID"/>
        </w:rPr>
      </w:pPr>
      <w:r>
        <w:rPr>
          <w:rStyle w:val="FootnoteReference"/>
        </w:rPr>
        <w:footnoteRef/>
      </w:r>
      <w:r>
        <w:t xml:space="preserve"> </w:t>
      </w:r>
      <w:r>
        <w:rPr>
          <w:lang w:val="id-ID"/>
        </w:rPr>
        <w:t>Buletin Lembaga Pengembang Jasa Konstruksi Nasional LPJKN. 2016.hal 15</w:t>
      </w:r>
    </w:p>
  </w:footnote>
  <w:footnote w:id="10">
    <w:p w:rsidR="00967E1A" w:rsidRPr="00FD3E02" w:rsidRDefault="00967E1A" w:rsidP="00F855D9">
      <w:pPr>
        <w:pStyle w:val="FootnoteText"/>
        <w:jc w:val="both"/>
        <w:rPr>
          <w:lang w:val="id-ID"/>
        </w:rPr>
      </w:pPr>
      <w:r>
        <w:rPr>
          <w:rStyle w:val="FootnoteReference"/>
        </w:rPr>
        <w:footnoteRef/>
      </w:r>
      <w:r>
        <w:t xml:space="preserve"> </w:t>
      </w:r>
      <w:r w:rsidRPr="00FD3E02">
        <w:t>Aji Reno.http://repository.usu.ac.id/bitstream/123456789/22091/4/Chapter%20II.pdf.</w:t>
      </w:r>
      <w:r>
        <w:rPr>
          <w:lang w:val="id-ID"/>
        </w:rPr>
        <w:t xml:space="preserve"> </w:t>
      </w:r>
      <w:r w:rsidRPr="00FD3E02">
        <w:rPr>
          <w:i/>
        </w:rPr>
        <w:t>Pengertian Analisis</w:t>
      </w:r>
      <w:r w:rsidRPr="00FD3E02">
        <w:t xml:space="preserve">. </w:t>
      </w:r>
      <w:r>
        <w:t>Diakses</w:t>
      </w:r>
      <w:r>
        <w:rPr>
          <w:lang w:val="id-ID"/>
        </w:rPr>
        <w:t xml:space="preserve"> pada tanggal </w:t>
      </w:r>
      <w:r>
        <w:t xml:space="preserve"> </w:t>
      </w:r>
      <w:r>
        <w:rPr>
          <w:lang w:val="id-ID"/>
        </w:rPr>
        <w:t>6</w:t>
      </w:r>
      <w:r>
        <w:t xml:space="preserve"> </w:t>
      </w:r>
      <w:r>
        <w:rPr>
          <w:lang w:val="id-ID"/>
        </w:rPr>
        <w:t>Oktober</w:t>
      </w:r>
      <w:r>
        <w:t xml:space="preserve"> 201</w:t>
      </w:r>
      <w:r>
        <w:rPr>
          <w:lang w:val="id-ID"/>
        </w:rPr>
        <w:t>6</w:t>
      </w:r>
    </w:p>
  </w:footnote>
  <w:footnote w:id="11">
    <w:p w:rsidR="00967E1A" w:rsidRPr="001F20CE" w:rsidRDefault="00967E1A" w:rsidP="00F855D9">
      <w:pPr>
        <w:pStyle w:val="FootnoteText"/>
        <w:rPr>
          <w:lang w:val="id-ID"/>
        </w:rPr>
      </w:pPr>
      <w:r>
        <w:rPr>
          <w:rStyle w:val="FootnoteReference"/>
        </w:rPr>
        <w:footnoteRef/>
      </w:r>
      <w:r>
        <w:t xml:space="preserve"> </w:t>
      </w:r>
      <w:r>
        <w:rPr>
          <w:lang w:val="id-ID"/>
        </w:rPr>
        <w:t xml:space="preserve">KBBI Online. </w:t>
      </w:r>
      <w:hyperlink r:id="rId1" w:history="1">
        <w:r w:rsidRPr="001955B5">
          <w:rPr>
            <w:rStyle w:val="Hyperlink1"/>
            <w:lang w:val="id-ID"/>
          </w:rPr>
          <w:t>http://kbbi.web.id/</w:t>
        </w:r>
      </w:hyperlink>
      <w:r>
        <w:rPr>
          <w:lang w:val="id-ID"/>
        </w:rPr>
        <w:t xml:space="preserve"> . diakses pada tanggal 6 Oktober 2016</w:t>
      </w:r>
    </w:p>
  </w:footnote>
  <w:footnote w:id="12">
    <w:p w:rsidR="00967E1A" w:rsidRPr="00BD6468" w:rsidRDefault="00967E1A" w:rsidP="00F855D9">
      <w:pPr>
        <w:pStyle w:val="FootnoteText"/>
        <w:jc w:val="both"/>
        <w:rPr>
          <w:lang w:val="id-ID"/>
        </w:rPr>
      </w:pPr>
      <w:r>
        <w:rPr>
          <w:rStyle w:val="FootnoteReference"/>
        </w:rPr>
        <w:footnoteRef/>
      </w:r>
      <w:r>
        <w:t xml:space="preserve"> </w:t>
      </w:r>
      <w:r w:rsidRPr="00BD6468">
        <w:t>Kamus Besar Bahasa Indonesia</w:t>
      </w:r>
      <w:r>
        <w:rPr>
          <w:lang w:val="id-ID"/>
        </w:rPr>
        <w:t>, 2014,</w:t>
      </w:r>
      <w:r w:rsidRPr="00BD6468">
        <w:t xml:space="preserve"> Edisi Keempat tahun 2014</w:t>
      </w:r>
      <w:r>
        <w:rPr>
          <w:lang w:val="id-ID"/>
        </w:rPr>
        <w:t>, Jakarta :</w:t>
      </w:r>
      <w:r w:rsidRPr="00BD6468">
        <w:rPr>
          <w:lang w:val="id-ID"/>
        </w:rPr>
        <w:t xml:space="preserve"> </w:t>
      </w:r>
      <w:r>
        <w:rPr>
          <w:lang w:val="id-ID"/>
        </w:rPr>
        <w:t>Balai Pustaka</w:t>
      </w:r>
    </w:p>
  </w:footnote>
  <w:footnote w:id="13">
    <w:p w:rsidR="00967E1A" w:rsidRPr="00BD6468" w:rsidRDefault="00967E1A" w:rsidP="00F855D9">
      <w:pPr>
        <w:pStyle w:val="FootnoteText"/>
        <w:jc w:val="both"/>
        <w:rPr>
          <w:lang w:val="id-ID"/>
        </w:rPr>
      </w:pPr>
      <w:r>
        <w:rPr>
          <w:rStyle w:val="FootnoteReference"/>
        </w:rPr>
        <w:footnoteRef/>
      </w:r>
      <w:r>
        <w:t xml:space="preserve"> </w:t>
      </w:r>
      <w:r w:rsidRPr="00BD6468">
        <w:t xml:space="preserve">Tahir, Arifin, 2014, </w:t>
      </w:r>
      <w:r w:rsidRPr="00BD6468">
        <w:rPr>
          <w:i/>
        </w:rPr>
        <w:t>Kebijakan Publik &amp; Transparansi Penyelenggaran Pemerintah Daerah</w:t>
      </w:r>
      <w:r>
        <w:t xml:space="preserve">, </w:t>
      </w:r>
      <w:r>
        <w:rPr>
          <w:lang w:val="id-ID"/>
        </w:rPr>
        <w:t xml:space="preserve">Bandung : </w:t>
      </w:r>
      <w:r>
        <w:t>Alfabeta</w:t>
      </w:r>
      <w:r>
        <w:rPr>
          <w:lang w:val="id-ID"/>
        </w:rPr>
        <w:t>, hal 21</w:t>
      </w:r>
    </w:p>
  </w:footnote>
  <w:footnote w:id="14">
    <w:p w:rsidR="00967E1A" w:rsidRPr="0040338F" w:rsidRDefault="00967E1A" w:rsidP="00F855D9">
      <w:pPr>
        <w:pStyle w:val="FootnoteText"/>
        <w:jc w:val="both"/>
        <w:rPr>
          <w:lang w:val="id-ID"/>
        </w:rPr>
      </w:pPr>
      <w:r>
        <w:rPr>
          <w:rStyle w:val="FootnoteReference"/>
        </w:rPr>
        <w:footnoteRef/>
      </w:r>
      <w:r>
        <w:t xml:space="preserve"> </w:t>
      </w:r>
      <w:r>
        <w:rPr>
          <w:lang w:val="id-ID"/>
        </w:rPr>
        <w:t>Ibid</w:t>
      </w:r>
    </w:p>
  </w:footnote>
  <w:footnote w:id="15">
    <w:p w:rsidR="00967E1A" w:rsidRPr="0040338F" w:rsidRDefault="00967E1A" w:rsidP="00F855D9">
      <w:pPr>
        <w:pStyle w:val="FootnoteText"/>
        <w:rPr>
          <w:lang w:val="id-ID"/>
        </w:rPr>
      </w:pPr>
      <w:r>
        <w:rPr>
          <w:rStyle w:val="FootnoteReference"/>
        </w:rPr>
        <w:footnoteRef/>
      </w:r>
      <w:r>
        <w:t xml:space="preserve"> </w:t>
      </w:r>
      <w:r>
        <w:rPr>
          <w:lang w:val="id-ID"/>
        </w:rPr>
        <w:t>Ibid</w:t>
      </w:r>
    </w:p>
  </w:footnote>
  <w:footnote w:id="16">
    <w:p w:rsidR="00967E1A" w:rsidRPr="00A20C36" w:rsidRDefault="00967E1A" w:rsidP="00F855D9">
      <w:pPr>
        <w:pStyle w:val="FootnoteText"/>
        <w:jc w:val="both"/>
        <w:rPr>
          <w:lang w:val="id-ID"/>
        </w:rPr>
      </w:pPr>
      <w:r>
        <w:rPr>
          <w:rStyle w:val="FootnoteReference"/>
        </w:rPr>
        <w:footnoteRef/>
      </w:r>
      <w:r>
        <w:t xml:space="preserve"> </w:t>
      </w:r>
      <w:r w:rsidRPr="00BD6468">
        <w:t>Nurcholis, Hanif,</w:t>
      </w:r>
      <w:r>
        <w:rPr>
          <w:lang w:val="id-ID"/>
        </w:rPr>
        <w:t xml:space="preserve"> 2007,</w:t>
      </w:r>
      <w:r w:rsidRPr="00BD6468">
        <w:t xml:space="preserve"> </w:t>
      </w:r>
      <w:r w:rsidRPr="00BD6468">
        <w:rPr>
          <w:i/>
        </w:rPr>
        <w:t>Teori dan Praktek Pemerintahan dan Otonomi Daerah</w:t>
      </w:r>
      <w:r w:rsidRPr="00BD6468">
        <w:t xml:space="preserve">, </w:t>
      </w:r>
      <w:r>
        <w:rPr>
          <w:lang w:val="id-ID"/>
        </w:rPr>
        <w:t xml:space="preserve"> </w:t>
      </w:r>
      <w:r w:rsidRPr="00BD6468">
        <w:t>Jakarta</w:t>
      </w:r>
      <w:r>
        <w:rPr>
          <w:lang w:val="id-ID"/>
        </w:rPr>
        <w:t xml:space="preserve"> :</w:t>
      </w:r>
      <w:r w:rsidRPr="00BD6468">
        <w:t xml:space="preserve"> P.T</w:t>
      </w:r>
      <w:r>
        <w:t xml:space="preserve">. Gramedia Widiasarana Indonesia, </w:t>
      </w:r>
      <w:r>
        <w:rPr>
          <w:lang w:val="id-ID"/>
        </w:rPr>
        <w:t>hal 42</w:t>
      </w:r>
    </w:p>
  </w:footnote>
  <w:footnote w:id="17">
    <w:p w:rsidR="00967E1A" w:rsidRPr="00A20C36" w:rsidRDefault="00967E1A" w:rsidP="00F855D9">
      <w:pPr>
        <w:pStyle w:val="FootnoteText"/>
        <w:jc w:val="both"/>
        <w:rPr>
          <w:lang w:val="id-ID"/>
        </w:rPr>
      </w:pPr>
      <w:r>
        <w:rPr>
          <w:rStyle w:val="FootnoteReference"/>
        </w:rPr>
        <w:footnoteRef/>
      </w:r>
      <w:r>
        <w:t xml:space="preserve"> Nugroho D, Riant, </w:t>
      </w:r>
      <w:r>
        <w:rPr>
          <w:lang w:val="id-ID"/>
        </w:rPr>
        <w:t>2006,</w:t>
      </w:r>
      <w:r w:rsidRPr="00A20C36">
        <w:t xml:space="preserve"> </w:t>
      </w:r>
      <w:r w:rsidRPr="00A20C36">
        <w:rPr>
          <w:i/>
        </w:rPr>
        <w:t>Kebijakan Publik Untuk Negara-Negara Berkembang</w:t>
      </w:r>
      <w:r w:rsidRPr="00A20C36">
        <w:t>, Jakarta</w:t>
      </w:r>
      <w:r>
        <w:rPr>
          <w:lang w:val="id-ID"/>
        </w:rPr>
        <w:t xml:space="preserve">: </w:t>
      </w:r>
      <w:r w:rsidRPr="00A20C36">
        <w:t xml:space="preserve"> PT Elex Media Komputindo,</w:t>
      </w:r>
      <w:r>
        <w:rPr>
          <w:lang w:val="id-ID"/>
        </w:rPr>
        <w:t xml:space="preserve"> hal 7</w:t>
      </w:r>
    </w:p>
  </w:footnote>
  <w:footnote w:id="18">
    <w:p w:rsidR="00967E1A" w:rsidRPr="003A70D8" w:rsidRDefault="00967E1A" w:rsidP="00F855D9">
      <w:pPr>
        <w:pStyle w:val="FootnoteText"/>
        <w:jc w:val="both"/>
        <w:rPr>
          <w:lang w:val="id-ID"/>
        </w:rPr>
      </w:pPr>
      <w:r>
        <w:rPr>
          <w:rStyle w:val="FootnoteReference"/>
        </w:rPr>
        <w:footnoteRef/>
      </w:r>
      <w:r>
        <w:t xml:space="preserve"> </w:t>
      </w:r>
      <w:r>
        <w:rPr>
          <w:lang w:val="id-ID"/>
        </w:rPr>
        <w:t>Ibid</w:t>
      </w:r>
    </w:p>
  </w:footnote>
  <w:footnote w:id="19">
    <w:p w:rsidR="00967E1A" w:rsidRPr="00292908" w:rsidRDefault="00967E1A" w:rsidP="00F855D9">
      <w:pPr>
        <w:pStyle w:val="FootnoteText"/>
        <w:jc w:val="both"/>
      </w:pPr>
      <w:r>
        <w:rPr>
          <w:rStyle w:val="FootnoteReference"/>
        </w:rPr>
        <w:footnoteRef/>
      </w:r>
      <w:r>
        <w:t xml:space="preserve"> Kasmir,</w:t>
      </w:r>
      <w:r>
        <w:rPr>
          <w:lang w:val="id-ID"/>
        </w:rPr>
        <w:t xml:space="preserve"> 2007,</w:t>
      </w:r>
      <w:r>
        <w:t xml:space="preserve"> </w:t>
      </w:r>
      <w:r>
        <w:rPr>
          <w:lang w:val="id-ID"/>
        </w:rPr>
        <w:t xml:space="preserve"> </w:t>
      </w:r>
      <w:r w:rsidRPr="00292908">
        <w:rPr>
          <w:i/>
        </w:rPr>
        <w:t>Kewirausahaa</w:t>
      </w:r>
      <w:r>
        <w:t>n</w:t>
      </w:r>
      <w:r>
        <w:rPr>
          <w:lang w:val="id-ID"/>
        </w:rPr>
        <w:t xml:space="preserve"> </w:t>
      </w:r>
      <w:r>
        <w:t>, Jakarta: PT Raja Grafindo Persada, hal</w:t>
      </w:r>
      <w:r>
        <w:rPr>
          <w:lang w:val="id-ID"/>
        </w:rPr>
        <w:t xml:space="preserve"> </w:t>
      </w:r>
      <w:r>
        <w:t>258</w:t>
      </w:r>
    </w:p>
  </w:footnote>
  <w:footnote w:id="20">
    <w:p w:rsidR="00967E1A" w:rsidRPr="00292908" w:rsidRDefault="00967E1A" w:rsidP="00F855D9">
      <w:pPr>
        <w:pStyle w:val="FootnoteText"/>
        <w:jc w:val="both"/>
      </w:pPr>
      <w:r>
        <w:rPr>
          <w:rStyle w:val="FootnoteReference"/>
        </w:rPr>
        <w:footnoteRef/>
      </w:r>
      <w:r>
        <w:t xml:space="preserve"> Ningrum  Natasya  Sirait,</w:t>
      </w:r>
      <w:r>
        <w:rPr>
          <w:lang w:val="id-ID"/>
        </w:rPr>
        <w:t xml:space="preserve"> 2004,</w:t>
      </w:r>
      <w:r>
        <w:t xml:space="preserve">  </w:t>
      </w:r>
      <w:r w:rsidRPr="00292908">
        <w:rPr>
          <w:i/>
        </w:rPr>
        <w:t>Hukum  Persaingan  di  Indonesia</w:t>
      </w:r>
      <w:r>
        <w:t xml:space="preserve">, </w:t>
      </w:r>
      <w:r>
        <w:rPr>
          <w:lang w:val="id-ID"/>
        </w:rPr>
        <w:t xml:space="preserve">Medan : </w:t>
      </w:r>
      <w:r>
        <w:t>Pustaka Bangsa Press, hal 1</w:t>
      </w:r>
    </w:p>
  </w:footnote>
  <w:footnote w:id="21">
    <w:p w:rsidR="00967E1A" w:rsidRPr="00DE24D2" w:rsidRDefault="00967E1A" w:rsidP="00F855D9">
      <w:pPr>
        <w:pStyle w:val="FootnoteText"/>
        <w:rPr>
          <w:lang w:val="id-ID"/>
        </w:rPr>
      </w:pPr>
      <w:r>
        <w:rPr>
          <w:rStyle w:val="FootnoteReference"/>
        </w:rPr>
        <w:footnoteRef/>
      </w:r>
      <w:r>
        <w:t xml:space="preserve"> </w:t>
      </w:r>
      <w:r>
        <w:rPr>
          <w:lang w:val="id-ID"/>
        </w:rPr>
        <w:t>Ibid</w:t>
      </w:r>
    </w:p>
  </w:footnote>
  <w:footnote w:id="22">
    <w:p w:rsidR="00967E1A" w:rsidRPr="007D5DA1" w:rsidRDefault="00967E1A" w:rsidP="00F855D9">
      <w:pPr>
        <w:pStyle w:val="FootnoteText"/>
        <w:jc w:val="both"/>
      </w:pPr>
      <w:r>
        <w:rPr>
          <w:rStyle w:val="FootnoteReference"/>
        </w:rPr>
        <w:footnoteRef/>
      </w:r>
      <w:r>
        <w:t xml:space="preserve"> Gunawan Widjaja,</w:t>
      </w:r>
      <w:r>
        <w:rPr>
          <w:lang w:val="id-ID"/>
        </w:rPr>
        <w:t xml:space="preserve"> 1999,</w:t>
      </w:r>
      <w:r>
        <w:t xml:space="preserve"> </w:t>
      </w:r>
      <w:r w:rsidRPr="007D5DA1">
        <w:rPr>
          <w:i/>
        </w:rPr>
        <w:t>Merger dalam Persfektif Monopoli</w:t>
      </w:r>
      <w:r>
        <w:t>, Jakarta : PT. Raja Grafindo</w:t>
      </w:r>
      <w:r>
        <w:rPr>
          <w:lang w:val="id-ID"/>
        </w:rPr>
        <w:t xml:space="preserve"> </w:t>
      </w:r>
      <w:r>
        <w:t>Perkasa, hal 10</w:t>
      </w:r>
    </w:p>
  </w:footnote>
  <w:footnote w:id="23">
    <w:p w:rsidR="00967E1A" w:rsidRPr="00621AFE" w:rsidRDefault="00967E1A" w:rsidP="00F855D9">
      <w:pPr>
        <w:pStyle w:val="FootnoteText"/>
        <w:jc w:val="both"/>
        <w:rPr>
          <w:lang w:val="id-ID"/>
        </w:rPr>
      </w:pPr>
      <w:r>
        <w:rPr>
          <w:rStyle w:val="FootnoteReference"/>
        </w:rPr>
        <w:footnoteRef/>
      </w:r>
      <w:r>
        <w:t xml:space="preserve"> </w:t>
      </w:r>
      <w:r>
        <w:rPr>
          <w:lang w:val="id-ID"/>
        </w:rPr>
        <w:t>Undang – Undang Nomor 7 Taahun 2014 Tentang Perdagangan</w:t>
      </w:r>
    </w:p>
  </w:footnote>
  <w:footnote w:id="24">
    <w:p w:rsidR="00967E1A" w:rsidRPr="005B3650" w:rsidRDefault="00967E1A" w:rsidP="00F855D9">
      <w:pPr>
        <w:pStyle w:val="FootnoteText"/>
        <w:rPr>
          <w:lang w:val="id-ID"/>
        </w:rPr>
      </w:pPr>
      <w:r>
        <w:rPr>
          <w:rStyle w:val="FootnoteReference"/>
        </w:rPr>
        <w:footnoteRef/>
      </w:r>
      <w:r>
        <w:t xml:space="preserve"> </w:t>
      </w:r>
      <w:r>
        <w:rPr>
          <w:lang w:val="id-ID"/>
        </w:rPr>
        <w:t>Ibid</w:t>
      </w:r>
    </w:p>
  </w:footnote>
  <w:footnote w:id="25">
    <w:p w:rsidR="00967E1A" w:rsidRPr="0040338F" w:rsidRDefault="00967E1A" w:rsidP="00F855D9">
      <w:pPr>
        <w:pStyle w:val="FootnoteText"/>
        <w:jc w:val="both"/>
        <w:rPr>
          <w:lang w:val="id-ID"/>
        </w:rPr>
      </w:pPr>
      <w:r>
        <w:rPr>
          <w:rStyle w:val="FootnoteReference"/>
        </w:rPr>
        <w:footnoteRef/>
      </w:r>
      <w:r>
        <w:t xml:space="preserve"> </w:t>
      </w:r>
      <w:r>
        <w:rPr>
          <w:lang w:val="id-ID"/>
        </w:rPr>
        <w:t>Ibid</w:t>
      </w:r>
    </w:p>
  </w:footnote>
  <w:footnote w:id="26">
    <w:p w:rsidR="00967E1A" w:rsidRPr="00A7472B" w:rsidRDefault="00967E1A" w:rsidP="00F855D9">
      <w:pPr>
        <w:pStyle w:val="FootnoteText"/>
        <w:jc w:val="both"/>
        <w:rPr>
          <w:lang w:val="id-ID"/>
        </w:rPr>
      </w:pPr>
      <w:r>
        <w:rPr>
          <w:rStyle w:val="FootnoteReference"/>
        </w:rPr>
        <w:footnoteRef/>
      </w:r>
      <w:r>
        <w:t xml:space="preserve"> J. Supranto</w:t>
      </w:r>
      <w:r>
        <w:rPr>
          <w:lang w:val="id-ID"/>
        </w:rPr>
        <w:t xml:space="preserve">, 2001, </w:t>
      </w:r>
      <w:r w:rsidRPr="00A7472B">
        <w:rPr>
          <w:i/>
        </w:rPr>
        <w:t>Statistik Teori dan Aplikasi, Cetakan Kedua</w:t>
      </w:r>
      <w:r>
        <w:t>, Jakarta: Erlangga</w:t>
      </w:r>
      <w:r>
        <w:rPr>
          <w:lang w:val="id-ID"/>
        </w:rPr>
        <w:t>, hal 227</w:t>
      </w:r>
    </w:p>
  </w:footnote>
  <w:footnote w:id="27">
    <w:p w:rsidR="00967E1A" w:rsidRPr="00F05175" w:rsidRDefault="00967E1A" w:rsidP="00F855D9">
      <w:pPr>
        <w:pStyle w:val="FootnoteText"/>
        <w:jc w:val="both"/>
        <w:rPr>
          <w:lang w:val="id-ID"/>
        </w:rPr>
      </w:pPr>
      <w:r>
        <w:rPr>
          <w:rStyle w:val="FootnoteReference"/>
        </w:rPr>
        <w:footnoteRef/>
      </w:r>
      <w:r>
        <w:t xml:space="preserve"> Sudarminto,</w:t>
      </w:r>
      <w:r>
        <w:rPr>
          <w:lang w:val="id-ID"/>
        </w:rPr>
        <w:t xml:space="preserve"> </w:t>
      </w:r>
      <w:r>
        <w:t xml:space="preserve">2002  </w:t>
      </w:r>
      <w:r w:rsidRPr="00F05175">
        <w:rPr>
          <w:i/>
        </w:rPr>
        <w:t>Kiat  Meningkatkan  Naluri  Menjual  Jasa,  Teori  &amp;  Praktek</w:t>
      </w:r>
      <w:r>
        <w:t>, Jakarta</w:t>
      </w:r>
      <w:r>
        <w:rPr>
          <w:lang w:val="id-ID"/>
        </w:rPr>
        <w:t>, hal 25-26</w:t>
      </w:r>
    </w:p>
  </w:footnote>
  <w:footnote w:id="28">
    <w:p w:rsidR="00967E1A" w:rsidRPr="00F528A9" w:rsidRDefault="00967E1A" w:rsidP="00F855D9">
      <w:pPr>
        <w:pStyle w:val="FootnoteText"/>
        <w:jc w:val="both"/>
        <w:rPr>
          <w:lang w:val="id-ID"/>
        </w:rPr>
      </w:pPr>
      <w:r>
        <w:rPr>
          <w:rStyle w:val="FootnoteReference"/>
        </w:rPr>
        <w:footnoteRef/>
      </w:r>
      <w:r>
        <w:t xml:space="preserve"> Trianto</w:t>
      </w:r>
      <w:r>
        <w:rPr>
          <w:lang w:val="id-ID"/>
        </w:rPr>
        <w:t xml:space="preserve">, Kurniawan, 2011, </w:t>
      </w:r>
      <w:r w:rsidRPr="00F528A9">
        <w:rPr>
          <w:i/>
        </w:rPr>
        <w:t>Apa itu Usaha Jasa Konstruksi</w:t>
      </w:r>
      <w:r>
        <w:rPr>
          <w:i/>
          <w:lang w:val="id-ID"/>
        </w:rPr>
        <w:t xml:space="preserve"> </w:t>
      </w:r>
      <w:r w:rsidRPr="00F528A9">
        <w:rPr>
          <w:i/>
        </w:rPr>
        <w:t>?,</w:t>
      </w:r>
      <w:r>
        <w:t xml:space="preserve"> </w:t>
      </w:r>
      <w:r>
        <w:rPr>
          <w:lang w:val="id-ID"/>
        </w:rPr>
        <w:t xml:space="preserve">Jakarta : </w:t>
      </w:r>
      <w:r>
        <w:t>Lasantha Indonesia.</w:t>
      </w:r>
      <w:r>
        <w:rPr>
          <w:lang w:val="id-ID"/>
        </w:rPr>
        <w:t>, hal 1</w:t>
      </w:r>
    </w:p>
  </w:footnote>
  <w:footnote w:id="29">
    <w:p w:rsidR="00967E1A" w:rsidRPr="00B658F0" w:rsidRDefault="00967E1A" w:rsidP="00F855D9">
      <w:pPr>
        <w:pStyle w:val="FootnoteText"/>
        <w:jc w:val="both"/>
        <w:rPr>
          <w:lang w:val="id-ID"/>
        </w:rPr>
      </w:pPr>
      <w:r>
        <w:rPr>
          <w:rStyle w:val="FootnoteReference"/>
        </w:rPr>
        <w:footnoteRef/>
      </w:r>
      <w:r>
        <w:t xml:space="preserve"> </w:t>
      </w:r>
      <w:r>
        <w:rPr>
          <w:lang w:val="id-ID"/>
        </w:rPr>
        <w:t>Ibid</w:t>
      </w:r>
    </w:p>
  </w:footnote>
  <w:footnote w:id="30">
    <w:p w:rsidR="00967E1A" w:rsidRPr="00F528A9" w:rsidRDefault="00967E1A" w:rsidP="00F855D9">
      <w:pPr>
        <w:pStyle w:val="FootnoteText"/>
        <w:jc w:val="both"/>
        <w:rPr>
          <w:lang w:val="id-ID"/>
        </w:rPr>
      </w:pPr>
      <w:r>
        <w:rPr>
          <w:rStyle w:val="FootnoteReference"/>
        </w:rPr>
        <w:footnoteRef/>
      </w:r>
      <w:r>
        <w:t xml:space="preserve"> </w:t>
      </w:r>
      <w:r>
        <w:rPr>
          <w:lang w:val="id-ID"/>
        </w:rPr>
        <w:t>Undang – Undang  Nomor  8 Tahun 1999 Tentang Jasa Konstruksi</w:t>
      </w:r>
    </w:p>
  </w:footnote>
  <w:footnote w:id="31">
    <w:p w:rsidR="00967E1A" w:rsidRPr="00B658F0" w:rsidRDefault="00967E1A" w:rsidP="00F855D9">
      <w:pPr>
        <w:pStyle w:val="FootnoteText"/>
        <w:jc w:val="both"/>
        <w:rPr>
          <w:lang w:val="id-ID"/>
        </w:rPr>
      </w:pPr>
      <w:r>
        <w:rPr>
          <w:rStyle w:val="FootnoteReference"/>
        </w:rPr>
        <w:footnoteRef/>
      </w:r>
      <w:r>
        <w:t xml:space="preserve"> ASEAN Economic Community Blueprint, http://www.aseansec.org/21083.pdf, (diakses tanggal 5 </w:t>
      </w:r>
      <w:r>
        <w:rPr>
          <w:lang w:val="id-ID"/>
        </w:rPr>
        <w:t xml:space="preserve">Oktober </w:t>
      </w:r>
      <w:r>
        <w:t>201</w:t>
      </w:r>
      <w:r>
        <w:rPr>
          <w:lang w:val="id-ID"/>
        </w:rPr>
        <w:t>6</w:t>
      </w:r>
      <w:r>
        <w:t>).</w:t>
      </w:r>
    </w:p>
  </w:footnote>
  <w:footnote w:id="32">
    <w:p w:rsidR="00967E1A" w:rsidRPr="00B658F0" w:rsidRDefault="00967E1A" w:rsidP="00F855D9">
      <w:pPr>
        <w:pStyle w:val="FootnoteText"/>
        <w:jc w:val="both"/>
        <w:rPr>
          <w:lang w:val="id-ID"/>
        </w:rPr>
      </w:pPr>
      <w:r>
        <w:rPr>
          <w:rStyle w:val="FootnoteReference"/>
        </w:rPr>
        <w:footnoteRef/>
      </w:r>
      <w:r>
        <w:t xml:space="preserve"> </w:t>
      </w:r>
      <w:r>
        <w:rPr>
          <w:lang w:val="id-ID"/>
        </w:rPr>
        <w:t>Ibid</w:t>
      </w:r>
    </w:p>
  </w:footnote>
  <w:footnote w:id="33">
    <w:p w:rsidR="00967E1A" w:rsidRPr="00B7697F" w:rsidRDefault="00967E1A" w:rsidP="00F855D9">
      <w:pPr>
        <w:pStyle w:val="FootnoteText"/>
        <w:rPr>
          <w:lang w:val="id-ID"/>
        </w:rPr>
      </w:pPr>
      <w:r>
        <w:rPr>
          <w:rStyle w:val="FootnoteReference"/>
        </w:rPr>
        <w:footnoteRef/>
      </w:r>
      <w:r>
        <w:t xml:space="preserve"> </w:t>
      </w:r>
      <w:r w:rsidRPr="00B7697F">
        <w:t>http://business-law.binus.ac.id/2016/06/30/utilitarianisme-dan-tujuan-perkembangan-hukum-multimedia-di-indonesia</w:t>
      </w:r>
      <w:r>
        <w:t xml:space="preserve">. </w:t>
      </w:r>
      <w:r>
        <w:rPr>
          <w:lang w:val="id-ID"/>
        </w:rPr>
        <w:t>Diakses pada 23 September 2016</w:t>
      </w:r>
    </w:p>
  </w:footnote>
  <w:footnote w:id="34">
    <w:p w:rsidR="00967E1A" w:rsidRPr="00243124" w:rsidRDefault="00967E1A" w:rsidP="00F855D9">
      <w:pPr>
        <w:pStyle w:val="FootnoteText"/>
        <w:jc w:val="both"/>
      </w:pPr>
      <w:r>
        <w:rPr>
          <w:rStyle w:val="FootnoteReference"/>
        </w:rPr>
        <w:footnoteRef/>
      </w:r>
      <w:r>
        <w:t xml:space="preserve"> Gregory S. Crespi,</w:t>
      </w:r>
      <w:r>
        <w:rPr>
          <w:lang w:val="id-ID"/>
        </w:rPr>
        <w:t xml:space="preserve"> </w:t>
      </w:r>
      <w:r w:rsidRPr="00621AFE">
        <w:rPr>
          <w:i/>
        </w:rPr>
        <w:t>Teaching The New Law and Eco</w:t>
      </w:r>
      <w:r w:rsidRPr="00621AFE">
        <w:rPr>
          <w:i/>
          <w:lang w:val="id-ID"/>
        </w:rPr>
        <w:t xml:space="preserve"> </w:t>
      </w:r>
      <w:r w:rsidRPr="00621AFE">
        <w:rPr>
          <w:i/>
        </w:rPr>
        <w:t>nomics,</w:t>
      </w:r>
      <w:r>
        <w:rPr>
          <w:i/>
          <w:lang w:val="id-ID"/>
        </w:rPr>
        <w:t xml:space="preserve"> </w:t>
      </w:r>
      <w:r>
        <w:rPr>
          <w:lang w:val="id-ID"/>
        </w:rPr>
        <w:t>2011,</w:t>
      </w:r>
      <w:r w:rsidRPr="00621AFE">
        <w:rPr>
          <w:i/>
        </w:rPr>
        <w:t xml:space="preserve"> University of Toledo</w:t>
      </w:r>
      <w:r>
        <w:rPr>
          <w:i/>
          <w:lang w:val="id-ID"/>
        </w:rPr>
        <w:t xml:space="preserve"> </w:t>
      </w:r>
      <w:r w:rsidRPr="00621AFE">
        <w:rPr>
          <w:i/>
        </w:rPr>
        <w:t>Law  Review  Vol.  25  No.  3</w:t>
      </w:r>
      <w:r>
        <w:t>,  hal.  715-717,  seperti  dikutip  Erman  Radjagukguk,</w:t>
      </w:r>
      <w:r w:rsidRPr="00B658F0">
        <w:rPr>
          <w:i/>
        </w:rPr>
        <w:t>Filsafat</w:t>
      </w:r>
      <w:r w:rsidRPr="00B658F0">
        <w:rPr>
          <w:i/>
          <w:lang w:val="id-ID"/>
        </w:rPr>
        <w:t xml:space="preserve"> </w:t>
      </w:r>
      <w:r w:rsidRPr="00B658F0">
        <w:rPr>
          <w:i/>
        </w:rPr>
        <w:t>Hukum (Modul Kuliah)</w:t>
      </w:r>
      <w:r>
        <w:t>, Jakarta: Universitas Indonesia, hal. 144</w:t>
      </w:r>
    </w:p>
  </w:footnote>
  <w:footnote w:id="35">
    <w:p w:rsidR="00967E1A" w:rsidRPr="00B658F0" w:rsidRDefault="00967E1A" w:rsidP="00F855D9">
      <w:pPr>
        <w:pStyle w:val="FootnoteText"/>
        <w:jc w:val="both"/>
        <w:rPr>
          <w:lang w:val="id-ID"/>
        </w:rPr>
      </w:pPr>
      <w:r>
        <w:rPr>
          <w:rStyle w:val="FootnoteReference"/>
        </w:rPr>
        <w:footnoteRef/>
      </w:r>
      <w:r>
        <w:t xml:space="preserve"> </w:t>
      </w:r>
      <w:r>
        <w:rPr>
          <w:lang w:val="id-ID"/>
        </w:rPr>
        <w:t>Ibid</w:t>
      </w:r>
    </w:p>
  </w:footnote>
  <w:footnote w:id="36">
    <w:p w:rsidR="00967E1A" w:rsidRPr="00E9095F" w:rsidRDefault="00967E1A" w:rsidP="00F855D9">
      <w:pPr>
        <w:pStyle w:val="FootnoteText"/>
        <w:jc w:val="both"/>
      </w:pPr>
      <w:r>
        <w:rPr>
          <w:rStyle w:val="FootnoteReference"/>
        </w:rPr>
        <w:footnoteRef/>
      </w:r>
      <w:r>
        <w:t xml:space="preserve"> Richard  A.  Posner,</w:t>
      </w:r>
      <w:r>
        <w:rPr>
          <w:lang w:val="id-ID"/>
        </w:rPr>
        <w:t xml:space="preserve"> </w:t>
      </w:r>
      <w:r w:rsidRPr="00E9095F">
        <w:rPr>
          <w:i/>
        </w:rPr>
        <w:t>Economic  Analysis  of  Law</w:t>
      </w:r>
      <w:r>
        <w:t>,  Ed.  4,  USA:  Harvar  University</w:t>
      </w:r>
      <w:r>
        <w:rPr>
          <w:lang w:val="id-ID"/>
        </w:rPr>
        <w:t xml:space="preserve"> </w:t>
      </w:r>
      <w:r>
        <w:t>Press, 1994, hal. 4</w:t>
      </w:r>
    </w:p>
  </w:footnote>
  <w:footnote w:id="37">
    <w:p w:rsidR="00967E1A" w:rsidRPr="00AB3CFF" w:rsidRDefault="00967E1A" w:rsidP="00F855D9">
      <w:pPr>
        <w:pStyle w:val="FootnoteText"/>
        <w:jc w:val="both"/>
        <w:rPr>
          <w:lang w:val="id-ID"/>
        </w:rPr>
      </w:pPr>
      <w:r w:rsidRPr="00AB3CFF">
        <w:rPr>
          <w:rStyle w:val="FootnoteReference"/>
          <w:sz w:val="24"/>
          <w:szCs w:val="24"/>
        </w:rPr>
        <w:footnoteRef/>
      </w:r>
      <w:r w:rsidRPr="00AB3CFF">
        <w:rPr>
          <w:sz w:val="24"/>
          <w:szCs w:val="24"/>
        </w:rPr>
        <w:t xml:space="preserve"> </w:t>
      </w:r>
      <w:r w:rsidRPr="00AB3CFF">
        <w:rPr>
          <w:lang w:val="id-ID"/>
        </w:rPr>
        <w:t>Abdullakadir Muhammad,</w:t>
      </w:r>
      <w:r>
        <w:rPr>
          <w:lang w:val="id-ID"/>
        </w:rPr>
        <w:t xml:space="preserve"> 2004,</w:t>
      </w:r>
      <w:r w:rsidRPr="00AB3CFF">
        <w:rPr>
          <w:lang w:val="id-ID"/>
        </w:rPr>
        <w:t xml:space="preserve"> “</w:t>
      </w:r>
      <w:r w:rsidRPr="00AB3CFF">
        <w:rPr>
          <w:i/>
          <w:lang w:val="id-ID"/>
        </w:rPr>
        <w:t>Hukum dan  Penelitian Hukum</w:t>
      </w:r>
      <w:r w:rsidRPr="00AB3CFF">
        <w:rPr>
          <w:lang w:val="id-ID"/>
        </w:rPr>
        <w:t>”,</w:t>
      </w:r>
      <w:r>
        <w:rPr>
          <w:lang w:val="id-ID"/>
        </w:rPr>
        <w:t xml:space="preserve"> Bnadung :</w:t>
      </w:r>
      <w:r w:rsidRPr="00AB3CFF">
        <w:rPr>
          <w:lang w:val="id-ID"/>
        </w:rPr>
        <w:t xml:space="preserve"> Cipta </w:t>
      </w:r>
      <w:r>
        <w:rPr>
          <w:lang w:val="id-ID"/>
        </w:rPr>
        <w:t>Aditya Bakti, hal</w:t>
      </w:r>
      <w:r w:rsidRPr="00AB3CFF">
        <w:rPr>
          <w:lang w:val="id-ID"/>
        </w:rPr>
        <w:t xml:space="preserve"> 134</w:t>
      </w:r>
    </w:p>
  </w:footnote>
  <w:footnote w:id="38">
    <w:p w:rsidR="00967E1A" w:rsidRPr="001B7BC4" w:rsidRDefault="00967E1A" w:rsidP="00F855D9">
      <w:pPr>
        <w:pStyle w:val="FootnoteText"/>
        <w:jc w:val="both"/>
        <w:rPr>
          <w:lang w:val="id-ID"/>
        </w:rPr>
      </w:pPr>
      <w:r w:rsidRPr="00BC09F5">
        <w:rPr>
          <w:rStyle w:val="FootnoteReference"/>
          <w:rFonts w:eastAsia="PMingLiU"/>
        </w:rPr>
        <w:footnoteRef/>
      </w:r>
      <w:r w:rsidRPr="00BC09F5">
        <w:rPr>
          <w:lang w:val="id-ID"/>
        </w:rPr>
        <w:t xml:space="preserve"> Ronny Hanitijio Soemitro,</w:t>
      </w:r>
      <w:r>
        <w:rPr>
          <w:lang w:val="id-ID"/>
        </w:rPr>
        <w:t xml:space="preserve"> 1995,</w:t>
      </w:r>
      <w:r w:rsidRPr="00BC09F5">
        <w:rPr>
          <w:lang w:val="id-ID"/>
        </w:rPr>
        <w:t xml:space="preserve"> </w:t>
      </w:r>
      <w:r w:rsidRPr="00BC09F5">
        <w:rPr>
          <w:i/>
          <w:iCs/>
          <w:lang w:val="id-ID"/>
        </w:rPr>
        <w:t>Metodologi Penelitian Hukum dan Jurimetri</w:t>
      </w:r>
      <w:r>
        <w:rPr>
          <w:lang w:val="id-ID"/>
        </w:rPr>
        <w:t>, Jakarta: Ghalia Indonesia, hal  12</w:t>
      </w:r>
    </w:p>
  </w:footnote>
  <w:footnote w:id="39">
    <w:p w:rsidR="00967E1A" w:rsidRPr="0025716B" w:rsidRDefault="00967E1A" w:rsidP="00F855D9">
      <w:pPr>
        <w:pStyle w:val="FootnoteText"/>
        <w:jc w:val="both"/>
        <w:rPr>
          <w:lang w:val="id-ID"/>
        </w:rPr>
      </w:pPr>
      <w:r>
        <w:rPr>
          <w:rStyle w:val="FootnoteReference"/>
        </w:rPr>
        <w:footnoteRef/>
      </w:r>
      <w:r>
        <w:t xml:space="preserve"> Umar, Husein</w:t>
      </w:r>
      <w:r>
        <w:rPr>
          <w:lang w:val="id-ID"/>
        </w:rPr>
        <w:t>, 2003,</w:t>
      </w:r>
      <w:r w:rsidRPr="0025716B">
        <w:t xml:space="preserve"> </w:t>
      </w:r>
      <w:r w:rsidRPr="0025716B">
        <w:rPr>
          <w:i/>
        </w:rPr>
        <w:t>Metode Riset Komunikasi Oraganisasi</w:t>
      </w:r>
      <w:r>
        <w:rPr>
          <w:lang w:val="id-ID"/>
        </w:rPr>
        <w:t xml:space="preserve">, </w:t>
      </w:r>
      <w:r w:rsidRPr="0025716B">
        <w:t xml:space="preserve">Jakarta : PT Gramedia Pustaka Utama, </w:t>
      </w:r>
      <w:r>
        <w:rPr>
          <w:lang w:val="id-ID"/>
        </w:rPr>
        <w:t>hal 56</w:t>
      </w:r>
    </w:p>
  </w:footnote>
  <w:footnote w:id="40">
    <w:p w:rsidR="00967E1A" w:rsidRPr="00251A85" w:rsidRDefault="00967E1A" w:rsidP="00F855D9">
      <w:pPr>
        <w:pStyle w:val="FootnoteText"/>
        <w:jc w:val="both"/>
        <w:rPr>
          <w:lang w:val="id-ID"/>
        </w:rPr>
      </w:pPr>
      <w:r>
        <w:rPr>
          <w:rStyle w:val="FootnoteReference"/>
        </w:rPr>
        <w:footnoteRef/>
      </w:r>
      <w:r>
        <w:t xml:space="preserve"> Sugiyono, 201</w:t>
      </w:r>
      <w:r>
        <w:rPr>
          <w:lang w:val="id-ID"/>
        </w:rPr>
        <w:t>4</w:t>
      </w:r>
      <w:r>
        <w:t xml:space="preserve">, </w:t>
      </w:r>
      <w:r w:rsidRPr="00251A85">
        <w:rPr>
          <w:i/>
        </w:rPr>
        <w:t>Metode Penelitian Kuantitatif Kualitatif dan R&amp;D</w:t>
      </w:r>
      <w:r>
        <w:rPr>
          <w:lang w:val="id-ID"/>
        </w:rPr>
        <w:t xml:space="preserve">, </w:t>
      </w:r>
      <w:r w:rsidRPr="00251A85">
        <w:t>Bandung: Alfabeta</w:t>
      </w:r>
      <w:r>
        <w:rPr>
          <w:lang w:val="id-ID"/>
        </w:rPr>
        <w:t>, hal 193</w:t>
      </w:r>
    </w:p>
  </w:footnote>
  <w:footnote w:id="41">
    <w:p w:rsidR="00967E1A" w:rsidRPr="005842E7" w:rsidRDefault="00967E1A" w:rsidP="00F855D9">
      <w:pPr>
        <w:pStyle w:val="FootnoteText"/>
        <w:jc w:val="both"/>
        <w:rPr>
          <w:lang w:val="id-ID"/>
        </w:rPr>
      </w:pPr>
      <w:r>
        <w:rPr>
          <w:rStyle w:val="FootnoteReference"/>
        </w:rPr>
        <w:footnoteRef/>
      </w:r>
      <w:r>
        <w:t xml:space="preserve"> </w:t>
      </w:r>
      <w:r w:rsidRPr="005842E7">
        <w:t>Abdulkadir Muhammad,</w:t>
      </w:r>
      <w:r>
        <w:rPr>
          <w:lang w:val="id-ID"/>
        </w:rPr>
        <w:t xml:space="preserve"> 2004,</w:t>
      </w:r>
      <w:r w:rsidRPr="005842E7">
        <w:t xml:space="preserve"> </w:t>
      </w:r>
      <w:r w:rsidRPr="003A70D8">
        <w:rPr>
          <w:i/>
        </w:rPr>
        <w:t>Hukum dan Penelitian Hukum</w:t>
      </w:r>
      <w:r>
        <w:t xml:space="preserve">, </w:t>
      </w:r>
      <w:r w:rsidRPr="005842E7">
        <w:t>Ban</w:t>
      </w:r>
      <w:r>
        <w:t>dung</w:t>
      </w:r>
      <w:r>
        <w:rPr>
          <w:lang w:val="id-ID"/>
        </w:rPr>
        <w:t xml:space="preserve"> </w:t>
      </w:r>
      <w:r>
        <w:t xml:space="preserve">: Citra Aditya Bakti, </w:t>
      </w:r>
      <w:r w:rsidRPr="005842E7">
        <w:t xml:space="preserve"> </w:t>
      </w:r>
      <w:r>
        <w:t>hal</w:t>
      </w:r>
      <w:r w:rsidRPr="005842E7">
        <w:t xml:space="preserve"> 127</w:t>
      </w:r>
    </w:p>
  </w:footnote>
  <w:footnote w:id="42">
    <w:p w:rsidR="00967E1A" w:rsidRPr="00DD3EE0" w:rsidRDefault="00967E1A" w:rsidP="00F855D9">
      <w:pPr>
        <w:pStyle w:val="FootnoteText"/>
        <w:jc w:val="both"/>
        <w:rPr>
          <w:lang w:val="id-ID"/>
        </w:rPr>
      </w:pPr>
      <w:r>
        <w:rPr>
          <w:rStyle w:val="FootnoteReference"/>
        </w:rPr>
        <w:footnoteRef/>
      </w:r>
      <w:r>
        <w:t xml:space="preserve"> </w:t>
      </w:r>
      <w:r>
        <w:rPr>
          <w:lang w:val="id-ID"/>
        </w:rPr>
        <w:t xml:space="preserve">Dalam </w:t>
      </w:r>
      <w:r>
        <w:t>Sugiyono, 201</w:t>
      </w:r>
      <w:r>
        <w:rPr>
          <w:lang w:val="id-ID"/>
        </w:rPr>
        <w:t>4</w:t>
      </w:r>
      <w:r>
        <w:t xml:space="preserve">, </w:t>
      </w:r>
      <w:r w:rsidRPr="00DD3EE0">
        <w:rPr>
          <w:i/>
        </w:rPr>
        <w:t>Metode Penelitian Pendidikan Pendekatan Kuantitaf, Kualitatif, dan R&amp;D.</w:t>
      </w:r>
      <w:r>
        <w:t xml:space="preserve"> Bandung: Alfabeta</w:t>
      </w:r>
      <w:r>
        <w:rPr>
          <w:lang w:val="id-ID"/>
        </w:rPr>
        <w:t>, hal 404-412</w:t>
      </w:r>
    </w:p>
  </w:footnote>
  <w:footnote w:id="43">
    <w:p w:rsidR="00967E1A" w:rsidRPr="003447A5" w:rsidRDefault="00967E1A" w:rsidP="00F855D9">
      <w:pPr>
        <w:pStyle w:val="FootnoteText"/>
        <w:jc w:val="both"/>
        <w:rPr>
          <w:lang w:val="id-ID"/>
        </w:rPr>
      </w:pPr>
      <w:r>
        <w:rPr>
          <w:rStyle w:val="FootnoteReference"/>
        </w:rPr>
        <w:footnoteRef/>
      </w:r>
      <w:r>
        <w:t xml:space="preserve"> Mursid, M, 1993, </w:t>
      </w:r>
      <w:r w:rsidRPr="003447A5">
        <w:rPr>
          <w:i/>
        </w:rPr>
        <w:t>Manajemen Pemasaran</w:t>
      </w:r>
      <w:r>
        <w:t>. Ed 1, Cet 1. Jakarta: Universitas</w:t>
      </w:r>
      <w:r>
        <w:rPr>
          <w:lang w:val="id-ID"/>
        </w:rPr>
        <w:t xml:space="preserve"> </w:t>
      </w:r>
      <w:r>
        <w:t>Terbuka Depdikbud,</w:t>
      </w:r>
      <w:r>
        <w:rPr>
          <w:lang w:val="id-ID"/>
        </w:rPr>
        <w:t xml:space="preserve"> hal 116</w:t>
      </w:r>
    </w:p>
  </w:footnote>
  <w:footnote w:id="44">
    <w:p w:rsidR="00967E1A" w:rsidRPr="003447A5" w:rsidRDefault="00967E1A" w:rsidP="00F855D9">
      <w:pPr>
        <w:pStyle w:val="FootnoteText"/>
        <w:rPr>
          <w:lang w:val="id-ID"/>
        </w:rPr>
      </w:pPr>
      <w:r>
        <w:rPr>
          <w:rStyle w:val="FootnoteReference"/>
        </w:rPr>
        <w:footnoteRef/>
      </w:r>
      <w:r>
        <w:t xml:space="preserve"> </w:t>
      </w:r>
      <w:r>
        <w:rPr>
          <w:lang w:val="id-ID"/>
        </w:rPr>
        <w:t xml:space="preserve">Lupiyoadi, 2014, </w:t>
      </w:r>
      <w:r w:rsidRPr="003447A5">
        <w:rPr>
          <w:i/>
          <w:lang w:val="id-ID"/>
        </w:rPr>
        <w:t>Manajemen Pemasaran Jasa</w:t>
      </w:r>
      <w:r>
        <w:rPr>
          <w:lang w:val="id-ID"/>
        </w:rPr>
        <w:t>. Edisi kedua. Jakarta : Salemba empat, hal 7</w:t>
      </w:r>
    </w:p>
  </w:footnote>
  <w:footnote w:id="45">
    <w:p w:rsidR="00967E1A" w:rsidRPr="008D5E5D" w:rsidRDefault="00967E1A" w:rsidP="00F855D9">
      <w:pPr>
        <w:pStyle w:val="FootnoteText"/>
        <w:rPr>
          <w:lang w:val="id-ID"/>
        </w:rPr>
      </w:pPr>
      <w:r>
        <w:rPr>
          <w:rStyle w:val="FootnoteReference"/>
        </w:rPr>
        <w:footnoteRef/>
      </w:r>
      <w:r>
        <w:t xml:space="preserve"> </w:t>
      </w:r>
      <w:r w:rsidRPr="008D5E5D">
        <w:t>Fandy Tjiptono,</w:t>
      </w:r>
      <w:r>
        <w:rPr>
          <w:lang w:val="id-ID"/>
        </w:rPr>
        <w:t xml:space="preserve"> 2000,</w:t>
      </w:r>
      <w:r w:rsidRPr="008D5E5D">
        <w:t xml:space="preserve"> </w:t>
      </w:r>
      <w:r w:rsidRPr="008D5E5D">
        <w:rPr>
          <w:i/>
        </w:rPr>
        <w:t>Manajemen Jasa</w:t>
      </w:r>
      <w:r>
        <w:t>,</w:t>
      </w:r>
      <w:r>
        <w:rPr>
          <w:lang w:val="id-ID"/>
        </w:rPr>
        <w:t>Yogyakarta :</w:t>
      </w:r>
      <w:r>
        <w:t xml:space="preserve"> Penerbit Andi, h</w:t>
      </w:r>
      <w:r>
        <w:rPr>
          <w:lang w:val="id-ID"/>
        </w:rPr>
        <w:t>al 15-18</w:t>
      </w:r>
    </w:p>
  </w:footnote>
  <w:footnote w:id="46">
    <w:p w:rsidR="00967E1A" w:rsidRPr="008D5E5D" w:rsidRDefault="00967E1A" w:rsidP="00F855D9">
      <w:pPr>
        <w:pStyle w:val="FootnoteText"/>
        <w:jc w:val="both"/>
        <w:rPr>
          <w:lang w:val="id-ID"/>
        </w:rPr>
      </w:pPr>
      <w:r>
        <w:rPr>
          <w:rStyle w:val="FootnoteReference"/>
        </w:rPr>
        <w:footnoteRef/>
      </w:r>
      <w:r>
        <w:t xml:space="preserve"> Payne, Adrian, 2012, </w:t>
      </w:r>
      <w:r w:rsidRPr="008D5E5D">
        <w:rPr>
          <w:i/>
        </w:rPr>
        <w:t>Pemasaran Jasa (The Essence of Service Marketing)</w:t>
      </w:r>
      <w:r>
        <w:t>,</w:t>
      </w:r>
      <w:r>
        <w:rPr>
          <w:lang w:val="id-ID"/>
        </w:rPr>
        <w:t xml:space="preserve"> </w:t>
      </w:r>
      <w:r>
        <w:t xml:space="preserve">Terjemahan Fandy Tjiptono, </w:t>
      </w:r>
      <w:r>
        <w:rPr>
          <w:lang w:val="id-ID"/>
        </w:rPr>
        <w:t xml:space="preserve"> Yogyakarta, </w:t>
      </w:r>
      <w:r>
        <w:t>Penerbit</w:t>
      </w:r>
      <w:r>
        <w:rPr>
          <w:lang w:val="id-ID"/>
        </w:rPr>
        <w:t xml:space="preserve"> </w:t>
      </w:r>
      <w:r>
        <w:t>Andi</w:t>
      </w:r>
      <w:r>
        <w:rPr>
          <w:lang w:val="id-ID"/>
        </w:rPr>
        <w:t>, hal 6</w:t>
      </w:r>
    </w:p>
  </w:footnote>
  <w:footnote w:id="47">
    <w:p w:rsidR="00967E1A" w:rsidRPr="008D5E5D" w:rsidRDefault="00967E1A" w:rsidP="00F855D9">
      <w:pPr>
        <w:pStyle w:val="FootnoteText"/>
        <w:rPr>
          <w:lang w:val="id-ID"/>
        </w:rPr>
      </w:pPr>
      <w:r>
        <w:rPr>
          <w:rStyle w:val="FootnoteReference"/>
        </w:rPr>
        <w:footnoteRef/>
      </w:r>
      <w:r>
        <w:t xml:space="preserve"> </w:t>
      </w:r>
      <w:r w:rsidRPr="008D5E5D">
        <w:t>Fandy Tjiptono,</w:t>
      </w:r>
      <w:r>
        <w:rPr>
          <w:lang w:val="id-ID"/>
        </w:rPr>
        <w:t xml:space="preserve"> 2000,</w:t>
      </w:r>
      <w:r w:rsidRPr="008D5E5D">
        <w:t xml:space="preserve"> </w:t>
      </w:r>
      <w:r w:rsidRPr="008D5E5D">
        <w:rPr>
          <w:i/>
        </w:rPr>
        <w:t>Manajemen Jasa</w:t>
      </w:r>
      <w:r>
        <w:t xml:space="preserve">, </w:t>
      </w:r>
      <w:r w:rsidRPr="003A70D8">
        <w:t xml:space="preserve">Yogyakarta </w:t>
      </w:r>
      <w:r>
        <w:rPr>
          <w:lang w:val="id-ID"/>
        </w:rPr>
        <w:t xml:space="preserve">: </w:t>
      </w:r>
      <w:r>
        <w:t>Penerbit Andi</w:t>
      </w:r>
      <w:r>
        <w:rPr>
          <w:lang w:val="id-ID"/>
        </w:rPr>
        <w:t>,</w:t>
      </w:r>
      <w:r>
        <w:t xml:space="preserve"> </w:t>
      </w:r>
      <w:r>
        <w:rPr>
          <w:lang w:val="id-ID"/>
        </w:rPr>
        <w:t>hal 24-25</w:t>
      </w:r>
    </w:p>
  </w:footnote>
  <w:footnote w:id="48">
    <w:p w:rsidR="00967E1A" w:rsidRPr="004E5F5B" w:rsidRDefault="00967E1A" w:rsidP="00F855D9">
      <w:pPr>
        <w:pStyle w:val="FootnoteText"/>
        <w:rPr>
          <w:lang w:val="id-ID"/>
        </w:rPr>
      </w:pPr>
      <w:r>
        <w:rPr>
          <w:rStyle w:val="FootnoteReference"/>
        </w:rPr>
        <w:footnoteRef/>
      </w:r>
      <w:r>
        <w:t xml:space="preserve"> Trianto,</w:t>
      </w:r>
      <w:r>
        <w:rPr>
          <w:lang w:val="id-ID"/>
        </w:rPr>
        <w:t xml:space="preserve"> 2011,</w:t>
      </w:r>
      <w:r w:rsidRPr="004E5F5B">
        <w:t xml:space="preserve"> </w:t>
      </w:r>
      <w:r w:rsidRPr="004E5F5B">
        <w:rPr>
          <w:i/>
        </w:rPr>
        <w:t>Model-model Pembelajaran Inovatif Berorientasi Konstruktivistik</w:t>
      </w:r>
      <w:r w:rsidRPr="004E5F5B">
        <w:t>. Jakarta : Prestasi Pustaka</w:t>
      </w:r>
      <w:r>
        <w:rPr>
          <w:lang w:val="id-ID"/>
        </w:rPr>
        <w:t>, hal 1</w:t>
      </w:r>
    </w:p>
  </w:footnote>
  <w:footnote w:id="49">
    <w:p w:rsidR="00967E1A" w:rsidRPr="004E5F5B" w:rsidRDefault="00967E1A" w:rsidP="00F855D9">
      <w:pPr>
        <w:pStyle w:val="FootnoteText"/>
        <w:rPr>
          <w:lang w:val="id-ID"/>
        </w:rPr>
      </w:pPr>
      <w:r>
        <w:rPr>
          <w:rStyle w:val="FootnoteReference"/>
        </w:rPr>
        <w:footnoteRef/>
      </w:r>
      <w:r>
        <w:t xml:space="preserve"> </w:t>
      </w:r>
      <w:r>
        <w:rPr>
          <w:lang w:val="id-ID"/>
        </w:rPr>
        <w:t>Ibid</w:t>
      </w:r>
    </w:p>
  </w:footnote>
  <w:footnote w:id="50">
    <w:p w:rsidR="00967E1A" w:rsidRPr="004E5F5B" w:rsidRDefault="00967E1A" w:rsidP="00F855D9">
      <w:pPr>
        <w:pStyle w:val="FootnoteText"/>
        <w:rPr>
          <w:lang w:val="id-ID"/>
        </w:rPr>
      </w:pPr>
      <w:r>
        <w:rPr>
          <w:rStyle w:val="FootnoteReference"/>
        </w:rPr>
        <w:footnoteRef/>
      </w:r>
      <w:r>
        <w:t xml:space="preserve"> </w:t>
      </w:r>
      <w:r>
        <w:rPr>
          <w:lang w:val="id-ID"/>
        </w:rPr>
        <w:t xml:space="preserve">Badan Pusat Statistik., 2015, </w:t>
      </w:r>
      <w:r w:rsidRPr="003A70D8">
        <w:rPr>
          <w:i/>
          <w:lang w:val="id-ID"/>
        </w:rPr>
        <w:t>Jenis – Jenis Konstruksi</w:t>
      </w:r>
      <w:r>
        <w:rPr>
          <w:lang w:val="id-ID"/>
        </w:rPr>
        <w:t>.,  BPS Press, hal 68-70</w:t>
      </w:r>
    </w:p>
  </w:footnote>
  <w:footnote w:id="51">
    <w:p w:rsidR="00967E1A" w:rsidRPr="00CC1E0C" w:rsidRDefault="00967E1A" w:rsidP="00F855D9">
      <w:pPr>
        <w:pStyle w:val="FootnoteText"/>
        <w:jc w:val="both"/>
        <w:rPr>
          <w:lang w:val="id-ID"/>
        </w:rPr>
      </w:pPr>
      <w:r>
        <w:rPr>
          <w:rStyle w:val="FootnoteReference"/>
        </w:rPr>
        <w:footnoteRef/>
      </w:r>
      <w:r>
        <w:t xml:space="preserve"> </w:t>
      </w:r>
      <w:r w:rsidRPr="00CC1E0C">
        <w:t xml:space="preserve">Suraji, A, </w:t>
      </w:r>
      <w:r>
        <w:rPr>
          <w:lang w:val="id-ID"/>
        </w:rPr>
        <w:t xml:space="preserve">2006, </w:t>
      </w:r>
      <w:r w:rsidRPr="003A70D8">
        <w:rPr>
          <w:i/>
        </w:rPr>
        <w:t>Makalah Kebijakan Tranformasi Konstruksi</w:t>
      </w:r>
      <w:r w:rsidRPr="00CC1E0C">
        <w:t>, Prosiding Forum KAKI Yogyakarta, Bandung &amp; Jakarta, BPKSDM Departe</w:t>
      </w:r>
      <w:r>
        <w:t>men Pekerjaan Umum,</w:t>
      </w:r>
      <w:r>
        <w:rPr>
          <w:lang w:val="id-ID"/>
        </w:rPr>
        <w:t xml:space="preserve"> h</w:t>
      </w:r>
      <w:r>
        <w:t>al 18</w:t>
      </w:r>
    </w:p>
  </w:footnote>
  <w:footnote w:id="52">
    <w:p w:rsidR="00967E1A" w:rsidRPr="003A70D8" w:rsidRDefault="00967E1A" w:rsidP="00F855D9">
      <w:pPr>
        <w:pStyle w:val="FootnoteText"/>
        <w:jc w:val="both"/>
        <w:rPr>
          <w:lang w:val="id-ID"/>
        </w:rPr>
      </w:pPr>
      <w:r>
        <w:rPr>
          <w:rStyle w:val="FootnoteReference"/>
        </w:rPr>
        <w:footnoteRef/>
      </w:r>
      <w:r>
        <w:t xml:space="preserve"> </w:t>
      </w:r>
      <w:r>
        <w:rPr>
          <w:lang w:val="id-ID"/>
        </w:rPr>
        <w:t>Ibid</w:t>
      </w:r>
    </w:p>
  </w:footnote>
  <w:footnote w:id="53">
    <w:p w:rsidR="00967E1A" w:rsidRPr="00CC1E0C" w:rsidRDefault="00967E1A" w:rsidP="00F855D9">
      <w:pPr>
        <w:pStyle w:val="FootnoteText"/>
        <w:rPr>
          <w:lang w:val="id-ID"/>
        </w:rPr>
      </w:pPr>
      <w:r>
        <w:rPr>
          <w:rStyle w:val="FootnoteReference"/>
        </w:rPr>
        <w:footnoteRef/>
      </w:r>
      <w:r>
        <w:t xml:space="preserve"> </w:t>
      </w:r>
      <w:r>
        <w:rPr>
          <w:lang w:val="id-ID"/>
        </w:rPr>
        <w:t>Ibid</w:t>
      </w:r>
    </w:p>
  </w:footnote>
  <w:footnote w:id="54">
    <w:p w:rsidR="00967E1A" w:rsidRPr="0071409E" w:rsidRDefault="00967E1A" w:rsidP="00F855D9">
      <w:pPr>
        <w:pStyle w:val="FootnoteText"/>
        <w:rPr>
          <w:lang w:val="id-ID"/>
        </w:rPr>
      </w:pPr>
      <w:r>
        <w:rPr>
          <w:rStyle w:val="FootnoteReference"/>
        </w:rPr>
        <w:footnoteRef/>
      </w:r>
      <w:r>
        <w:t xml:space="preserve"> </w:t>
      </w:r>
      <w:r>
        <w:rPr>
          <w:lang w:val="id-ID"/>
        </w:rPr>
        <w:t>Ibid</w:t>
      </w:r>
    </w:p>
  </w:footnote>
  <w:footnote w:id="55">
    <w:p w:rsidR="00967E1A" w:rsidRPr="00EB4587" w:rsidRDefault="00967E1A" w:rsidP="00F855D9">
      <w:pPr>
        <w:pStyle w:val="FootnoteText"/>
        <w:rPr>
          <w:lang w:val="id-ID"/>
        </w:rPr>
      </w:pPr>
      <w:r>
        <w:rPr>
          <w:rStyle w:val="FootnoteReference"/>
        </w:rPr>
        <w:footnoteRef/>
      </w:r>
      <w:r>
        <w:t xml:space="preserve"> </w:t>
      </w:r>
      <w:r w:rsidRPr="00EB4587">
        <w:rPr>
          <w:lang w:val="id-ID"/>
        </w:rPr>
        <w:t>www.asean.org</w:t>
      </w:r>
      <w:r>
        <w:rPr>
          <w:lang w:val="id-ID"/>
        </w:rPr>
        <w:t xml:space="preserve">. </w:t>
      </w:r>
      <w:r w:rsidRPr="00EB4587">
        <w:rPr>
          <w:i/>
          <w:lang w:val="id-ID"/>
        </w:rPr>
        <w:t>Asean Economyc Comunity</w:t>
      </w:r>
      <w:r>
        <w:rPr>
          <w:lang w:val="id-ID"/>
        </w:rPr>
        <w:t xml:space="preserve"> (AEC). Diakses 23 November 2016</w:t>
      </w:r>
    </w:p>
  </w:footnote>
  <w:footnote w:id="56">
    <w:p w:rsidR="00967E1A" w:rsidRPr="00EB4587" w:rsidRDefault="00967E1A" w:rsidP="00F855D9">
      <w:pPr>
        <w:pStyle w:val="FootnoteText"/>
        <w:jc w:val="both"/>
        <w:rPr>
          <w:lang w:val="id-ID"/>
        </w:rPr>
      </w:pPr>
      <w:r>
        <w:rPr>
          <w:rStyle w:val="FootnoteReference"/>
        </w:rPr>
        <w:footnoteRef/>
      </w:r>
      <w:r>
        <w:t xml:space="preserve"> Sjamsul</w:t>
      </w:r>
      <w:r>
        <w:rPr>
          <w:lang w:val="id-ID"/>
        </w:rPr>
        <w:t xml:space="preserve"> Arifin, 2008,</w:t>
      </w:r>
      <w:r>
        <w:t xml:space="preserve"> </w:t>
      </w:r>
      <w:r w:rsidRPr="00EB4587">
        <w:rPr>
          <w:i/>
        </w:rPr>
        <w:t>Masyarakat Ekonomi ASEAN 2015:Memperkuat Sinergi</w:t>
      </w:r>
      <w:r w:rsidRPr="00EB4587">
        <w:rPr>
          <w:i/>
          <w:lang w:val="id-ID"/>
        </w:rPr>
        <w:t xml:space="preserve"> </w:t>
      </w:r>
      <w:r w:rsidRPr="00EB4587">
        <w:rPr>
          <w:i/>
        </w:rPr>
        <w:t>ASEAN Ditengah Kompetisi Global</w:t>
      </w:r>
      <w:r>
        <w:t>. Jakarta: PT Elex Media Komputindo</w:t>
      </w:r>
      <w:r>
        <w:rPr>
          <w:lang w:val="id-ID"/>
        </w:rPr>
        <w:t>, hal 20</w:t>
      </w:r>
    </w:p>
  </w:footnote>
  <w:footnote w:id="57">
    <w:p w:rsidR="00967E1A" w:rsidRPr="00E40950" w:rsidRDefault="00967E1A" w:rsidP="00F855D9">
      <w:pPr>
        <w:pStyle w:val="FootnoteText"/>
        <w:rPr>
          <w:lang w:val="id-ID"/>
        </w:rPr>
      </w:pPr>
      <w:r>
        <w:rPr>
          <w:rStyle w:val="FootnoteReference"/>
        </w:rPr>
        <w:footnoteRef/>
      </w:r>
      <w:r>
        <w:t xml:space="preserve"> </w:t>
      </w:r>
      <w:r>
        <w:rPr>
          <w:lang w:val="id-ID"/>
        </w:rPr>
        <w:t>Ibid</w:t>
      </w:r>
    </w:p>
  </w:footnote>
  <w:footnote w:id="58">
    <w:p w:rsidR="00967E1A" w:rsidRPr="00E40950" w:rsidRDefault="00967E1A" w:rsidP="00F855D9">
      <w:pPr>
        <w:pStyle w:val="FootnoteText"/>
        <w:rPr>
          <w:lang w:val="id-ID"/>
        </w:rPr>
      </w:pPr>
      <w:r>
        <w:rPr>
          <w:rStyle w:val="FootnoteReference"/>
        </w:rPr>
        <w:footnoteRef/>
      </w:r>
      <w:r>
        <w:t xml:space="preserve"> </w:t>
      </w:r>
      <w:r>
        <w:rPr>
          <w:lang w:val="id-ID"/>
        </w:rPr>
        <w:t>Ibid</w:t>
      </w:r>
    </w:p>
  </w:footnote>
  <w:footnote w:id="59">
    <w:p w:rsidR="00967E1A" w:rsidRPr="00866E43" w:rsidRDefault="00967E1A" w:rsidP="00F855D9">
      <w:pPr>
        <w:pStyle w:val="FootnoteText"/>
        <w:rPr>
          <w:lang w:val="id-ID"/>
        </w:rPr>
      </w:pPr>
      <w:r>
        <w:rPr>
          <w:rStyle w:val="FootnoteReference"/>
        </w:rPr>
        <w:footnoteRef/>
      </w:r>
      <w:r>
        <w:t xml:space="preserve"> Budiman, Aida s, (Dkk)., 2008, </w:t>
      </w:r>
      <w:r w:rsidRPr="00F603DF">
        <w:rPr>
          <w:i/>
        </w:rPr>
        <w:t>Masyarakat Ekonomi Asean 2015</w:t>
      </w:r>
      <w:r>
        <w:t xml:space="preserve"> , Jakarta : </w:t>
      </w:r>
      <w:r w:rsidRPr="00866E43">
        <w:t xml:space="preserve"> PT Elex Media Komputindo</w:t>
      </w:r>
      <w:r>
        <w:rPr>
          <w:lang w:val="id-ID"/>
        </w:rPr>
        <w:t>, h</w:t>
      </w:r>
      <w:r w:rsidRPr="00866E43">
        <w:t>al</w:t>
      </w:r>
      <w:r>
        <w:rPr>
          <w:lang w:val="id-ID"/>
        </w:rPr>
        <w:t xml:space="preserve"> 15-16</w:t>
      </w:r>
    </w:p>
  </w:footnote>
  <w:footnote w:id="60">
    <w:p w:rsidR="00967E1A" w:rsidRPr="00131534" w:rsidRDefault="00967E1A" w:rsidP="00F855D9">
      <w:pPr>
        <w:pStyle w:val="FootnoteText"/>
        <w:jc w:val="both"/>
        <w:rPr>
          <w:lang w:val="id-ID"/>
        </w:rPr>
      </w:pPr>
      <w:r>
        <w:rPr>
          <w:rStyle w:val="FootnoteReference"/>
        </w:rPr>
        <w:footnoteRef/>
      </w:r>
      <w:r>
        <w:t xml:space="preserve"> </w:t>
      </w:r>
      <w:r w:rsidRPr="00131534">
        <w:t>Parikesit Widiatedja,</w:t>
      </w:r>
      <w:r>
        <w:rPr>
          <w:lang w:val="id-ID"/>
        </w:rPr>
        <w:t xml:space="preserve"> 2011,</w:t>
      </w:r>
      <w:r w:rsidRPr="00131534">
        <w:t xml:space="preserve"> </w:t>
      </w:r>
      <w:r w:rsidRPr="00131534">
        <w:rPr>
          <w:i/>
        </w:rPr>
        <w:t>Kebijakan Liberalisasi Pariwisata Konstruksi Konsep, Ragam Masalah, dan Alternatif Solusi</w:t>
      </w:r>
      <w:r w:rsidRPr="00131534">
        <w:t xml:space="preserve">, </w:t>
      </w:r>
      <w:r>
        <w:rPr>
          <w:lang w:val="id-ID"/>
        </w:rPr>
        <w:t xml:space="preserve">Denpasar : </w:t>
      </w:r>
      <w:r w:rsidRPr="00131534">
        <w:t>Udayana U</w:t>
      </w:r>
      <w:r>
        <w:t>niversity Press, hal 125</w:t>
      </w:r>
    </w:p>
  </w:footnote>
  <w:footnote w:id="61">
    <w:p w:rsidR="00967E1A" w:rsidRPr="00131534" w:rsidRDefault="00967E1A" w:rsidP="00F855D9">
      <w:pPr>
        <w:pStyle w:val="FootnoteText"/>
        <w:jc w:val="both"/>
        <w:rPr>
          <w:lang w:val="id-ID"/>
        </w:rPr>
      </w:pPr>
      <w:r>
        <w:rPr>
          <w:rStyle w:val="FootnoteReference"/>
        </w:rPr>
        <w:footnoteRef/>
      </w:r>
      <w:r>
        <w:t xml:space="preserve"> </w:t>
      </w:r>
      <w:r w:rsidRPr="00131534">
        <w:t>Hadi</w:t>
      </w:r>
      <w:r>
        <w:rPr>
          <w:lang w:val="id-ID"/>
        </w:rPr>
        <w:t xml:space="preserve"> </w:t>
      </w:r>
      <w:r w:rsidRPr="00131534">
        <w:t>Soesastro,</w:t>
      </w:r>
      <w:r>
        <w:rPr>
          <w:lang w:val="id-ID"/>
        </w:rPr>
        <w:t xml:space="preserve"> 2000,</w:t>
      </w:r>
      <w:r w:rsidRPr="00131534">
        <w:t xml:space="preserve"> </w:t>
      </w:r>
      <w:r w:rsidRPr="00131534">
        <w:rPr>
          <w:i/>
        </w:rPr>
        <w:t>A New ASEAN in a New Millenium,Centre for Strategic and International Student</w:t>
      </w:r>
      <w:r w:rsidRPr="00131534">
        <w:t xml:space="preserve">, Jakarta, </w:t>
      </w:r>
      <w:r>
        <w:t>hal 215</w:t>
      </w:r>
    </w:p>
  </w:footnote>
  <w:footnote w:id="62">
    <w:p w:rsidR="00967E1A" w:rsidRPr="00131534" w:rsidRDefault="00967E1A" w:rsidP="00F855D9">
      <w:pPr>
        <w:pStyle w:val="FootnoteText"/>
        <w:jc w:val="both"/>
        <w:rPr>
          <w:lang w:val="id-ID"/>
        </w:rPr>
      </w:pPr>
      <w:r>
        <w:rPr>
          <w:rStyle w:val="FootnoteReference"/>
        </w:rPr>
        <w:footnoteRef/>
      </w:r>
      <w:r>
        <w:t xml:space="preserve"> </w:t>
      </w:r>
      <w:r w:rsidRPr="00131534">
        <w:t xml:space="preserve">ASEAN Framework Agreement on Services, </w:t>
      </w:r>
      <w:hyperlink r:id="rId2" w:history="1">
        <w:r w:rsidRPr="00CA68AD">
          <w:rPr>
            <w:rStyle w:val="Hyperlink1"/>
          </w:rPr>
          <w:t>www.asean.org/communities/asean-economic-community/item/asean-framework-agreement-on-services</w:t>
        </w:r>
      </w:hyperlink>
      <w:r>
        <w:rPr>
          <w:lang w:val="id-ID"/>
        </w:rPr>
        <w:t>. Diakses pada 2 Januari 2017</w:t>
      </w:r>
    </w:p>
  </w:footnote>
  <w:footnote w:id="63">
    <w:p w:rsidR="00967E1A" w:rsidRPr="00264F73" w:rsidRDefault="00967E1A" w:rsidP="00F855D9">
      <w:pPr>
        <w:pStyle w:val="FootnoteText"/>
        <w:jc w:val="both"/>
        <w:rPr>
          <w:lang w:val="id-ID"/>
        </w:rPr>
      </w:pPr>
      <w:r>
        <w:rPr>
          <w:rStyle w:val="FootnoteReference"/>
        </w:rPr>
        <w:footnoteRef/>
      </w:r>
      <w:r>
        <w:t xml:space="preserve"> </w:t>
      </w:r>
      <w:r w:rsidRPr="00131534">
        <w:rPr>
          <w:lang w:val="id-ID"/>
        </w:rPr>
        <w:t xml:space="preserve">Kementerian Perdagangan Republik Indonesia, 2008, </w:t>
      </w:r>
      <w:r w:rsidRPr="00131534">
        <w:rPr>
          <w:i/>
          <w:lang w:val="id-ID"/>
        </w:rPr>
        <w:t>Menuju ASEAN Economic Community 2015</w:t>
      </w:r>
      <w:r w:rsidRPr="00131534">
        <w:rPr>
          <w:lang w:val="id-ID"/>
        </w:rPr>
        <w:t>, Departemen Perdagangan Republik Indonesia, Jakarta, h</w:t>
      </w:r>
      <w:r>
        <w:rPr>
          <w:lang w:val="id-ID"/>
        </w:rPr>
        <w:t>al</w:t>
      </w:r>
      <w:r w:rsidRPr="00131534">
        <w:rPr>
          <w:lang w:val="id-ID"/>
        </w:rPr>
        <w:t xml:space="preserve"> 31.</w:t>
      </w:r>
    </w:p>
  </w:footnote>
  <w:footnote w:id="64">
    <w:p w:rsidR="00967E1A" w:rsidRPr="00131534" w:rsidRDefault="00967E1A" w:rsidP="00F855D9">
      <w:pPr>
        <w:pStyle w:val="FootnoteText"/>
        <w:jc w:val="both"/>
        <w:rPr>
          <w:lang w:val="id-ID"/>
        </w:rPr>
      </w:pPr>
      <w:r>
        <w:rPr>
          <w:rStyle w:val="FootnoteReference"/>
        </w:rPr>
        <w:footnoteRef/>
      </w:r>
      <w:r>
        <w:t xml:space="preserve"> </w:t>
      </w:r>
      <w:r w:rsidRPr="00131534">
        <w:t>Syahmin A.K.,</w:t>
      </w:r>
      <w:r>
        <w:rPr>
          <w:lang w:val="id-ID"/>
        </w:rPr>
        <w:t xml:space="preserve"> 2006,</w:t>
      </w:r>
      <w:r w:rsidRPr="00131534">
        <w:t xml:space="preserve"> </w:t>
      </w:r>
      <w:r w:rsidRPr="00131534">
        <w:rPr>
          <w:i/>
        </w:rPr>
        <w:t>Hukum Dagang Internasional (Dalam Kerangka Studi Analitis),</w:t>
      </w:r>
      <w:r w:rsidRPr="00131534">
        <w:t xml:space="preserve"> </w:t>
      </w:r>
      <w:r>
        <w:rPr>
          <w:lang w:val="id-ID"/>
        </w:rPr>
        <w:t xml:space="preserve">Jakarta : </w:t>
      </w:r>
      <w:r w:rsidRPr="00131534">
        <w:t xml:space="preserve">PT Raja Grafindo Persada, </w:t>
      </w:r>
      <w:r>
        <w:t>hal</w:t>
      </w:r>
      <w:r>
        <w:rPr>
          <w:lang w:val="id-ID"/>
        </w:rPr>
        <w:t xml:space="preserve"> </w:t>
      </w:r>
      <w:r w:rsidRPr="00131534">
        <w:t>184.</w:t>
      </w:r>
    </w:p>
  </w:footnote>
  <w:footnote w:id="65">
    <w:p w:rsidR="00967E1A" w:rsidRPr="00131534" w:rsidRDefault="00967E1A" w:rsidP="00F855D9">
      <w:pPr>
        <w:pStyle w:val="FootnoteText"/>
        <w:rPr>
          <w:lang w:val="id-ID"/>
        </w:rPr>
      </w:pPr>
      <w:r>
        <w:rPr>
          <w:rStyle w:val="FootnoteReference"/>
        </w:rPr>
        <w:footnoteRef/>
      </w:r>
      <w:r>
        <w:t xml:space="preserve"> </w:t>
      </w:r>
      <w:r>
        <w:rPr>
          <w:lang w:val="id-ID"/>
        </w:rPr>
        <w:t>Ibid</w:t>
      </w:r>
    </w:p>
  </w:footnote>
  <w:footnote w:id="66">
    <w:p w:rsidR="00967E1A" w:rsidRPr="00131534" w:rsidRDefault="00967E1A" w:rsidP="00F855D9">
      <w:pPr>
        <w:pStyle w:val="FootnoteText"/>
        <w:rPr>
          <w:lang w:val="id-ID"/>
        </w:rPr>
      </w:pPr>
      <w:r>
        <w:rPr>
          <w:rStyle w:val="FootnoteReference"/>
        </w:rPr>
        <w:footnoteRef/>
      </w:r>
      <w:r>
        <w:t xml:space="preserve"> </w:t>
      </w:r>
      <w:r>
        <w:rPr>
          <w:lang w:val="id-ID"/>
        </w:rPr>
        <w:t>Ibid</w:t>
      </w:r>
    </w:p>
  </w:footnote>
  <w:footnote w:id="67">
    <w:p w:rsidR="00967E1A" w:rsidRPr="00131534" w:rsidRDefault="00967E1A" w:rsidP="00F855D9">
      <w:pPr>
        <w:pStyle w:val="FootnoteText"/>
        <w:rPr>
          <w:lang w:val="id-ID"/>
        </w:rPr>
      </w:pPr>
      <w:r>
        <w:rPr>
          <w:rStyle w:val="FootnoteReference"/>
        </w:rPr>
        <w:footnoteRef/>
      </w:r>
      <w:r>
        <w:t xml:space="preserve"> </w:t>
      </w:r>
      <w:r>
        <w:rPr>
          <w:lang w:val="id-ID"/>
        </w:rPr>
        <w:t xml:space="preserve">Ibid </w:t>
      </w:r>
    </w:p>
  </w:footnote>
  <w:footnote w:id="68">
    <w:p w:rsidR="00967E1A" w:rsidRPr="00CD41AC" w:rsidRDefault="00967E1A" w:rsidP="00F855D9">
      <w:pPr>
        <w:pStyle w:val="FootnoteText"/>
        <w:jc w:val="both"/>
        <w:rPr>
          <w:lang w:val="id-ID"/>
        </w:rPr>
      </w:pPr>
      <w:r>
        <w:rPr>
          <w:rStyle w:val="FootnoteReference"/>
        </w:rPr>
        <w:footnoteRef/>
      </w:r>
      <w:r>
        <w:t xml:space="preserve"> </w:t>
      </w:r>
      <w:r w:rsidRPr="00CD41AC">
        <w:t xml:space="preserve">Parikesit Widiatedja, </w:t>
      </w:r>
      <w:r>
        <w:rPr>
          <w:lang w:val="id-ID"/>
        </w:rPr>
        <w:t xml:space="preserve">2011, </w:t>
      </w:r>
      <w:r w:rsidRPr="00CD41AC">
        <w:rPr>
          <w:i/>
        </w:rPr>
        <w:t>Kebijakan Liberalisasi Pariwisata Konstruksi Konsep, Ragam Masalah, dan Alternatif Solusi</w:t>
      </w:r>
      <w:r w:rsidRPr="00CD41AC">
        <w:t>,</w:t>
      </w:r>
      <w:r>
        <w:rPr>
          <w:lang w:val="id-ID"/>
        </w:rPr>
        <w:t xml:space="preserve">Denpasar : </w:t>
      </w:r>
      <w:r w:rsidRPr="00CD41AC">
        <w:t xml:space="preserve"> Udayana University Press, hal</w:t>
      </w:r>
      <w:r>
        <w:rPr>
          <w:lang w:val="id-ID"/>
        </w:rPr>
        <w:t xml:space="preserve"> 47</w:t>
      </w:r>
    </w:p>
  </w:footnote>
  <w:footnote w:id="69">
    <w:p w:rsidR="00967E1A" w:rsidRPr="004F08D4" w:rsidRDefault="00967E1A" w:rsidP="00F855D9">
      <w:pPr>
        <w:pStyle w:val="FootnoteText"/>
        <w:jc w:val="both"/>
        <w:rPr>
          <w:lang w:val="id-ID"/>
        </w:rPr>
      </w:pPr>
      <w:r>
        <w:rPr>
          <w:rStyle w:val="FootnoteReference"/>
        </w:rPr>
        <w:footnoteRef/>
      </w:r>
      <w:r>
        <w:t xml:space="preserve"> </w:t>
      </w:r>
      <w:r w:rsidRPr="004F08D4">
        <w:t>Undang – undang Nomor 18 Tahun 1999 tentang Jasa Konstruksi</w:t>
      </w:r>
    </w:p>
  </w:footnote>
  <w:footnote w:id="70">
    <w:p w:rsidR="00967E1A" w:rsidRPr="004F08D4" w:rsidRDefault="00967E1A" w:rsidP="00F855D9">
      <w:pPr>
        <w:pStyle w:val="FootnoteText"/>
        <w:rPr>
          <w:lang w:val="id-ID"/>
        </w:rPr>
      </w:pPr>
      <w:r>
        <w:rPr>
          <w:rStyle w:val="FootnoteReference"/>
        </w:rPr>
        <w:footnoteRef/>
      </w:r>
      <w:r>
        <w:t xml:space="preserve"> </w:t>
      </w:r>
      <w:r>
        <w:rPr>
          <w:lang w:val="id-ID"/>
        </w:rPr>
        <w:t>Ibid</w:t>
      </w:r>
    </w:p>
  </w:footnote>
  <w:footnote w:id="71">
    <w:p w:rsidR="00967E1A" w:rsidRPr="004F08D4" w:rsidRDefault="00967E1A" w:rsidP="00F855D9">
      <w:pPr>
        <w:pStyle w:val="FootnoteText"/>
        <w:rPr>
          <w:lang w:val="id-ID"/>
        </w:rPr>
      </w:pPr>
      <w:r>
        <w:rPr>
          <w:rStyle w:val="FootnoteReference"/>
        </w:rPr>
        <w:footnoteRef/>
      </w:r>
      <w:r>
        <w:t xml:space="preserve"> </w:t>
      </w:r>
      <w:r>
        <w:rPr>
          <w:lang w:val="id-ID"/>
        </w:rPr>
        <w:t>Ibid</w:t>
      </w:r>
    </w:p>
  </w:footnote>
  <w:footnote w:id="72">
    <w:p w:rsidR="00967E1A" w:rsidRPr="004F08D4" w:rsidRDefault="00967E1A" w:rsidP="00F855D9">
      <w:pPr>
        <w:pStyle w:val="FootnoteText"/>
        <w:rPr>
          <w:lang w:val="id-ID"/>
        </w:rPr>
      </w:pPr>
      <w:r>
        <w:rPr>
          <w:rStyle w:val="FootnoteReference"/>
        </w:rPr>
        <w:footnoteRef/>
      </w:r>
      <w:r>
        <w:t xml:space="preserve"> </w:t>
      </w:r>
      <w:r>
        <w:rPr>
          <w:lang w:val="id-ID"/>
        </w:rPr>
        <w:t>Ibid</w:t>
      </w:r>
    </w:p>
  </w:footnote>
  <w:footnote w:id="73">
    <w:p w:rsidR="00967E1A" w:rsidRPr="004F08D4" w:rsidRDefault="00967E1A" w:rsidP="00F855D9">
      <w:pPr>
        <w:pStyle w:val="FootnoteText"/>
        <w:rPr>
          <w:lang w:val="id-ID"/>
        </w:rPr>
      </w:pPr>
      <w:r>
        <w:rPr>
          <w:rStyle w:val="FootnoteReference"/>
        </w:rPr>
        <w:footnoteRef/>
      </w:r>
      <w:r>
        <w:t xml:space="preserve"> </w:t>
      </w:r>
      <w:r>
        <w:rPr>
          <w:lang w:val="id-ID"/>
        </w:rPr>
        <w:t>Ibid</w:t>
      </w:r>
    </w:p>
  </w:footnote>
  <w:footnote w:id="74">
    <w:p w:rsidR="00967E1A" w:rsidRPr="0023143A" w:rsidRDefault="00967E1A" w:rsidP="00F855D9">
      <w:pPr>
        <w:pStyle w:val="FootnoteText"/>
        <w:rPr>
          <w:lang w:val="id-ID"/>
        </w:rPr>
      </w:pPr>
      <w:r>
        <w:rPr>
          <w:rStyle w:val="FootnoteReference"/>
        </w:rPr>
        <w:footnoteRef/>
      </w:r>
      <w:r>
        <w:t xml:space="preserve"> </w:t>
      </w:r>
      <w:r>
        <w:rPr>
          <w:lang w:val="id-ID"/>
        </w:rPr>
        <w:t>Ibid</w:t>
      </w:r>
    </w:p>
  </w:footnote>
  <w:footnote w:id="75">
    <w:p w:rsidR="00967E1A" w:rsidRPr="00A52A04" w:rsidRDefault="00967E1A" w:rsidP="00F855D9">
      <w:pPr>
        <w:pStyle w:val="FootnoteText"/>
        <w:rPr>
          <w:lang w:val="id-ID"/>
        </w:rPr>
      </w:pPr>
      <w:r>
        <w:rPr>
          <w:rStyle w:val="FootnoteReference"/>
        </w:rPr>
        <w:footnoteRef/>
      </w:r>
      <w:r>
        <w:t xml:space="preserve"> </w:t>
      </w:r>
      <w:r>
        <w:rPr>
          <w:lang w:val="id-ID"/>
        </w:rPr>
        <w:t>Ibid</w:t>
      </w:r>
    </w:p>
  </w:footnote>
  <w:footnote w:id="76">
    <w:p w:rsidR="00967E1A" w:rsidRPr="00657943" w:rsidRDefault="00967E1A" w:rsidP="00F855D9">
      <w:pPr>
        <w:pStyle w:val="FootnoteText"/>
        <w:jc w:val="both"/>
        <w:rPr>
          <w:lang w:val="id-ID"/>
        </w:rPr>
      </w:pPr>
      <w:r>
        <w:rPr>
          <w:rStyle w:val="FootnoteReference"/>
        </w:rPr>
        <w:footnoteRef/>
      </w:r>
      <w:r>
        <w:t xml:space="preserve"> </w:t>
      </w:r>
      <w:r w:rsidRPr="00657943">
        <w:t>Peraturan Menteri Pekerjaan Umum Nomor 8 Tahun 2011 tentang Pembagian subklasifikasi dan subkualifikasi usaha jasa konstruksi</w:t>
      </w:r>
    </w:p>
  </w:footnote>
  <w:footnote w:id="77">
    <w:p w:rsidR="00967E1A" w:rsidRPr="00203AFB" w:rsidRDefault="00967E1A" w:rsidP="00F855D9">
      <w:pPr>
        <w:pStyle w:val="FootnoteText"/>
        <w:jc w:val="both"/>
        <w:rPr>
          <w:lang w:val="id-ID"/>
        </w:rPr>
      </w:pPr>
      <w:r>
        <w:rPr>
          <w:rStyle w:val="FootnoteReference"/>
        </w:rPr>
        <w:footnoteRef/>
      </w:r>
      <w:r>
        <w:t xml:space="preserve"> </w:t>
      </w:r>
      <w:r w:rsidRPr="00203AFB">
        <w:t>Peraturan Menteri Pekerjaan Umum, Nomor : 09/PRT/M/2013 Tentang : Persyaratan Kompetensi Untuk Subkualifikasi Tenaga Ahli dan Tenaga Terampil Bidang Jasa Konstruksi</w:t>
      </w:r>
    </w:p>
  </w:footnote>
  <w:footnote w:id="78">
    <w:p w:rsidR="00967E1A" w:rsidRPr="00FD600F" w:rsidRDefault="00967E1A" w:rsidP="00F855D9">
      <w:pPr>
        <w:pStyle w:val="FootnoteText"/>
        <w:jc w:val="both"/>
        <w:rPr>
          <w:lang w:val="id-ID"/>
        </w:rPr>
      </w:pPr>
      <w:r>
        <w:rPr>
          <w:rStyle w:val="FootnoteReference"/>
        </w:rPr>
        <w:footnoteRef/>
      </w:r>
      <w:r>
        <w:t xml:space="preserve"> Peraturan Presiden Nomor 44 Tahun 2016</w:t>
      </w:r>
      <w:r w:rsidRPr="00FD600F">
        <w:t xml:space="preserve"> tentang Daftar Bida</w:t>
      </w:r>
      <w:r>
        <w:t xml:space="preserve">ng Usaha yang Tertutup dan </w:t>
      </w:r>
      <w:r w:rsidRPr="00FD600F">
        <w:t>Bidang Usaha yang Terbuka dengan Persyaratan di Bidang Penanaman Modal</w:t>
      </w:r>
    </w:p>
  </w:footnote>
  <w:footnote w:id="79">
    <w:p w:rsidR="00967E1A" w:rsidRPr="003159E9" w:rsidRDefault="00967E1A" w:rsidP="00F855D9">
      <w:pPr>
        <w:pStyle w:val="FootnoteText"/>
        <w:rPr>
          <w:lang w:val="id-ID"/>
        </w:rPr>
      </w:pPr>
      <w:r>
        <w:rPr>
          <w:rStyle w:val="FootnoteReference"/>
        </w:rPr>
        <w:footnoteRef/>
      </w:r>
      <w:r>
        <w:t xml:space="preserve"> Undang – U</w:t>
      </w:r>
      <w:r w:rsidRPr="003159E9">
        <w:t>ndang nomor 7 tahun 2014 tentang perdagangan.</w:t>
      </w:r>
    </w:p>
  </w:footnote>
  <w:footnote w:id="80">
    <w:p w:rsidR="00967E1A" w:rsidRPr="00F217E4" w:rsidRDefault="00967E1A" w:rsidP="00F855D9">
      <w:pPr>
        <w:pStyle w:val="FootnoteText"/>
        <w:rPr>
          <w:lang w:val="id-ID"/>
        </w:rPr>
      </w:pPr>
      <w:r>
        <w:rPr>
          <w:rStyle w:val="FootnoteReference"/>
        </w:rPr>
        <w:footnoteRef/>
      </w:r>
      <w:r>
        <w:t xml:space="preserve"> </w:t>
      </w:r>
      <w:r w:rsidRPr="00F217E4">
        <w:t>Undang-undang Nomor 11 Tahun 2014 tentang Keinsinyuran</w:t>
      </w:r>
    </w:p>
  </w:footnote>
  <w:footnote w:id="81">
    <w:p w:rsidR="00967E1A" w:rsidRPr="00E97692" w:rsidRDefault="00967E1A" w:rsidP="00F855D9">
      <w:pPr>
        <w:pStyle w:val="FootnoteText"/>
        <w:rPr>
          <w:lang w:val="id-ID"/>
        </w:rPr>
      </w:pPr>
      <w:r>
        <w:rPr>
          <w:rStyle w:val="FootnoteReference"/>
        </w:rPr>
        <w:footnoteRef/>
      </w:r>
      <w:r>
        <w:t xml:space="preserve"> </w:t>
      </w:r>
      <w:r>
        <w:rPr>
          <w:lang w:val="id-ID"/>
        </w:rPr>
        <w:t>Buku Pedoman Kementrian Perdangangan. Persaingan Jasa 2016. Kementerian Perdagangan RI</w:t>
      </w:r>
    </w:p>
  </w:footnote>
  <w:footnote w:id="82">
    <w:p w:rsidR="00967E1A" w:rsidRPr="0019562F" w:rsidRDefault="00967E1A" w:rsidP="00F855D9">
      <w:pPr>
        <w:pStyle w:val="FootnoteText"/>
        <w:rPr>
          <w:lang w:val="id-ID"/>
        </w:rPr>
      </w:pPr>
      <w:r>
        <w:rPr>
          <w:rStyle w:val="FootnoteReference"/>
        </w:rPr>
        <w:footnoteRef/>
      </w:r>
      <w:r>
        <w:t xml:space="preserve"> </w:t>
      </w:r>
      <w:r>
        <w:rPr>
          <w:lang w:val="id-ID"/>
        </w:rPr>
        <w:t>Ibid</w:t>
      </w:r>
    </w:p>
  </w:footnote>
  <w:footnote w:id="83">
    <w:p w:rsidR="00967E1A" w:rsidRPr="000E3249" w:rsidRDefault="00967E1A" w:rsidP="00F855D9">
      <w:pPr>
        <w:pStyle w:val="FootnoteText"/>
        <w:jc w:val="both"/>
        <w:rPr>
          <w:lang w:val="id-ID"/>
        </w:rPr>
      </w:pPr>
      <w:r>
        <w:rPr>
          <w:rStyle w:val="FootnoteReference"/>
        </w:rPr>
        <w:footnoteRef/>
      </w:r>
      <w:r>
        <w:t xml:space="preserve"> </w:t>
      </w:r>
      <w:r w:rsidRPr="000E3249">
        <w:t xml:space="preserve">Klaus Schwab, </w:t>
      </w:r>
      <w:r>
        <w:rPr>
          <w:lang w:val="id-ID"/>
        </w:rPr>
        <w:t xml:space="preserve">2013, </w:t>
      </w:r>
      <w:r w:rsidRPr="000E3249">
        <w:rPr>
          <w:i/>
        </w:rPr>
        <w:t>The Global Competitiveness Report 2013-2014</w:t>
      </w:r>
      <w:r>
        <w:t xml:space="preserve">, </w:t>
      </w:r>
      <w:r w:rsidRPr="000E3249">
        <w:t>Jen</w:t>
      </w:r>
      <w:r>
        <w:t>ewa: World Economic Forum</w:t>
      </w:r>
      <w:r>
        <w:rPr>
          <w:lang w:val="id-ID"/>
        </w:rPr>
        <w:t xml:space="preserve">, </w:t>
      </w:r>
      <w:r>
        <w:t xml:space="preserve">hal </w:t>
      </w:r>
      <w:r w:rsidRPr="000E3249">
        <w:t xml:space="preserve"> 9.</w:t>
      </w:r>
    </w:p>
  </w:footnote>
  <w:footnote w:id="84">
    <w:p w:rsidR="00967E1A" w:rsidRPr="00733270" w:rsidRDefault="00967E1A" w:rsidP="00F855D9">
      <w:pPr>
        <w:pStyle w:val="FootnoteText"/>
        <w:jc w:val="both"/>
        <w:rPr>
          <w:lang w:val="id-ID"/>
        </w:rPr>
      </w:pPr>
      <w:r>
        <w:rPr>
          <w:rStyle w:val="FootnoteReference"/>
        </w:rPr>
        <w:footnoteRef/>
      </w:r>
      <w:r>
        <w:t xml:space="preserve"> </w:t>
      </w:r>
      <w:r>
        <w:rPr>
          <w:lang w:val="id-ID"/>
        </w:rPr>
        <w:t>Ibid</w:t>
      </w:r>
    </w:p>
  </w:footnote>
  <w:footnote w:id="85">
    <w:p w:rsidR="00967E1A" w:rsidRPr="00847BD5" w:rsidRDefault="00967E1A" w:rsidP="00F855D9">
      <w:pPr>
        <w:pStyle w:val="FootnoteText"/>
        <w:jc w:val="both"/>
        <w:rPr>
          <w:lang w:val="id-ID"/>
        </w:rPr>
      </w:pPr>
      <w:r>
        <w:rPr>
          <w:rStyle w:val="FootnoteReference"/>
        </w:rPr>
        <w:footnoteRef/>
      </w:r>
      <w:r>
        <w:t xml:space="preserve"> </w:t>
      </w:r>
      <w:r w:rsidRPr="00847BD5">
        <w:t>National Health Interview Survey</w:t>
      </w:r>
      <w:r>
        <w:rPr>
          <w:lang w:val="id-ID"/>
        </w:rPr>
        <w:t xml:space="preserve">, 2010,  </w:t>
      </w:r>
      <w:r w:rsidRPr="00847BD5">
        <w:rPr>
          <w:i/>
          <w:lang w:val="id-ID"/>
        </w:rPr>
        <w:t>Keselamatan Kerja</w:t>
      </w:r>
      <w:r>
        <w:rPr>
          <w:lang w:val="id-ID"/>
        </w:rPr>
        <w:t>, NHIS., hal 25</w:t>
      </w:r>
    </w:p>
  </w:footnote>
  <w:footnote w:id="86">
    <w:p w:rsidR="00967E1A" w:rsidRPr="00847BD5" w:rsidRDefault="00967E1A" w:rsidP="00F855D9">
      <w:pPr>
        <w:pStyle w:val="FootnoteText"/>
        <w:jc w:val="both"/>
        <w:rPr>
          <w:lang w:val="id-ID"/>
        </w:rPr>
      </w:pPr>
      <w:r>
        <w:rPr>
          <w:rStyle w:val="FootnoteReference"/>
        </w:rPr>
        <w:footnoteRef/>
      </w:r>
      <w:r>
        <w:t xml:space="preserve"> </w:t>
      </w:r>
      <w:r w:rsidRPr="00847BD5">
        <w:t>Peraturan Presiden Nomor 8 Tahun 2012 tentang Kerangka Kualifikasi Nasional Indonesia (KKNI)</w:t>
      </w:r>
    </w:p>
  </w:footnote>
  <w:footnote w:id="87">
    <w:p w:rsidR="00967E1A" w:rsidRPr="009C075F" w:rsidRDefault="00967E1A" w:rsidP="00F855D9">
      <w:pPr>
        <w:pStyle w:val="FootnoteText"/>
        <w:jc w:val="both"/>
        <w:rPr>
          <w:lang w:val="id-ID"/>
        </w:rPr>
      </w:pPr>
      <w:r>
        <w:rPr>
          <w:rStyle w:val="FootnoteReference"/>
        </w:rPr>
        <w:footnoteRef/>
      </w:r>
      <w:r>
        <w:t xml:space="preserve"> Henny Pratiwi Adi, Siti Ummu Adillah,</w:t>
      </w:r>
      <w:r>
        <w:rPr>
          <w:lang w:val="id-ID"/>
        </w:rPr>
        <w:t xml:space="preserve"> 2010, </w:t>
      </w:r>
      <w:r>
        <w:t xml:space="preserve"> </w:t>
      </w:r>
      <w:r w:rsidRPr="009C075F">
        <w:rPr>
          <w:i/>
          <w:lang w:val="id-ID"/>
        </w:rPr>
        <w:t>Sertifikasi Tenaga Kerja Konstruksi Sebagai Unsur Pendukung Pembangunan Infrastruktur</w:t>
      </w:r>
      <w:r>
        <w:rPr>
          <w:lang w:val="id-ID"/>
        </w:rPr>
        <w:t xml:space="preserve">. Semarang  </w:t>
      </w:r>
      <w:r w:rsidRPr="009C075F">
        <w:rPr>
          <w:lang w:val="id-ID"/>
        </w:rPr>
        <w:t>Fakultas Teknik Universitas Islam Sultan Agung,</w:t>
      </w:r>
      <w:r>
        <w:rPr>
          <w:lang w:val="id-ID"/>
        </w:rPr>
        <w:t xml:space="preserve"> hal 3</w:t>
      </w:r>
    </w:p>
  </w:footnote>
  <w:footnote w:id="88">
    <w:p w:rsidR="00967E1A" w:rsidRPr="009C075F" w:rsidRDefault="00967E1A" w:rsidP="00F855D9">
      <w:pPr>
        <w:pStyle w:val="FootnoteText"/>
        <w:jc w:val="both"/>
        <w:rPr>
          <w:lang w:val="id-ID"/>
        </w:rPr>
      </w:pPr>
      <w:r>
        <w:rPr>
          <w:rStyle w:val="FootnoteReference"/>
        </w:rPr>
        <w:footnoteRef/>
      </w:r>
      <w:r>
        <w:t xml:space="preserve"> </w:t>
      </w:r>
      <w:r w:rsidRPr="009C075F">
        <w:t>Nursyirwan, Iwan,.</w:t>
      </w:r>
      <w:r>
        <w:rPr>
          <w:lang w:val="id-ID"/>
        </w:rPr>
        <w:t xml:space="preserve"> 2006,</w:t>
      </w:r>
      <w:r w:rsidRPr="009C075F">
        <w:t xml:space="preserve"> </w:t>
      </w:r>
      <w:r w:rsidRPr="009C075F">
        <w:rPr>
          <w:i/>
        </w:rPr>
        <w:t>Tenaga Kerja Konstruksi Indonesia Perlu Pengakuan</w:t>
      </w:r>
      <w:r w:rsidRPr="009C075F">
        <w:t>, Buletin BPKSDM Departemen Pekerjaan Umum Vol. 3</w:t>
      </w:r>
      <w:r>
        <w:rPr>
          <w:lang w:val="id-ID"/>
        </w:rPr>
        <w:t>, hal 11</w:t>
      </w:r>
    </w:p>
  </w:footnote>
  <w:footnote w:id="89">
    <w:p w:rsidR="00967E1A" w:rsidRPr="009C075F" w:rsidRDefault="00967E1A" w:rsidP="00F855D9">
      <w:pPr>
        <w:pStyle w:val="FootnoteText"/>
        <w:jc w:val="both"/>
        <w:rPr>
          <w:lang w:val="id-ID"/>
        </w:rPr>
      </w:pPr>
      <w:r>
        <w:rPr>
          <w:rStyle w:val="FootnoteReference"/>
        </w:rPr>
        <w:footnoteRef/>
      </w:r>
      <w:r>
        <w:t xml:space="preserve"> Cahyono, A.</w:t>
      </w:r>
      <w:r w:rsidRPr="009C075F">
        <w:t xml:space="preserve"> </w:t>
      </w:r>
      <w:r w:rsidRPr="009C075F">
        <w:rPr>
          <w:i/>
        </w:rPr>
        <w:t>Sertifikat Profesi,</w:t>
      </w:r>
      <w:r>
        <w:rPr>
          <w:i/>
          <w:lang w:val="id-ID"/>
        </w:rPr>
        <w:t xml:space="preserve"> 2005,</w:t>
      </w:r>
      <w:r w:rsidRPr="009C075F">
        <w:rPr>
          <w:i/>
        </w:rPr>
        <w:t xml:space="preserve"> Kebutuhan atau Sekedar Persyaratan</w:t>
      </w:r>
      <w:r w:rsidRPr="009C075F">
        <w:t>,</w:t>
      </w:r>
      <w:r>
        <w:rPr>
          <w:lang w:val="id-ID"/>
        </w:rPr>
        <w:t xml:space="preserve"> Semarang : </w:t>
      </w:r>
      <w:r w:rsidRPr="009C075F">
        <w:t xml:space="preserve"> Consulting Edisi 06/VIII/2005, </w:t>
      </w:r>
      <w:r>
        <w:rPr>
          <w:lang w:val="id-ID"/>
        </w:rPr>
        <w:t>hal 5</w:t>
      </w:r>
    </w:p>
  </w:footnote>
  <w:footnote w:id="90">
    <w:p w:rsidR="00967E1A" w:rsidRPr="002311DF" w:rsidRDefault="00967E1A" w:rsidP="00F855D9">
      <w:pPr>
        <w:pStyle w:val="FootnoteText"/>
        <w:rPr>
          <w:lang w:val="id-ID"/>
        </w:rPr>
      </w:pPr>
      <w:r>
        <w:rPr>
          <w:rStyle w:val="FootnoteReference"/>
        </w:rPr>
        <w:footnoteRef/>
      </w:r>
      <w:r>
        <w:t xml:space="preserve"> </w:t>
      </w:r>
      <w:r>
        <w:rPr>
          <w:lang w:val="id-ID"/>
        </w:rPr>
        <w:t xml:space="preserve">Nawir Messi, 2013,  </w:t>
      </w:r>
      <w:r w:rsidRPr="00290B5B">
        <w:rPr>
          <w:i/>
          <w:lang w:val="id-ID"/>
        </w:rPr>
        <w:t>Kompetisi Menuju Pasar Bebas ASEAN</w:t>
      </w:r>
      <w:r>
        <w:rPr>
          <w:lang w:val="id-ID"/>
        </w:rPr>
        <w:t>, Majalah Kompetisi Edisi 42, hal 5</w:t>
      </w:r>
    </w:p>
  </w:footnote>
  <w:footnote w:id="91">
    <w:p w:rsidR="00967E1A" w:rsidRPr="005A7B2A" w:rsidRDefault="00967E1A" w:rsidP="00F855D9">
      <w:pPr>
        <w:pStyle w:val="FootnoteText"/>
        <w:jc w:val="both"/>
        <w:rPr>
          <w:lang w:val="id-ID"/>
        </w:rPr>
      </w:pPr>
      <w:r>
        <w:rPr>
          <w:rStyle w:val="FootnoteReference"/>
        </w:rPr>
        <w:footnoteRef/>
      </w:r>
      <w:r>
        <w:t xml:space="preserve"> </w:t>
      </w:r>
      <w:r>
        <w:rPr>
          <w:lang w:val="id-ID"/>
        </w:rPr>
        <w:t xml:space="preserve">KemenPU, 2015, </w:t>
      </w:r>
      <w:r w:rsidRPr="00290B5B">
        <w:rPr>
          <w:i/>
          <w:lang w:val="id-ID"/>
        </w:rPr>
        <w:t>Recana strategis 2015 – 2019, 2015 Menjadi Pembina Konstruksi yang Berintegrasi Tinggi, Andal dan Kokoh</w:t>
      </w:r>
      <w:r>
        <w:rPr>
          <w:lang w:val="id-ID"/>
        </w:rPr>
        <w:t xml:space="preserve">, Jakarta : Direktorat Jendral Bina Konstruksi, hal 24 </w:t>
      </w:r>
    </w:p>
  </w:footnote>
  <w:footnote w:id="92">
    <w:p w:rsidR="00967E1A" w:rsidRPr="00783DDF" w:rsidRDefault="00967E1A" w:rsidP="00F855D9">
      <w:pPr>
        <w:pStyle w:val="FootnoteText"/>
        <w:rPr>
          <w:lang w:val="id-ID"/>
        </w:rPr>
      </w:pPr>
      <w:r>
        <w:rPr>
          <w:rStyle w:val="FootnoteReference"/>
        </w:rPr>
        <w:footnoteRef/>
      </w:r>
      <w:r>
        <w:t xml:space="preserve"> </w:t>
      </w:r>
      <w:r>
        <w:rPr>
          <w:lang w:val="id-ID"/>
        </w:rPr>
        <w:t>Ibid</w:t>
      </w:r>
    </w:p>
  </w:footnote>
  <w:footnote w:id="93">
    <w:p w:rsidR="00967E1A" w:rsidRPr="00BC02C9" w:rsidRDefault="00967E1A" w:rsidP="00F855D9">
      <w:pPr>
        <w:pStyle w:val="FootnoteText"/>
        <w:jc w:val="both"/>
        <w:rPr>
          <w:lang w:val="id-ID"/>
        </w:rPr>
      </w:pPr>
      <w:r>
        <w:rPr>
          <w:rStyle w:val="FootnoteReference"/>
        </w:rPr>
        <w:footnoteRef/>
      </w:r>
      <w:r>
        <w:t xml:space="preserve"> </w:t>
      </w:r>
      <w:r w:rsidRPr="00BC02C9">
        <w:t>Badan Pengkajian dan Kebijakan Kementerian Luar Negeri Republik Indonesia BPPK Kemenlu-RI,</w:t>
      </w:r>
      <w:r>
        <w:rPr>
          <w:lang w:val="id-ID"/>
        </w:rPr>
        <w:t xml:space="preserve"> 2008</w:t>
      </w:r>
      <w:r w:rsidRPr="00BC02C9">
        <w:t xml:space="preserve"> </w:t>
      </w:r>
      <w:r w:rsidRPr="00BC02C9">
        <w:rPr>
          <w:i/>
        </w:rPr>
        <w:t>AEC Blueprint: Tindak Lanjut dan Kesiapan Indonesia Menuju Implementasi AEC 2015</w:t>
      </w:r>
      <w:r>
        <w:rPr>
          <w:lang w:val="id-ID"/>
        </w:rPr>
        <w:t>.</w:t>
      </w:r>
      <w:r w:rsidRPr="00BC02C9">
        <w:t xml:space="preserve"> </w:t>
      </w:r>
      <w:r>
        <w:t xml:space="preserve">Jakarta: Sekretariat BPPK, </w:t>
      </w:r>
      <w:r>
        <w:rPr>
          <w:lang w:val="id-ID"/>
        </w:rPr>
        <w:t>hal 48.</w:t>
      </w:r>
    </w:p>
  </w:footnote>
  <w:footnote w:id="94">
    <w:p w:rsidR="00967E1A" w:rsidRPr="00A80396" w:rsidRDefault="00967E1A" w:rsidP="00F855D9">
      <w:pPr>
        <w:pStyle w:val="FootnoteText"/>
        <w:rPr>
          <w:lang w:val="id-ID"/>
        </w:rPr>
      </w:pPr>
      <w:r>
        <w:rPr>
          <w:rStyle w:val="FootnoteReference"/>
        </w:rPr>
        <w:footnoteRef/>
      </w:r>
      <w:r>
        <w:t xml:space="preserve"> </w:t>
      </w:r>
      <w:r>
        <w:rPr>
          <w:lang w:val="id-ID"/>
        </w:rPr>
        <w:t>Ibid</w:t>
      </w:r>
    </w:p>
  </w:footnote>
  <w:footnote w:id="95">
    <w:p w:rsidR="00967E1A" w:rsidRPr="00861BAA" w:rsidRDefault="00967E1A" w:rsidP="00F855D9">
      <w:pPr>
        <w:pStyle w:val="FootnoteText"/>
        <w:jc w:val="both"/>
        <w:rPr>
          <w:lang w:val="id-ID"/>
        </w:rPr>
      </w:pPr>
      <w:r>
        <w:rPr>
          <w:rStyle w:val="FootnoteReference"/>
        </w:rPr>
        <w:footnoteRef/>
      </w:r>
      <w:r>
        <w:t xml:space="preserve"> Krajewski, Markus</w:t>
      </w:r>
      <w:r>
        <w:rPr>
          <w:lang w:val="id-ID"/>
        </w:rPr>
        <w:t xml:space="preserve">. 2003, </w:t>
      </w:r>
      <w:r w:rsidRPr="00861BAA">
        <w:rPr>
          <w:i/>
        </w:rPr>
        <w:t>National Regulation and Trade Liberalization in Services</w:t>
      </w:r>
      <w:r>
        <w:t>. The Hague: Kluwer</w:t>
      </w:r>
      <w:r>
        <w:rPr>
          <w:lang w:val="id-ID"/>
        </w:rPr>
        <w:t xml:space="preserve"> </w:t>
      </w:r>
      <w:r>
        <w:t>Law International,</w:t>
      </w:r>
      <w:r>
        <w:rPr>
          <w:lang w:val="id-ID"/>
        </w:rPr>
        <w:t xml:space="preserve"> 2003, hal 137</w:t>
      </w:r>
    </w:p>
  </w:footnote>
  <w:footnote w:id="96">
    <w:p w:rsidR="00967E1A" w:rsidRPr="00861BAA" w:rsidRDefault="00967E1A" w:rsidP="00F855D9">
      <w:pPr>
        <w:pStyle w:val="FootnoteText"/>
        <w:jc w:val="both"/>
        <w:rPr>
          <w:lang w:val="id-ID"/>
        </w:rPr>
      </w:pPr>
      <w:r>
        <w:rPr>
          <w:rStyle w:val="FootnoteReference"/>
        </w:rPr>
        <w:footnoteRef/>
      </w:r>
      <w:r>
        <w:t xml:space="preserve"> </w:t>
      </w:r>
      <w:r>
        <w:rPr>
          <w:lang w:val="id-ID"/>
        </w:rPr>
        <w:t xml:space="preserve">Laporan Kerja Kementrian Perdagangan RI, 2016, </w:t>
      </w:r>
      <w:r w:rsidRPr="00861BAA">
        <w:rPr>
          <w:i/>
          <w:lang w:val="id-ID"/>
        </w:rPr>
        <w:t>Tantangan Internal dan Eksternal AFAS 2016</w:t>
      </w:r>
      <w:r>
        <w:rPr>
          <w:lang w:val="id-ID"/>
        </w:rPr>
        <w:t>. Jakarta : Kemendag, hal 28</w:t>
      </w:r>
    </w:p>
  </w:footnote>
  <w:footnote w:id="97">
    <w:p w:rsidR="00967E1A" w:rsidRPr="00203D3C" w:rsidRDefault="00967E1A" w:rsidP="00F855D9">
      <w:pPr>
        <w:pStyle w:val="FootnoteText"/>
        <w:rPr>
          <w:lang w:val="id-ID"/>
        </w:rPr>
      </w:pPr>
      <w:r>
        <w:rPr>
          <w:rStyle w:val="FootnoteReference"/>
        </w:rPr>
        <w:footnoteRef/>
      </w:r>
      <w:r>
        <w:t xml:space="preserve"> </w:t>
      </w:r>
      <w:r w:rsidRPr="00A70106">
        <w:rPr>
          <w:lang w:val="id-ID"/>
        </w:rPr>
        <w:t>Ibid</w:t>
      </w:r>
    </w:p>
  </w:footnote>
  <w:footnote w:id="98">
    <w:p w:rsidR="00967E1A" w:rsidRPr="00A80396" w:rsidRDefault="00967E1A" w:rsidP="00F855D9">
      <w:pPr>
        <w:pStyle w:val="FootnoteText"/>
        <w:rPr>
          <w:lang w:val="id-ID"/>
        </w:rPr>
      </w:pPr>
      <w:r>
        <w:rPr>
          <w:rStyle w:val="FootnoteReference"/>
        </w:rPr>
        <w:footnoteRef/>
      </w:r>
      <w:r>
        <w:t xml:space="preserve"> </w:t>
      </w:r>
      <w:r>
        <w:rPr>
          <w:lang w:val="id-ID"/>
        </w:rPr>
        <w:t xml:space="preserve">Buku Pedoman AEC Bluprint, 2015, </w:t>
      </w:r>
      <w:r w:rsidRPr="00A80396">
        <w:rPr>
          <w:i/>
          <w:lang w:val="id-ID"/>
        </w:rPr>
        <w:t>Asean Economi Comunity</w:t>
      </w:r>
      <w:r>
        <w:rPr>
          <w:lang w:val="id-ID"/>
        </w:rPr>
        <w:t>, AEC, hal 3</w:t>
      </w:r>
    </w:p>
  </w:footnote>
  <w:footnote w:id="99">
    <w:p w:rsidR="00967E1A" w:rsidRPr="00732E68" w:rsidRDefault="00967E1A" w:rsidP="00F855D9">
      <w:pPr>
        <w:pStyle w:val="FootnoteText"/>
        <w:rPr>
          <w:lang w:val="id-ID"/>
        </w:rPr>
      </w:pPr>
      <w:r>
        <w:rPr>
          <w:rStyle w:val="FootnoteReference"/>
        </w:rPr>
        <w:footnoteRef/>
      </w:r>
      <w:r>
        <w:t xml:space="preserve"> </w:t>
      </w:r>
      <w:r>
        <w:rPr>
          <w:lang w:val="id-ID"/>
        </w:rPr>
        <w:t xml:space="preserve">Secretariat ASEAN, 2016, </w:t>
      </w:r>
      <w:r w:rsidRPr="00732E68">
        <w:rPr>
          <w:i/>
          <w:lang w:val="id-ID"/>
        </w:rPr>
        <w:t>ASEAN Invesment Report 2016</w:t>
      </w:r>
      <w:r>
        <w:rPr>
          <w:lang w:val="id-ID"/>
        </w:rPr>
        <w:t>, Jakarta, hal 32</w:t>
      </w:r>
    </w:p>
  </w:footnote>
  <w:footnote w:id="100">
    <w:p w:rsidR="00967E1A" w:rsidRPr="005338EC" w:rsidRDefault="00967E1A" w:rsidP="00F855D9">
      <w:pPr>
        <w:pStyle w:val="FootnoteText"/>
        <w:rPr>
          <w:lang w:val="id-ID"/>
        </w:rPr>
      </w:pPr>
      <w:r>
        <w:rPr>
          <w:rStyle w:val="FootnoteReference"/>
        </w:rPr>
        <w:footnoteRef/>
      </w:r>
      <w:r>
        <w:t xml:space="preserve"> </w:t>
      </w:r>
      <w:r w:rsidRPr="005338EC">
        <w:t>Peraturan Pemerintah No. 24 Tahun 1994</w:t>
      </w:r>
      <w:r>
        <w:rPr>
          <w:lang w:val="id-ID"/>
        </w:rPr>
        <w:t xml:space="preserve"> Tentang Penambahan Penyertaan Modal</w:t>
      </w:r>
    </w:p>
  </w:footnote>
  <w:footnote w:id="101">
    <w:p w:rsidR="00967E1A" w:rsidRPr="001F1201" w:rsidRDefault="00967E1A" w:rsidP="00F855D9">
      <w:pPr>
        <w:pStyle w:val="FootnoteText"/>
        <w:rPr>
          <w:lang w:val="id-ID"/>
        </w:rPr>
      </w:pPr>
      <w:r>
        <w:rPr>
          <w:rStyle w:val="FootnoteReference"/>
        </w:rPr>
        <w:footnoteRef/>
      </w:r>
      <w:r>
        <w:t xml:space="preserve"> </w:t>
      </w:r>
      <w:r>
        <w:rPr>
          <w:lang w:val="id-ID"/>
        </w:rPr>
        <w:t xml:space="preserve">Laporan Kerja Kementrian Perdagangan RI. </w:t>
      </w:r>
      <w:r w:rsidRPr="00861BAA">
        <w:rPr>
          <w:i/>
          <w:lang w:val="id-ID"/>
        </w:rPr>
        <w:t>Tantangan Internal dan Eksternal AFAS 2016</w:t>
      </w:r>
      <w:r>
        <w:rPr>
          <w:lang w:val="id-ID"/>
        </w:rPr>
        <w:t>. Jakarta : 2016. Hal 56</w:t>
      </w:r>
    </w:p>
  </w:footnote>
  <w:footnote w:id="102">
    <w:p w:rsidR="00967E1A" w:rsidRPr="00641A71" w:rsidRDefault="00967E1A" w:rsidP="00F855D9">
      <w:pPr>
        <w:pStyle w:val="FootnoteText"/>
        <w:rPr>
          <w:lang w:val="id-ID"/>
        </w:rPr>
      </w:pPr>
      <w:r>
        <w:rPr>
          <w:rStyle w:val="FootnoteReference"/>
        </w:rPr>
        <w:footnoteRef/>
      </w:r>
      <w:r>
        <w:t xml:space="preserve"> </w:t>
      </w:r>
      <w:r>
        <w:rPr>
          <w:lang w:val="id-ID"/>
        </w:rPr>
        <w:t xml:space="preserve">Badan Pusat Statistik, 2016, </w:t>
      </w:r>
      <w:r w:rsidRPr="00A70106">
        <w:rPr>
          <w:i/>
          <w:lang w:val="id-ID"/>
        </w:rPr>
        <w:t>Rasio Pendidikan Angkatan Keraja Nasional Tahun 2016</w:t>
      </w:r>
      <w:r>
        <w:rPr>
          <w:lang w:val="id-ID"/>
        </w:rPr>
        <w:t>, BPS, hal 35</w:t>
      </w:r>
    </w:p>
  </w:footnote>
  <w:footnote w:id="103">
    <w:p w:rsidR="00967E1A" w:rsidRPr="003C7F68" w:rsidRDefault="00967E1A" w:rsidP="00F855D9">
      <w:pPr>
        <w:pStyle w:val="FootnoteText"/>
        <w:rPr>
          <w:lang w:val="id-ID"/>
        </w:rPr>
      </w:pPr>
      <w:r>
        <w:rPr>
          <w:rStyle w:val="FootnoteReference"/>
        </w:rPr>
        <w:footnoteRef/>
      </w:r>
      <w:r>
        <w:t xml:space="preserve"> </w:t>
      </w:r>
      <w:r>
        <w:rPr>
          <w:lang w:val="id-ID"/>
        </w:rPr>
        <w:t>Ibid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1012"/>
    <w:multiLevelType w:val="hybridMultilevel"/>
    <w:tmpl w:val="0242F49A"/>
    <w:lvl w:ilvl="0" w:tplc="1A323F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1C63B83"/>
    <w:multiLevelType w:val="hybridMultilevel"/>
    <w:tmpl w:val="F97819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081C64"/>
    <w:multiLevelType w:val="hybridMultilevel"/>
    <w:tmpl w:val="46EA1070"/>
    <w:lvl w:ilvl="0" w:tplc="02224DBA">
      <w:start w:val="1"/>
      <w:numFmt w:val="decimal"/>
      <w:lvlText w:val="%1.)"/>
      <w:lvlJc w:val="left"/>
      <w:pPr>
        <w:ind w:left="1379" w:hanging="375"/>
      </w:pPr>
      <w:rPr>
        <w:rFonts w:hint="default"/>
      </w:rPr>
    </w:lvl>
    <w:lvl w:ilvl="1" w:tplc="57BAE072">
      <w:start w:val="1"/>
      <w:numFmt w:val="lowerLetter"/>
      <w:lvlText w:val="%2."/>
      <w:lvlJc w:val="left"/>
      <w:pPr>
        <w:ind w:left="2084" w:hanging="360"/>
      </w:pPr>
      <w:rPr>
        <w:rFonts w:hint="default"/>
      </w:r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3">
    <w:nsid w:val="02603B10"/>
    <w:multiLevelType w:val="hybridMultilevel"/>
    <w:tmpl w:val="1C347BD4"/>
    <w:lvl w:ilvl="0" w:tplc="6868C30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2E83ADD"/>
    <w:multiLevelType w:val="hybridMultilevel"/>
    <w:tmpl w:val="3F1C7080"/>
    <w:lvl w:ilvl="0" w:tplc="376A4B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46F4F4A"/>
    <w:multiLevelType w:val="hybridMultilevel"/>
    <w:tmpl w:val="3D24DED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6DE1320"/>
    <w:multiLevelType w:val="hybridMultilevel"/>
    <w:tmpl w:val="E3F61474"/>
    <w:lvl w:ilvl="0" w:tplc="0421000F">
      <w:start w:val="1"/>
      <w:numFmt w:val="decimal"/>
      <w:lvlText w:val="%1."/>
      <w:lvlJc w:val="left"/>
      <w:pPr>
        <w:ind w:left="720" w:hanging="360"/>
      </w:pPr>
    </w:lvl>
    <w:lvl w:ilvl="1" w:tplc="C0BA14A2">
      <w:start w:val="1"/>
      <w:numFmt w:val="decimal"/>
      <w:lvlText w:val="%2."/>
      <w:lvlJc w:val="left"/>
      <w:pPr>
        <w:ind w:left="1440" w:hanging="360"/>
      </w:pPr>
      <w:rPr>
        <w:rFonts w:hint="default"/>
        <w:b/>
        <w:color w:val="auto"/>
      </w:rPr>
    </w:lvl>
    <w:lvl w:ilvl="2" w:tplc="F5C643A6">
      <w:start w:val="1"/>
      <w:numFmt w:val="lowerLetter"/>
      <w:lvlText w:val="%3."/>
      <w:lvlJc w:val="left"/>
      <w:pPr>
        <w:ind w:left="2340" w:hanging="360"/>
      </w:pPr>
      <w:rPr>
        <w:rFonts w:hint="default"/>
        <w:b/>
      </w:rPr>
    </w:lvl>
    <w:lvl w:ilvl="3" w:tplc="355A1D9C">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6EB1BF9"/>
    <w:multiLevelType w:val="hybridMultilevel"/>
    <w:tmpl w:val="2506BB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7F9100B"/>
    <w:multiLevelType w:val="hybridMultilevel"/>
    <w:tmpl w:val="2C3EBA3C"/>
    <w:lvl w:ilvl="0" w:tplc="04210019">
      <w:start w:val="1"/>
      <w:numFmt w:val="lowerLetter"/>
      <w:lvlText w:val="%1."/>
      <w:lvlJc w:val="left"/>
      <w:pPr>
        <w:ind w:left="720" w:hanging="360"/>
      </w:pPr>
      <w:rPr>
        <w:rFonts w:hint="default"/>
      </w:rPr>
    </w:lvl>
    <w:lvl w:ilvl="1" w:tplc="CD049104">
      <w:start w:val="1"/>
      <w:numFmt w:val="decimal"/>
      <w:lvlText w:val="(%2)"/>
      <w:lvlJc w:val="right"/>
      <w:pPr>
        <w:ind w:left="1500" w:hanging="420"/>
      </w:pPr>
      <w:rPr>
        <w:rFonts w:ascii="Times New Roman" w:eastAsia="PMingLiU"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8C3535E"/>
    <w:multiLevelType w:val="hybridMultilevel"/>
    <w:tmpl w:val="C07CD6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982035E"/>
    <w:multiLevelType w:val="hybridMultilevel"/>
    <w:tmpl w:val="1B1EB9F0"/>
    <w:lvl w:ilvl="0" w:tplc="C6368F98">
      <w:start w:val="1"/>
      <w:numFmt w:val="lowerLetter"/>
      <w:lvlText w:val="%1."/>
      <w:lvlJc w:val="left"/>
      <w:pPr>
        <w:ind w:left="1429" w:hanging="360"/>
      </w:pPr>
      <w:rPr>
        <w:rFonts w:ascii="Times New Roman" w:eastAsia="PMingLiU" w:hAnsi="Times New Roman" w:cs="Times New Roman"/>
      </w:r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
    <w:nsid w:val="09D85539"/>
    <w:multiLevelType w:val="hybridMultilevel"/>
    <w:tmpl w:val="1AF23E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CA26081"/>
    <w:multiLevelType w:val="hybridMultilevel"/>
    <w:tmpl w:val="5FDC01BC"/>
    <w:lvl w:ilvl="0" w:tplc="886637A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EC96EA3"/>
    <w:multiLevelType w:val="hybridMultilevel"/>
    <w:tmpl w:val="677C8632"/>
    <w:lvl w:ilvl="0" w:tplc="7FE61724">
      <w:start w:val="2"/>
      <w:numFmt w:val="lowerLetter"/>
      <w:lvlText w:val="%1."/>
      <w:lvlJc w:val="left"/>
      <w:pPr>
        <w:ind w:left="208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F722A0C"/>
    <w:multiLevelType w:val="hybridMultilevel"/>
    <w:tmpl w:val="43D25AAC"/>
    <w:lvl w:ilvl="0" w:tplc="04210011">
      <w:start w:val="1"/>
      <w:numFmt w:val="decimal"/>
      <w:lvlText w:val="%1)"/>
      <w:lvlJc w:val="left"/>
      <w:pPr>
        <w:ind w:left="2160" w:hanging="360"/>
      </w:pPr>
    </w:lvl>
    <w:lvl w:ilvl="1" w:tplc="684A39E6">
      <w:start w:val="1"/>
      <w:numFmt w:val="decimal"/>
      <w:lvlText w:val="%2.)"/>
      <w:lvlJc w:val="left"/>
      <w:pPr>
        <w:ind w:left="2880" w:hanging="360"/>
      </w:pPr>
      <w:rPr>
        <w:rFonts w:ascii="Times New Roman" w:eastAsia="PMingLiU" w:hAnsi="Times New Roman" w:cs="Times New Roman"/>
      </w:rPr>
    </w:lvl>
    <w:lvl w:ilvl="2" w:tplc="DC32E326">
      <w:start w:val="1"/>
      <w:numFmt w:val="lowerLetter"/>
      <w:lvlText w:val="%3."/>
      <w:lvlJc w:val="left"/>
      <w:pPr>
        <w:ind w:left="3780" w:hanging="360"/>
      </w:pPr>
      <w:rPr>
        <w:rFonts w:hint="default"/>
      </w:r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nsid w:val="11C31907"/>
    <w:multiLevelType w:val="hybridMultilevel"/>
    <w:tmpl w:val="CD86484A"/>
    <w:lvl w:ilvl="0" w:tplc="355A1D9C">
      <w:start w:val="1"/>
      <w:numFmt w:val="decimal"/>
      <w:lvlText w:val="%1.)"/>
      <w:lvlJc w:val="left"/>
      <w:pPr>
        <w:ind w:left="1440" w:hanging="360"/>
      </w:pPr>
      <w:rPr>
        <w:rFonts w:hint="default"/>
      </w:rPr>
    </w:lvl>
    <w:lvl w:ilvl="1" w:tplc="355A1D9C">
      <w:start w:val="1"/>
      <w:numFmt w:val="decimal"/>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13857D51"/>
    <w:multiLevelType w:val="hybridMultilevel"/>
    <w:tmpl w:val="CD3AE454"/>
    <w:lvl w:ilvl="0" w:tplc="0421000F">
      <w:start w:val="1"/>
      <w:numFmt w:val="decimal"/>
      <w:lvlText w:val="%1."/>
      <w:lvlJc w:val="left"/>
      <w:pPr>
        <w:ind w:left="2160" w:hanging="360"/>
      </w:pPr>
    </w:lvl>
    <w:lvl w:ilvl="1" w:tplc="04210019">
      <w:start w:val="1"/>
      <w:numFmt w:val="lowerLetter"/>
      <w:lvlText w:val="%2."/>
      <w:lvlJc w:val="left"/>
      <w:pPr>
        <w:ind w:left="2880" w:hanging="360"/>
      </w:pPr>
      <w:rPr>
        <w:i/>
      </w:rPr>
    </w:lvl>
    <w:lvl w:ilvl="2" w:tplc="987682FA">
      <w:start w:val="1"/>
      <w:numFmt w:val="lowerLetter"/>
      <w:lvlText w:val="%3."/>
      <w:lvlJc w:val="left"/>
      <w:pPr>
        <w:ind w:left="3600" w:hanging="180"/>
      </w:pPr>
      <w:rPr>
        <w:rFonts w:hint="default"/>
      </w:rPr>
    </w:lvl>
    <w:lvl w:ilvl="3" w:tplc="231A039E">
      <w:start w:val="1"/>
      <w:numFmt w:val="lowerLetter"/>
      <w:lvlText w:val="%4."/>
      <w:lvlJc w:val="left"/>
      <w:pPr>
        <w:ind w:left="4320" w:hanging="360"/>
      </w:pPr>
      <w:rPr>
        <w:rFonts w:hint="default"/>
      </w:rPr>
    </w:lvl>
    <w:lvl w:ilvl="4" w:tplc="FFBA09C0">
      <w:start w:val="1"/>
      <w:numFmt w:val="lowerLetter"/>
      <w:lvlText w:val="%5.)"/>
      <w:lvlJc w:val="left"/>
      <w:pPr>
        <w:ind w:left="5040" w:hanging="360"/>
      </w:pPr>
      <w:rPr>
        <w:rFonts w:hint="default"/>
        <w:i/>
      </w:rPr>
    </w:lvl>
    <w:lvl w:ilvl="5" w:tplc="CCC88BBA">
      <w:start w:val="1"/>
      <w:numFmt w:val="decimal"/>
      <w:lvlText w:val="(%6)"/>
      <w:lvlJc w:val="left"/>
      <w:pPr>
        <w:ind w:left="5940" w:hanging="360"/>
      </w:pPr>
      <w:rPr>
        <w:rFonts w:hint="default"/>
      </w:r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
    <w:nsid w:val="17264CCD"/>
    <w:multiLevelType w:val="hybridMultilevel"/>
    <w:tmpl w:val="0FC8BA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7B360A7"/>
    <w:multiLevelType w:val="hybridMultilevel"/>
    <w:tmpl w:val="5818F580"/>
    <w:lvl w:ilvl="0" w:tplc="4204089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7D6209E"/>
    <w:multiLevelType w:val="hybridMultilevel"/>
    <w:tmpl w:val="F8902F40"/>
    <w:lvl w:ilvl="0" w:tplc="04210019">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1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20">
    <w:nsid w:val="183027A6"/>
    <w:multiLevelType w:val="hybridMultilevel"/>
    <w:tmpl w:val="22404F84"/>
    <w:lvl w:ilvl="0" w:tplc="03AC5E18">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1">
    <w:nsid w:val="18C73ED8"/>
    <w:multiLevelType w:val="hybridMultilevel"/>
    <w:tmpl w:val="5FB8789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nsid w:val="18D72687"/>
    <w:multiLevelType w:val="hybridMultilevel"/>
    <w:tmpl w:val="24F2D9E0"/>
    <w:lvl w:ilvl="0" w:tplc="C02E2DD8">
      <w:start w:val="1"/>
      <w:numFmt w:val="decimal"/>
      <w:lvlText w:val="%1."/>
      <w:lvlJc w:val="left"/>
      <w:pPr>
        <w:ind w:left="2509" w:hanging="360"/>
      </w:pPr>
      <w:rPr>
        <w:rFonts w:hint="default"/>
      </w:rPr>
    </w:lvl>
    <w:lvl w:ilvl="1" w:tplc="04210019" w:tentative="1">
      <w:start w:val="1"/>
      <w:numFmt w:val="lowerLetter"/>
      <w:lvlText w:val="%2."/>
      <w:lvlJc w:val="left"/>
      <w:pPr>
        <w:ind w:left="3229" w:hanging="360"/>
      </w:pPr>
    </w:lvl>
    <w:lvl w:ilvl="2" w:tplc="0421001B" w:tentative="1">
      <w:start w:val="1"/>
      <w:numFmt w:val="lowerRoman"/>
      <w:lvlText w:val="%3."/>
      <w:lvlJc w:val="right"/>
      <w:pPr>
        <w:ind w:left="3949" w:hanging="180"/>
      </w:pPr>
    </w:lvl>
    <w:lvl w:ilvl="3" w:tplc="0421000F" w:tentative="1">
      <w:start w:val="1"/>
      <w:numFmt w:val="decimal"/>
      <w:lvlText w:val="%4."/>
      <w:lvlJc w:val="left"/>
      <w:pPr>
        <w:ind w:left="4669" w:hanging="360"/>
      </w:pPr>
    </w:lvl>
    <w:lvl w:ilvl="4" w:tplc="04210019" w:tentative="1">
      <w:start w:val="1"/>
      <w:numFmt w:val="lowerLetter"/>
      <w:lvlText w:val="%5."/>
      <w:lvlJc w:val="left"/>
      <w:pPr>
        <w:ind w:left="5389" w:hanging="360"/>
      </w:pPr>
    </w:lvl>
    <w:lvl w:ilvl="5" w:tplc="0421001B" w:tentative="1">
      <w:start w:val="1"/>
      <w:numFmt w:val="lowerRoman"/>
      <w:lvlText w:val="%6."/>
      <w:lvlJc w:val="right"/>
      <w:pPr>
        <w:ind w:left="6109" w:hanging="180"/>
      </w:pPr>
    </w:lvl>
    <w:lvl w:ilvl="6" w:tplc="0421000F" w:tentative="1">
      <w:start w:val="1"/>
      <w:numFmt w:val="decimal"/>
      <w:lvlText w:val="%7."/>
      <w:lvlJc w:val="left"/>
      <w:pPr>
        <w:ind w:left="6829" w:hanging="360"/>
      </w:pPr>
    </w:lvl>
    <w:lvl w:ilvl="7" w:tplc="04210019" w:tentative="1">
      <w:start w:val="1"/>
      <w:numFmt w:val="lowerLetter"/>
      <w:lvlText w:val="%8."/>
      <w:lvlJc w:val="left"/>
      <w:pPr>
        <w:ind w:left="7549" w:hanging="360"/>
      </w:pPr>
    </w:lvl>
    <w:lvl w:ilvl="8" w:tplc="0421001B" w:tentative="1">
      <w:start w:val="1"/>
      <w:numFmt w:val="lowerRoman"/>
      <w:lvlText w:val="%9."/>
      <w:lvlJc w:val="right"/>
      <w:pPr>
        <w:ind w:left="8269" w:hanging="180"/>
      </w:pPr>
    </w:lvl>
  </w:abstractNum>
  <w:abstractNum w:abstractNumId="23">
    <w:nsid w:val="198377DF"/>
    <w:multiLevelType w:val="hybridMultilevel"/>
    <w:tmpl w:val="E60CFB6A"/>
    <w:lvl w:ilvl="0" w:tplc="7D22E11E">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4">
    <w:nsid w:val="1ABF3F5B"/>
    <w:multiLevelType w:val="hybridMultilevel"/>
    <w:tmpl w:val="AB1CE7C4"/>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5">
    <w:nsid w:val="1BE255A0"/>
    <w:multiLevelType w:val="hybridMultilevel"/>
    <w:tmpl w:val="3BFECDC8"/>
    <w:lvl w:ilvl="0" w:tplc="9C304586">
      <w:start w:val="1"/>
      <w:numFmt w:val="upperLetter"/>
      <w:lvlText w:val="%1."/>
      <w:lvlJc w:val="left"/>
      <w:pPr>
        <w:ind w:left="360" w:hanging="360"/>
      </w:pPr>
      <w:rPr>
        <w:rFonts w:hint="default"/>
        <w:b/>
        <w:bCs w:val="0"/>
        <w:color w:val="000000" w:themeColor="text1"/>
      </w:rPr>
    </w:lvl>
    <w:lvl w:ilvl="1" w:tplc="0E24C836">
      <w:start w:val="1"/>
      <w:numFmt w:val="decimal"/>
      <w:lvlText w:val="%2."/>
      <w:lvlJc w:val="left"/>
      <w:pPr>
        <w:ind w:left="1485" w:hanging="40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D7253B9"/>
    <w:multiLevelType w:val="hybridMultilevel"/>
    <w:tmpl w:val="CEF64800"/>
    <w:lvl w:ilvl="0" w:tplc="2C621F7E">
      <w:start w:val="1"/>
      <w:numFmt w:val="decimal"/>
      <w:lvlText w:val="%1.)"/>
      <w:lvlJc w:val="left"/>
      <w:pPr>
        <w:ind w:left="1778" w:hanging="360"/>
      </w:pPr>
      <w:rPr>
        <w:rFonts w:ascii="Times New Roman" w:eastAsia="PMingLiU" w:hAnsi="Times New Roman" w:cs="Times New Roman"/>
      </w:rPr>
    </w:lvl>
    <w:lvl w:ilvl="1" w:tplc="04210011">
      <w:start w:val="1"/>
      <w:numFmt w:val="decimal"/>
      <w:lvlText w:val="%2)"/>
      <w:lvlJc w:val="left"/>
      <w:pPr>
        <w:ind w:left="2498" w:hanging="360"/>
      </w:pPr>
      <w:rPr>
        <w:rFonts w:hint="default"/>
      </w:r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8B8883A2">
      <w:start w:val="1"/>
      <w:numFmt w:val="decimal"/>
      <w:lvlText w:val="(%6)"/>
      <w:lvlJc w:val="left"/>
      <w:pPr>
        <w:ind w:left="5378" w:hanging="180"/>
      </w:pPr>
      <w:rPr>
        <w:rFonts w:ascii="Times New Roman" w:eastAsia="PMingLiU" w:hAnsi="Times New Roman" w:cs="Times New Roman"/>
      </w:r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7">
    <w:nsid w:val="1E8641D1"/>
    <w:multiLevelType w:val="hybridMultilevel"/>
    <w:tmpl w:val="31D42054"/>
    <w:lvl w:ilvl="0" w:tplc="121E565A">
      <w:start w:val="1"/>
      <w:numFmt w:val="decimal"/>
      <w:lvlText w:val="(%1)"/>
      <w:lvlJc w:val="left"/>
      <w:pPr>
        <w:ind w:left="734" w:hanging="45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1ED33C72"/>
    <w:multiLevelType w:val="hybridMultilevel"/>
    <w:tmpl w:val="5DC278D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F3E55B3"/>
    <w:multiLevelType w:val="hybridMultilevel"/>
    <w:tmpl w:val="4BC8853C"/>
    <w:lvl w:ilvl="0" w:tplc="04210019">
      <w:start w:val="1"/>
      <w:numFmt w:val="lowerLetter"/>
      <w:lvlText w:val="%1."/>
      <w:lvlJc w:val="left"/>
      <w:pPr>
        <w:ind w:left="3780" w:hanging="360"/>
      </w:pPr>
    </w:lvl>
    <w:lvl w:ilvl="1" w:tplc="04210019" w:tentative="1">
      <w:start w:val="1"/>
      <w:numFmt w:val="lowerLetter"/>
      <w:lvlText w:val="%2."/>
      <w:lvlJc w:val="left"/>
      <w:pPr>
        <w:ind w:left="4500" w:hanging="360"/>
      </w:pPr>
    </w:lvl>
    <w:lvl w:ilvl="2" w:tplc="0421001B" w:tentative="1">
      <w:start w:val="1"/>
      <w:numFmt w:val="lowerRoman"/>
      <w:lvlText w:val="%3."/>
      <w:lvlJc w:val="right"/>
      <w:pPr>
        <w:ind w:left="5220" w:hanging="180"/>
      </w:pPr>
    </w:lvl>
    <w:lvl w:ilvl="3" w:tplc="0421000F" w:tentative="1">
      <w:start w:val="1"/>
      <w:numFmt w:val="decimal"/>
      <w:lvlText w:val="%4."/>
      <w:lvlJc w:val="left"/>
      <w:pPr>
        <w:ind w:left="5940" w:hanging="360"/>
      </w:pPr>
    </w:lvl>
    <w:lvl w:ilvl="4" w:tplc="04210019" w:tentative="1">
      <w:start w:val="1"/>
      <w:numFmt w:val="lowerLetter"/>
      <w:lvlText w:val="%5."/>
      <w:lvlJc w:val="left"/>
      <w:pPr>
        <w:ind w:left="6660" w:hanging="360"/>
      </w:pPr>
    </w:lvl>
    <w:lvl w:ilvl="5" w:tplc="0421001B" w:tentative="1">
      <w:start w:val="1"/>
      <w:numFmt w:val="lowerRoman"/>
      <w:lvlText w:val="%6."/>
      <w:lvlJc w:val="right"/>
      <w:pPr>
        <w:ind w:left="7380" w:hanging="180"/>
      </w:pPr>
    </w:lvl>
    <w:lvl w:ilvl="6" w:tplc="0421000F" w:tentative="1">
      <w:start w:val="1"/>
      <w:numFmt w:val="decimal"/>
      <w:lvlText w:val="%7."/>
      <w:lvlJc w:val="left"/>
      <w:pPr>
        <w:ind w:left="8100" w:hanging="360"/>
      </w:pPr>
    </w:lvl>
    <w:lvl w:ilvl="7" w:tplc="04210019" w:tentative="1">
      <w:start w:val="1"/>
      <w:numFmt w:val="lowerLetter"/>
      <w:lvlText w:val="%8."/>
      <w:lvlJc w:val="left"/>
      <w:pPr>
        <w:ind w:left="8820" w:hanging="360"/>
      </w:pPr>
    </w:lvl>
    <w:lvl w:ilvl="8" w:tplc="0421001B" w:tentative="1">
      <w:start w:val="1"/>
      <w:numFmt w:val="lowerRoman"/>
      <w:lvlText w:val="%9."/>
      <w:lvlJc w:val="right"/>
      <w:pPr>
        <w:ind w:left="9540" w:hanging="180"/>
      </w:pPr>
    </w:lvl>
  </w:abstractNum>
  <w:abstractNum w:abstractNumId="30">
    <w:nsid w:val="217E2001"/>
    <w:multiLevelType w:val="hybridMultilevel"/>
    <w:tmpl w:val="F87E8822"/>
    <w:lvl w:ilvl="0" w:tplc="0AC6C40C">
      <w:start w:val="1"/>
      <w:numFmt w:val="decimal"/>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CD049104">
      <w:start w:val="1"/>
      <w:numFmt w:val="decimal"/>
      <w:lvlText w:val="(%6)"/>
      <w:lvlJc w:val="right"/>
      <w:pPr>
        <w:ind w:left="4320" w:hanging="180"/>
      </w:pPr>
      <w:rPr>
        <w:rFonts w:ascii="Times New Roman" w:eastAsia="PMingLiU" w:hAnsi="Times New Roman" w:cs="Times New Roman"/>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19E6F24"/>
    <w:multiLevelType w:val="hybridMultilevel"/>
    <w:tmpl w:val="85048E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9F42B01"/>
    <w:multiLevelType w:val="multilevel"/>
    <w:tmpl w:val="DACC44F2"/>
    <w:lvl w:ilvl="0">
      <w:start w:val="1"/>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abstractNum w:abstractNumId="33">
    <w:nsid w:val="2DEE46D6"/>
    <w:multiLevelType w:val="hybridMultilevel"/>
    <w:tmpl w:val="D8527080"/>
    <w:lvl w:ilvl="0" w:tplc="04210019">
      <w:start w:val="1"/>
      <w:numFmt w:val="lowerLetter"/>
      <w:lvlText w:val="%1."/>
      <w:lvlJc w:val="left"/>
      <w:pPr>
        <w:ind w:left="2160" w:hanging="360"/>
      </w:pPr>
    </w:lvl>
    <w:lvl w:ilvl="1" w:tplc="04210019">
      <w:start w:val="1"/>
      <w:numFmt w:val="lowerLetter"/>
      <w:lvlText w:val="%2."/>
      <w:lvlJc w:val="left"/>
      <w:pPr>
        <w:ind w:left="2880" w:hanging="360"/>
      </w:pPr>
    </w:lvl>
    <w:lvl w:ilvl="2" w:tplc="48288248">
      <w:start w:val="1"/>
      <w:numFmt w:val="decimal"/>
      <w:lvlText w:val="(%3)"/>
      <w:lvlJc w:val="left"/>
      <w:pPr>
        <w:ind w:left="3780" w:hanging="360"/>
      </w:pPr>
      <w:rPr>
        <w:rFonts w:ascii="Times New Roman" w:eastAsia="PMingLiU" w:hAnsi="Times New Roman" w:cs="Times New Roman"/>
      </w:r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4">
    <w:nsid w:val="30BE1FF6"/>
    <w:multiLevelType w:val="hybridMultilevel"/>
    <w:tmpl w:val="D26856D6"/>
    <w:lvl w:ilvl="0" w:tplc="04210019">
      <w:start w:val="1"/>
      <w:numFmt w:val="lowerLetter"/>
      <w:lvlText w:val="%1."/>
      <w:lvlJc w:val="left"/>
      <w:pPr>
        <w:ind w:left="1494" w:hanging="360"/>
      </w:pPr>
      <w:rPr>
        <w:rFonts w:hint="default"/>
        <w:i/>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5">
    <w:nsid w:val="32390179"/>
    <w:multiLevelType w:val="hybridMultilevel"/>
    <w:tmpl w:val="36C0D7E6"/>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rPr>
        <w:rFonts w:hint="default"/>
        <w:b w:val="0"/>
      </w:rPr>
    </w:lvl>
    <w:lvl w:ilvl="2" w:tplc="0421001B" w:tentative="1">
      <w:start w:val="1"/>
      <w:numFmt w:val="lowerRoman"/>
      <w:lvlText w:val="%3."/>
      <w:lvlJc w:val="right"/>
      <w:pPr>
        <w:ind w:left="2160" w:hanging="180"/>
      </w:pPr>
    </w:lvl>
    <w:lvl w:ilvl="3" w:tplc="04210019">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296576B"/>
    <w:multiLevelType w:val="hybridMultilevel"/>
    <w:tmpl w:val="E286C904"/>
    <w:lvl w:ilvl="0" w:tplc="6406A8E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4264947"/>
    <w:multiLevelType w:val="hybridMultilevel"/>
    <w:tmpl w:val="42481312"/>
    <w:lvl w:ilvl="0" w:tplc="20DE25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4DE5CB3"/>
    <w:multiLevelType w:val="hybridMultilevel"/>
    <w:tmpl w:val="8400547A"/>
    <w:lvl w:ilvl="0" w:tplc="1FD8206E">
      <w:start w:val="1"/>
      <w:numFmt w:val="decimal"/>
      <w:lvlText w:val="(%1)"/>
      <w:lvlJc w:val="left"/>
      <w:pPr>
        <w:ind w:left="720" w:hanging="360"/>
      </w:pPr>
      <w:rPr>
        <w:rFonts w:hint="default"/>
      </w:rPr>
    </w:lvl>
    <w:lvl w:ilvl="1" w:tplc="4A3E9836">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61B64CD"/>
    <w:multiLevelType w:val="hybridMultilevel"/>
    <w:tmpl w:val="53E87AD8"/>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4CF84412">
      <w:start w:val="1"/>
      <w:numFmt w:val="decimal"/>
      <w:lvlText w:val="(%6)"/>
      <w:lvlJc w:val="left"/>
      <w:pPr>
        <w:ind w:left="1173" w:hanging="180"/>
      </w:pPr>
      <w:rPr>
        <w:rFonts w:ascii="Times New Roman" w:eastAsia="PMingLiU" w:hAnsi="Times New Roman" w:cs="Times New Roman"/>
      </w:r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0">
    <w:nsid w:val="368B4365"/>
    <w:multiLevelType w:val="hybridMultilevel"/>
    <w:tmpl w:val="4AA2A560"/>
    <w:lvl w:ilvl="0" w:tplc="DE366F9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36DC5C49"/>
    <w:multiLevelType w:val="hybridMultilevel"/>
    <w:tmpl w:val="28C4584A"/>
    <w:lvl w:ilvl="0" w:tplc="93D86128">
      <w:start w:val="1"/>
      <w:numFmt w:val="lowerLetter"/>
      <w:lvlText w:val="(%1)"/>
      <w:lvlJc w:val="left"/>
      <w:pPr>
        <w:ind w:left="1429" w:hanging="360"/>
      </w:pPr>
      <w:rPr>
        <w:rFonts w:ascii="Times New Roman" w:eastAsia="PMingLiU" w:hAnsi="Times New Roman" w:cs="Times New Roman"/>
        <w:i/>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2">
    <w:nsid w:val="38B652B1"/>
    <w:multiLevelType w:val="hybridMultilevel"/>
    <w:tmpl w:val="98CA28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9291665"/>
    <w:multiLevelType w:val="hybridMultilevel"/>
    <w:tmpl w:val="0BBEF2D8"/>
    <w:lvl w:ilvl="0" w:tplc="C7988AB4">
      <w:start w:val="1"/>
      <w:numFmt w:val="decimal"/>
      <w:lvlText w:val="(%1)"/>
      <w:lvlJc w:val="left"/>
      <w:pPr>
        <w:ind w:left="720" w:hanging="360"/>
      </w:pPr>
      <w:rPr>
        <w:rFonts w:ascii="Times New Roman" w:eastAsia="PMingLiU"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8B8AC666">
      <w:start w:val="1"/>
      <w:numFmt w:val="decimal"/>
      <w:lvlText w:val="%6)"/>
      <w:lvlJc w:val="left"/>
      <w:pPr>
        <w:ind w:left="4320" w:hanging="180"/>
      </w:pPr>
      <w:rPr>
        <w:rFonts w:ascii="Times New Roman" w:eastAsia="PMingLiU" w:hAnsi="Times New Roman" w:cs="Times New Roman"/>
      </w:r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9B04479"/>
    <w:multiLevelType w:val="hybridMultilevel"/>
    <w:tmpl w:val="AB8A4E10"/>
    <w:lvl w:ilvl="0" w:tplc="0421000F">
      <w:start w:val="1"/>
      <w:numFmt w:val="decimal"/>
      <w:lvlText w:val="%1."/>
      <w:lvlJc w:val="left"/>
      <w:pPr>
        <w:ind w:left="2160" w:hanging="360"/>
      </w:pPr>
    </w:lvl>
    <w:lvl w:ilvl="1" w:tplc="7360A790">
      <w:start w:val="1"/>
      <w:numFmt w:val="lowerLetter"/>
      <w:lvlText w:val="%2."/>
      <w:lvlJc w:val="left"/>
      <w:pPr>
        <w:ind w:left="2880" w:hanging="360"/>
      </w:pPr>
      <w:rPr>
        <w:i w:val="0"/>
      </w:rPr>
    </w:lvl>
    <w:lvl w:ilvl="2" w:tplc="0421001B">
      <w:start w:val="1"/>
      <w:numFmt w:val="lowerRoman"/>
      <w:lvlText w:val="%3."/>
      <w:lvlJc w:val="right"/>
      <w:pPr>
        <w:ind w:left="3600" w:hanging="180"/>
      </w:pPr>
    </w:lvl>
    <w:lvl w:ilvl="3" w:tplc="231A039E">
      <w:start w:val="1"/>
      <w:numFmt w:val="lowerLetter"/>
      <w:lvlText w:val="%4."/>
      <w:lvlJc w:val="left"/>
      <w:pPr>
        <w:ind w:left="4320" w:hanging="360"/>
      </w:pPr>
      <w:rPr>
        <w:rFonts w:hint="default"/>
      </w:rPr>
    </w:lvl>
    <w:lvl w:ilvl="4" w:tplc="FFBA09C0">
      <w:start w:val="1"/>
      <w:numFmt w:val="lowerLetter"/>
      <w:lvlText w:val="%5.)"/>
      <w:lvlJc w:val="left"/>
      <w:pPr>
        <w:ind w:left="5040" w:hanging="360"/>
      </w:pPr>
      <w:rPr>
        <w:rFonts w:hint="default"/>
        <w:i/>
      </w:rPr>
    </w:lvl>
    <w:lvl w:ilvl="5" w:tplc="04210011">
      <w:start w:val="1"/>
      <w:numFmt w:val="decimal"/>
      <w:lvlText w:val="%6)"/>
      <w:lvlJc w:val="left"/>
      <w:pPr>
        <w:ind w:left="5940" w:hanging="360"/>
      </w:pPr>
      <w:rPr>
        <w:rFonts w:hint="default"/>
      </w:rPr>
    </w:lvl>
    <w:lvl w:ilvl="6" w:tplc="0302D416">
      <w:start w:val="1"/>
      <w:numFmt w:val="upperLetter"/>
      <w:lvlText w:val="%7."/>
      <w:lvlJc w:val="left"/>
      <w:pPr>
        <w:ind w:left="6480" w:hanging="360"/>
      </w:pPr>
      <w:rPr>
        <w:rFonts w:hint="default"/>
      </w:rPr>
    </w:lvl>
    <w:lvl w:ilvl="7" w:tplc="F9888B12">
      <w:start w:val="1"/>
      <w:numFmt w:val="decimal"/>
      <w:lvlText w:val="(%8)"/>
      <w:lvlJc w:val="left"/>
      <w:pPr>
        <w:ind w:left="7230" w:hanging="390"/>
      </w:pPr>
      <w:rPr>
        <w:rFonts w:hint="default"/>
      </w:rPr>
    </w:lvl>
    <w:lvl w:ilvl="8" w:tplc="0421001B" w:tentative="1">
      <w:start w:val="1"/>
      <w:numFmt w:val="lowerRoman"/>
      <w:lvlText w:val="%9."/>
      <w:lvlJc w:val="right"/>
      <w:pPr>
        <w:ind w:left="7920" w:hanging="180"/>
      </w:pPr>
    </w:lvl>
  </w:abstractNum>
  <w:abstractNum w:abstractNumId="45">
    <w:nsid w:val="3A2C650F"/>
    <w:multiLevelType w:val="hybridMultilevel"/>
    <w:tmpl w:val="D276A2B2"/>
    <w:lvl w:ilvl="0" w:tplc="1A8CD9B2">
      <w:start w:val="1"/>
      <w:numFmt w:val="decimal"/>
      <w:lvlText w:val="%1.)"/>
      <w:lvlJc w:val="left"/>
      <w:pPr>
        <w:ind w:left="1364" w:hanging="360"/>
      </w:pPr>
      <w:rPr>
        <w:rFonts w:hint="default"/>
      </w:rPr>
    </w:lvl>
    <w:lvl w:ilvl="1" w:tplc="05E6BFA4">
      <w:start w:val="1"/>
      <w:numFmt w:val="lowerLetter"/>
      <w:lvlText w:val="%2."/>
      <w:lvlJc w:val="left"/>
      <w:pPr>
        <w:ind w:left="2084" w:hanging="360"/>
      </w:pPr>
      <w:rPr>
        <w:rFonts w:hint="default"/>
      </w:rPr>
    </w:lvl>
    <w:lvl w:ilvl="2" w:tplc="A45ABD1E">
      <w:start w:val="1"/>
      <w:numFmt w:val="decimal"/>
      <w:lvlText w:val="%3."/>
      <w:lvlJc w:val="left"/>
      <w:pPr>
        <w:ind w:left="2984" w:hanging="360"/>
      </w:pPr>
      <w:rPr>
        <w:rFonts w:hint="default"/>
      </w:rPr>
    </w:lvl>
    <w:lvl w:ilvl="3" w:tplc="25E64B16">
      <w:start w:val="1"/>
      <w:numFmt w:val="upperLetter"/>
      <w:lvlText w:val="%4."/>
      <w:lvlJc w:val="left"/>
      <w:pPr>
        <w:ind w:left="3524" w:hanging="360"/>
      </w:pPr>
      <w:rPr>
        <w:rFonts w:hint="default"/>
      </w:r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46">
    <w:nsid w:val="3B5C03DD"/>
    <w:multiLevelType w:val="hybridMultilevel"/>
    <w:tmpl w:val="ED80FDA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B8A6253"/>
    <w:multiLevelType w:val="hybridMultilevel"/>
    <w:tmpl w:val="C0DC50A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0DF6BD0"/>
    <w:multiLevelType w:val="hybridMultilevel"/>
    <w:tmpl w:val="964A4064"/>
    <w:lvl w:ilvl="0" w:tplc="E4680704">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49">
    <w:nsid w:val="40FB17F9"/>
    <w:multiLevelType w:val="hybridMultilevel"/>
    <w:tmpl w:val="BFE0732C"/>
    <w:lvl w:ilvl="0" w:tplc="690C69D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0">
    <w:nsid w:val="4139575D"/>
    <w:multiLevelType w:val="hybridMultilevel"/>
    <w:tmpl w:val="BCA23E6C"/>
    <w:lvl w:ilvl="0" w:tplc="04210015">
      <w:start w:val="1"/>
      <w:numFmt w:val="upperLetter"/>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3000B98"/>
    <w:multiLevelType w:val="hybridMultilevel"/>
    <w:tmpl w:val="F5B4C46E"/>
    <w:lvl w:ilvl="0" w:tplc="04210019">
      <w:start w:val="1"/>
      <w:numFmt w:val="lowerLetter"/>
      <w:lvlText w:val="%1."/>
      <w:lvlJc w:val="left"/>
      <w:pPr>
        <w:ind w:left="2138" w:hanging="360"/>
      </w:pPr>
    </w:lvl>
    <w:lvl w:ilvl="1" w:tplc="04210019">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2">
    <w:nsid w:val="43820FC1"/>
    <w:multiLevelType w:val="hybridMultilevel"/>
    <w:tmpl w:val="D55CCD22"/>
    <w:lvl w:ilvl="0" w:tplc="2C621F7E">
      <w:start w:val="1"/>
      <w:numFmt w:val="decimal"/>
      <w:lvlText w:val="%1.)"/>
      <w:lvlJc w:val="left"/>
      <w:pPr>
        <w:ind w:left="1778" w:hanging="360"/>
      </w:pPr>
      <w:rPr>
        <w:rFonts w:ascii="Times New Roman" w:eastAsia="PMingLiU" w:hAnsi="Times New Roman" w:cs="Times New Roman"/>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3">
    <w:nsid w:val="4A556EAD"/>
    <w:multiLevelType w:val="hybridMultilevel"/>
    <w:tmpl w:val="2ACAE636"/>
    <w:lvl w:ilvl="0" w:tplc="51E894B0">
      <w:start w:val="1"/>
      <w:numFmt w:val="decimal"/>
      <w:lvlText w:val="%1.)"/>
      <w:lvlJc w:val="left"/>
      <w:pPr>
        <w:ind w:left="1800" w:hanging="360"/>
      </w:pPr>
      <w:rPr>
        <w:rFonts w:ascii="Times New Roman" w:eastAsia="PMingLiU"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4C3A1B0D"/>
    <w:multiLevelType w:val="hybridMultilevel"/>
    <w:tmpl w:val="77F8C880"/>
    <w:lvl w:ilvl="0" w:tplc="466401A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CA93BA1"/>
    <w:multiLevelType w:val="hybridMultilevel"/>
    <w:tmpl w:val="AD24B748"/>
    <w:lvl w:ilvl="0" w:tplc="3360604C">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D417E56"/>
    <w:multiLevelType w:val="multilevel"/>
    <w:tmpl w:val="E68AC9D4"/>
    <w:lvl w:ilvl="0">
      <w:start w:val="1"/>
      <w:numFmt w:val="decimal"/>
      <w:lvlText w:val="%1"/>
      <w:lvlJc w:val="left"/>
      <w:pPr>
        <w:ind w:left="480" w:hanging="480"/>
      </w:pPr>
      <w:rPr>
        <w:rFonts w:hint="default"/>
      </w:rPr>
    </w:lvl>
    <w:lvl w:ilvl="1">
      <w:start w:val="1"/>
      <w:numFmt w:val="decimal"/>
      <w:lvlText w:val="%1.%2"/>
      <w:lvlJc w:val="left"/>
      <w:pPr>
        <w:ind w:left="2820" w:hanging="480"/>
      </w:pPr>
      <w:rPr>
        <w:rFonts w:hint="default"/>
      </w:rPr>
    </w:lvl>
    <w:lvl w:ilvl="2">
      <w:start w:val="2"/>
      <w:numFmt w:val="decimal"/>
      <w:lvlText w:val="%1.%2.%3"/>
      <w:lvlJc w:val="left"/>
      <w:pPr>
        <w:ind w:left="5400" w:hanging="720"/>
      </w:pPr>
      <w:rPr>
        <w:rFonts w:hint="default"/>
      </w:rPr>
    </w:lvl>
    <w:lvl w:ilvl="3">
      <w:start w:val="1"/>
      <w:numFmt w:val="decimal"/>
      <w:lvlText w:val="%1.%2.%3.%4"/>
      <w:lvlJc w:val="left"/>
      <w:pPr>
        <w:ind w:left="7740" w:hanging="72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2780" w:hanging="108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7820" w:hanging="1440"/>
      </w:pPr>
      <w:rPr>
        <w:rFonts w:hint="default"/>
      </w:rPr>
    </w:lvl>
    <w:lvl w:ilvl="8">
      <w:start w:val="1"/>
      <w:numFmt w:val="decimal"/>
      <w:lvlText w:val="%1.%2.%3.%4.%5.%6.%7.%8.%9"/>
      <w:lvlJc w:val="left"/>
      <w:pPr>
        <w:ind w:left="20520" w:hanging="1800"/>
      </w:pPr>
      <w:rPr>
        <w:rFonts w:hint="default"/>
      </w:rPr>
    </w:lvl>
  </w:abstractNum>
  <w:abstractNum w:abstractNumId="57">
    <w:nsid w:val="4D8A7A6D"/>
    <w:multiLevelType w:val="hybridMultilevel"/>
    <w:tmpl w:val="14F2F79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E0F4A73"/>
    <w:multiLevelType w:val="hybridMultilevel"/>
    <w:tmpl w:val="A0DC9AAC"/>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rPr>
        <w:rFonts w:hint="default"/>
        <w:b w:val="0"/>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1A272D8"/>
    <w:multiLevelType w:val="hybridMultilevel"/>
    <w:tmpl w:val="8430C7C2"/>
    <w:lvl w:ilvl="0" w:tplc="7BDE4F8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51A31B8A"/>
    <w:multiLevelType w:val="hybridMultilevel"/>
    <w:tmpl w:val="ED740F78"/>
    <w:lvl w:ilvl="0" w:tplc="5D46AA84">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51B42BB0"/>
    <w:multiLevelType w:val="hybridMultilevel"/>
    <w:tmpl w:val="168C5CA8"/>
    <w:lvl w:ilvl="0" w:tplc="987682F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2">
    <w:nsid w:val="5271759F"/>
    <w:multiLevelType w:val="hybridMultilevel"/>
    <w:tmpl w:val="155251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294358A"/>
    <w:multiLevelType w:val="multilevel"/>
    <w:tmpl w:val="53A67C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7740" w:hanging="72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2780" w:hanging="108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7820" w:hanging="1440"/>
      </w:pPr>
      <w:rPr>
        <w:rFonts w:hint="default"/>
      </w:rPr>
    </w:lvl>
    <w:lvl w:ilvl="8">
      <w:start w:val="1"/>
      <w:numFmt w:val="decimal"/>
      <w:lvlText w:val="%1.%2.%3.%4.%5.%6.%7.%8.%9"/>
      <w:lvlJc w:val="left"/>
      <w:pPr>
        <w:ind w:left="20520" w:hanging="1800"/>
      </w:pPr>
      <w:rPr>
        <w:rFonts w:hint="default"/>
      </w:rPr>
    </w:lvl>
  </w:abstractNum>
  <w:abstractNum w:abstractNumId="64">
    <w:nsid w:val="546A28E5"/>
    <w:multiLevelType w:val="hybridMultilevel"/>
    <w:tmpl w:val="8C38A1BC"/>
    <w:lvl w:ilvl="0" w:tplc="04210011">
      <w:start w:val="1"/>
      <w:numFmt w:val="decimal"/>
      <w:lvlText w:val="%1)"/>
      <w:lvlJc w:val="left"/>
      <w:pPr>
        <w:ind w:left="1429" w:hanging="360"/>
      </w:p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5">
    <w:nsid w:val="56827B94"/>
    <w:multiLevelType w:val="hybridMultilevel"/>
    <w:tmpl w:val="63B8EB6C"/>
    <w:lvl w:ilvl="0" w:tplc="04210011">
      <w:start w:val="1"/>
      <w:numFmt w:val="decimal"/>
      <w:lvlText w:val="%1)"/>
      <w:lvlJc w:val="left"/>
      <w:pPr>
        <w:ind w:left="720" w:hanging="360"/>
      </w:pPr>
    </w:lvl>
    <w:lvl w:ilvl="1" w:tplc="374E1070">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74B116E"/>
    <w:multiLevelType w:val="hybridMultilevel"/>
    <w:tmpl w:val="9E3048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7EC31A3"/>
    <w:multiLevelType w:val="hybridMultilevel"/>
    <w:tmpl w:val="249CEE8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C6984888">
      <w:start w:val="1"/>
      <w:numFmt w:val="decimal"/>
      <w:lvlText w:val="(%3)"/>
      <w:lvlJc w:val="left"/>
      <w:pPr>
        <w:ind w:left="2355" w:hanging="375"/>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9C35998"/>
    <w:multiLevelType w:val="hybridMultilevel"/>
    <w:tmpl w:val="B3E4B232"/>
    <w:lvl w:ilvl="0" w:tplc="04210019">
      <w:start w:val="1"/>
      <w:numFmt w:val="lowerLetter"/>
      <w:lvlText w:val="%1."/>
      <w:lvlJc w:val="left"/>
      <w:pPr>
        <w:ind w:left="2433" w:hanging="360"/>
      </w:pPr>
    </w:lvl>
    <w:lvl w:ilvl="1" w:tplc="04210019">
      <w:start w:val="1"/>
      <w:numFmt w:val="lowerLetter"/>
      <w:lvlText w:val="%2."/>
      <w:lvlJc w:val="left"/>
      <w:pPr>
        <w:ind w:left="3153" w:hanging="360"/>
      </w:pPr>
    </w:lvl>
    <w:lvl w:ilvl="2" w:tplc="0421001B" w:tentative="1">
      <w:start w:val="1"/>
      <w:numFmt w:val="lowerRoman"/>
      <w:lvlText w:val="%3."/>
      <w:lvlJc w:val="right"/>
      <w:pPr>
        <w:ind w:left="3873" w:hanging="180"/>
      </w:pPr>
    </w:lvl>
    <w:lvl w:ilvl="3" w:tplc="0421000F" w:tentative="1">
      <w:start w:val="1"/>
      <w:numFmt w:val="decimal"/>
      <w:lvlText w:val="%4."/>
      <w:lvlJc w:val="left"/>
      <w:pPr>
        <w:ind w:left="4593" w:hanging="360"/>
      </w:pPr>
    </w:lvl>
    <w:lvl w:ilvl="4" w:tplc="04210019" w:tentative="1">
      <w:start w:val="1"/>
      <w:numFmt w:val="lowerLetter"/>
      <w:lvlText w:val="%5."/>
      <w:lvlJc w:val="left"/>
      <w:pPr>
        <w:ind w:left="5313" w:hanging="360"/>
      </w:pPr>
    </w:lvl>
    <w:lvl w:ilvl="5" w:tplc="0421001B" w:tentative="1">
      <w:start w:val="1"/>
      <w:numFmt w:val="lowerRoman"/>
      <w:lvlText w:val="%6."/>
      <w:lvlJc w:val="right"/>
      <w:pPr>
        <w:ind w:left="6033" w:hanging="180"/>
      </w:pPr>
    </w:lvl>
    <w:lvl w:ilvl="6" w:tplc="0421000F" w:tentative="1">
      <w:start w:val="1"/>
      <w:numFmt w:val="decimal"/>
      <w:lvlText w:val="%7."/>
      <w:lvlJc w:val="left"/>
      <w:pPr>
        <w:ind w:left="6753" w:hanging="360"/>
      </w:pPr>
    </w:lvl>
    <w:lvl w:ilvl="7" w:tplc="04210019" w:tentative="1">
      <w:start w:val="1"/>
      <w:numFmt w:val="lowerLetter"/>
      <w:lvlText w:val="%8."/>
      <w:lvlJc w:val="left"/>
      <w:pPr>
        <w:ind w:left="7473" w:hanging="360"/>
      </w:pPr>
    </w:lvl>
    <w:lvl w:ilvl="8" w:tplc="0421001B" w:tentative="1">
      <w:start w:val="1"/>
      <w:numFmt w:val="lowerRoman"/>
      <w:lvlText w:val="%9."/>
      <w:lvlJc w:val="right"/>
      <w:pPr>
        <w:ind w:left="8193" w:hanging="180"/>
      </w:pPr>
    </w:lvl>
  </w:abstractNum>
  <w:abstractNum w:abstractNumId="69">
    <w:nsid w:val="5A12233F"/>
    <w:multiLevelType w:val="hybridMultilevel"/>
    <w:tmpl w:val="A6B4D166"/>
    <w:lvl w:ilvl="0" w:tplc="448AD4A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0">
    <w:nsid w:val="5A3B5C3F"/>
    <w:multiLevelType w:val="hybridMultilevel"/>
    <w:tmpl w:val="D5A23216"/>
    <w:lvl w:ilvl="0" w:tplc="04210015">
      <w:start w:val="1"/>
      <w:numFmt w:val="upperLetter"/>
      <w:lvlText w:val="%1."/>
      <w:lvlJc w:val="left"/>
      <w:pPr>
        <w:ind w:left="720" w:hanging="360"/>
      </w:pPr>
      <w:rPr>
        <w:rFonts w:hint="default"/>
      </w:rPr>
    </w:lvl>
    <w:lvl w:ilvl="1" w:tplc="C1C41C54">
      <w:start w:val="1"/>
      <w:numFmt w:val="decimal"/>
      <w:lvlText w:val="(%2)"/>
      <w:lvlJc w:val="left"/>
      <w:pPr>
        <w:ind w:left="1440" w:hanging="360"/>
      </w:pPr>
      <w:rPr>
        <w:rFonts w:ascii="Times New Roman" w:eastAsia="PMingLiU" w:hAnsi="Times New Roman" w:cs="Times New Roman"/>
      </w:rPr>
    </w:lvl>
    <w:lvl w:ilvl="2" w:tplc="642EC1E8">
      <w:numFmt w:val="bullet"/>
      <w:lvlText w:val=""/>
      <w:lvlJc w:val="left"/>
      <w:pPr>
        <w:ind w:left="2340" w:hanging="360"/>
      </w:pPr>
      <w:rPr>
        <w:rFonts w:ascii="PMingLiU" w:eastAsia="PMingLiU" w:hAnsi="Times New Roman" w:cs="Times New Roman" w:hint="eastAsia"/>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A4A2235"/>
    <w:multiLevelType w:val="hybridMultilevel"/>
    <w:tmpl w:val="93A478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B603EF0"/>
    <w:multiLevelType w:val="hybridMultilevel"/>
    <w:tmpl w:val="DD9AECCA"/>
    <w:lvl w:ilvl="0" w:tplc="33247BDA">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32E298E8">
      <w:start w:val="1"/>
      <w:numFmt w:val="decimal"/>
      <w:lvlText w:val="(%3)"/>
      <w:lvlJc w:val="left"/>
      <w:pPr>
        <w:ind w:left="2700" w:hanging="360"/>
      </w:pPr>
      <w:rPr>
        <w:rFonts w:hint="default"/>
      </w:r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nsid w:val="5E275A07"/>
    <w:multiLevelType w:val="hybridMultilevel"/>
    <w:tmpl w:val="29226AC8"/>
    <w:lvl w:ilvl="0" w:tplc="355A1D9C">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4">
    <w:nsid w:val="660F2368"/>
    <w:multiLevelType w:val="hybridMultilevel"/>
    <w:tmpl w:val="A29E35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61C0DD5"/>
    <w:multiLevelType w:val="hybridMultilevel"/>
    <w:tmpl w:val="BA8E4AE4"/>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67DF1F6F"/>
    <w:multiLevelType w:val="hybridMultilevel"/>
    <w:tmpl w:val="AA24D320"/>
    <w:lvl w:ilvl="0" w:tplc="33247BDA">
      <w:start w:val="1"/>
      <w:numFmt w:val="lowerLetter"/>
      <w:lvlText w:val="%1."/>
      <w:lvlJc w:val="left"/>
      <w:pPr>
        <w:ind w:left="1080" w:hanging="360"/>
      </w:pPr>
      <w:rPr>
        <w:rFonts w:hint="default"/>
      </w:rPr>
    </w:lvl>
    <w:lvl w:ilvl="1" w:tplc="355A1D9C">
      <w:start w:val="1"/>
      <w:numFmt w:val="decimal"/>
      <w:lvlText w:val="%2.)"/>
      <w:lvlJc w:val="left"/>
      <w:pPr>
        <w:ind w:left="1800" w:hanging="360"/>
      </w:pPr>
      <w:rPr>
        <w:rFonts w:hint="default"/>
      </w:rPr>
    </w:lvl>
    <w:lvl w:ilvl="2" w:tplc="29668352">
      <w:start w:val="1"/>
      <w:numFmt w:val="decimal"/>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68554B52"/>
    <w:multiLevelType w:val="hybridMultilevel"/>
    <w:tmpl w:val="7AA6BD94"/>
    <w:lvl w:ilvl="0" w:tplc="04210011">
      <w:start w:val="1"/>
      <w:numFmt w:val="decimal"/>
      <w:lvlText w:val="%1)"/>
      <w:lvlJc w:val="left"/>
      <w:pPr>
        <w:ind w:left="1440" w:hanging="360"/>
      </w:pPr>
    </w:lvl>
    <w:lvl w:ilvl="1" w:tplc="355A1D9C">
      <w:start w:val="1"/>
      <w:numFmt w:val="decimal"/>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8">
    <w:nsid w:val="689D0C9D"/>
    <w:multiLevelType w:val="hybridMultilevel"/>
    <w:tmpl w:val="2B9A078E"/>
    <w:lvl w:ilvl="0" w:tplc="355A1D9C">
      <w:start w:val="1"/>
      <w:numFmt w:val="decimal"/>
      <w:lvlText w:val="%1.)"/>
      <w:lvlJc w:val="left"/>
      <w:pPr>
        <w:ind w:left="1440" w:hanging="360"/>
      </w:pPr>
      <w:rPr>
        <w:rFonts w:hint="default"/>
      </w:rPr>
    </w:lvl>
    <w:lvl w:ilvl="1" w:tplc="355A1D9C">
      <w:start w:val="1"/>
      <w:numFmt w:val="decimal"/>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9">
    <w:nsid w:val="68BB2445"/>
    <w:multiLevelType w:val="hybridMultilevel"/>
    <w:tmpl w:val="6BB8EDAC"/>
    <w:lvl w:ilvl="0" w:tplc="33247BDA">
      <w:start w:val="1"/>
      <w:numFmt w:val="lowerLetter"/>
      <w:lvlText w:val="%1."/>
      <w:lvlJc w:val="left"/>
      <w:pPr>
        <w:ind w:left="1080" w:hanging="360"/>
      </w:pPr>
      <w:rPr>
        <w:rFonts w:hint="default"/>
      </w:rPr>
    </w:lvl>
    <w:lvl w:ilvl="1" w:tplc="355A1D9C">
      <w:start w:val="1"/>
      <w:numFmt w:val="decimal"/>
      <w:lvlText w:val="%2.)"/>
      <w:lvlJc w:val="left"/>
      <w:pPr>
        <w:ind w:left="1800" w:hanging="360"/>
      </w:pPr>
      <w:rPr>
        <w:rFonts w:hint="default"/>
      </w:rPr>
    </w:lvl>
    <w:lvl w:ilvl="2" w:tplc="29668352">
      <w:start w:val="1"/>
      <w:numFmt w:val="decimal"/>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0">
    <w:nsid w:val="69C14F7D"/>
    <w:multiLevelType w:val="hybridMultilevel"/>
    <w:tmpl w:val="006C771C"/>
    <w:lvl w:ilvl="0" w:tplc="6ADCF40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nsid w:val="6AF460C8"/>
    <w:multiLevelType w:val="hybridMultilevel"/>
    <w:tmpl w:val="2FAC2826"/>
    <w:lvl w:ilvl="0" w:tplc="04210019">
      <w:start w:val="1"/>
      <w:numFmt w:val="lowerLetter"/>
      <w:lvlText w:val="%1."/>
      <w:lvlJc w:val="left"/>
      <w:pPr>
        <w:ind w:left="2160" w:hanging="360"/>
      </w:p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2">
    <w:nsid w:val="6B920DD6"/>
    <w:multiLevelType w:val="hybridMultilevel"/>
    <w:tmpl w:val="C6E61D2C"/>
    <w:lvl w:ilvl="0" w:tplc="A3046132">
      <w:start w:val="1"/>
      <w:numFmt w:val="decimal"/>
      <w:lvlText w:val="(%1)"/>
      <w:lvlJc w:val="left"/>
      <w:pPr>
        <w:ind w:left="720" w:hanging="360"/>
      </w:pPr>
      <w:rPr>
        <w:rFonts w:ascii="Times New Roman" w:eastAsia="PMingLiU"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C7B69FF"/>
    <w:multiLevelType w:val="hybridMultilevel"/>
    <w:tmpl w:val="FBFECA4C"/>
    <w:lvl w:ilvl="0" w:tplc="B172D0D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C8218EB"/>
    <w:multiLevelType w:val="hybridMultilevel"/>
    <w:tmpl w:val="4B68568E"/>
    <w:lvl w:ilvl="0" w:tplc="04210017">
      <w:start w:val="1"/>
      <w:numFmt w:val="lowerLetter"/>
      <w:lvlText w:val="%1)"/>
      <w:lvlJc w:val="left"/>
      <w:pPr>
        <w:ind w:left="2880" w:hanging="360"/>
      </w:pPr>
    </w:lvl>
    <w:lvl w:ilvl="1" w:tplc="04210017">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85">
    <w:nsid w:val="6D31332B"/>
    <w:multiLevelType w:val="multilevel"/>
    <w:tmpl w:val="F7EE18E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86">
    <w:nsid w:val="6D4B224E"/>
    <w:multiLevelType w:val="hybridMultilevel"/>
    <w:tmpl w:val="B4F46BEA"/>
    <w:lvl w:ilvl="0" w:tplc="61045AAE">
      <w:start w:val="1"/>
      <w:numFmt w:val="decimal"/>
      <w:lvlText w:val="%1."/>
      <w:lvlJc w:val="left"/>
      <w:pPr>
        <w:ind w:left="1080" w:hanging="360"/>
      </w:pPr>
      <w:rPr>
        <w:rFonts w:hint="default"/>
      </w:rPr>
    </w:lvl>
    <w:lvl w:ilvl="1" w:tplc="81F07728">
      <w:start w:val="1"/>
      <w:numFmt w:val="decimal"/>
      <w:lvlText w:val="%2."/>
      <w:lvlJc w:val="left"/>
      <w:pPr>
        <w:ind w:left="1800" w:hanging="360"/>
      </w:pPr>
      <w:rPr>
        <w:rFonts w:hint="default"/>
        <w:i w:val="0"/>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nsid w:val="6D5E6B6F"/>
    <w:multiLevelType w:val="multilevel"/>
    <w:tmpl w:val="F31035F0"/>
    <w:lvl w:ilvl="0">
      <w:start w:val="1"/>
      <w:numFmt w:val="decimal"/>
      <w:lvlText w:val="%1"/>
      <w:lvlJc w:val="left"/>
      <w:pPr>
        <w:ind w:left="360" w:hanging="360"/>
      </w:pPr>
      <w:rPr>
        <w:rFonts w:hint="default"/>
      </w:rPr>
    </w:lvl>
    <w:lvl w:ilvl="1">
      <w:start w:val="3"/>
      <w:numFmt w:val="decimal"/>
      <w:lvlText w:val="%1.%2"/>
      <w:lvlJc w:val="left"/>
      <w:pPr>
        <w:ind w:left="5040" w:hanging="360"/>
      </w:pPr>
      <w:rPr>
        <w:rFonts w:hint="default"/>
      </w:rPr>
    </w:lvl>
    <w:lvl w:ilvl="2">
      <w:start w:val="1"/>
      <w:numFmt w:val="lowerLetter"/>
      <w:lvlText w:val="%3."/>
      <w:lvlJc w:val="left"/>
      <w:pPr>
        <w:ind w:left="10080" w:hanging="720"/>
      </w:pPr>
      <w:rPr>
        <w:rFonts w:hint="default"/>
      </w:rPr>
    </w:lvl>
    <w:lvl w:ilvl="3">
      <w:start w:val="1"/>
      <w:numFmt w:val="decimal"/>
      <w:lvlText w:val="%1.%2.%3.%4"/>
      <w:lvlJc w:val="left"/>
      <w:pPr>
        <w:ind w:left="14760" w:hanging="720"/>
      </w:pPr>
      <w:rPr>
        <w:rFonts w:hint="default"/>
      </w:rPr>
    </w:lvl>
    <w:lvl w:ilvl="4">
      <w:start w:val="1"/>
      <w:numFmt w:val="decimal"/>
      <w:lvlText w:val="%1.%2.%3.%4.%5"/>
      <w:lvlJc w:val="left"/>
      <w:pPr>
        <w:ind w:left="19800" w:hanging="1080"/>
      </w:pPr>
      <w:rPr>
        <w:rFonts w:hint="default"/>
      </w:rPr>
    </w:lvl>
    <w:lvl w:ilvl="5">
      <w:start w:val="1"/>
      <w:numFmt w:val="decimal"/>
      <w:lvlText w:val="%1.%2.%3.%4.%5.%6"/>
      <w:lvlJc w:val="left"/>
      <w:pPr>
        <w:ind w:left="24480" w:hanging="1080"/>
      </w:pPr>
      <w:rPr>
        <w:rFonts w:hint="default"/>
      </w:rPr>
    </w:lvl>
    <w:lvl w:ilvl="6">
      <w:start w:val="1"/>
      <w:numFmt w:val="decimal"/>
      <w:lvlText w:val="%1.%2.%3.%4.%5.%6.%7"/>
      <w:lvlJc w:val="left"/>
      <w:pPr>
        <w:ind w:left="29520" w:hanging="1440"/>
      </w:pPr>
      <w:rPr>
        <w:rFonts w:hint="default"/>
      </w:rPr>
    </w:lvl>
    <w:lvl w:ilvl="7">
      <w:start w:val="1"/>
      <w:numFmt w:val="decimal"/>
      <w:lvlText w:val="%1.%2.%3.%4.%5.%6.%7.%8"/>
      <w:lvlJc w:val="left"/>
      <w:pPr>
        <w:ind w:left="-31336" w:hanging="1440"/>
      </w:pPr>
      <w:rPr>
        <w:rFonts w:hint="default"/>
      </w:rPr>
    </w:lvl>
    <w:lvl w:ilvl="8">
      <w:start w:val="1"/>
      <w:numFmt w:val="decimal"/>
      <w:lvlText w:val="%1.%2.%3.%4.%5.%6.%7.%8.%9"/>
      <w:lvlJc w:val="left"/>
      <w:pPr>
        <w:ind w:left="-26296" w:hanging="1800"/>
      </w:pPr>
      <w:rPr>
        <w:rFonts w:hint="default"/>
      </w:rPr>
    </w:lvl>
  </w:abstractNum>
  <w:abstractNum w:abstractNumId="88">
    <w:nsid w:val="6E1D201C"/>
    <w:multiLevelType w:val="hybridMultilevel"/>
    <w:tmpl w:val="0994E8E4"/>
    <w:lvl w:ilvl="0" w:tplc="04210015">
      <w:start w:val="1"/>
      <w:numFmt w:val="upperLetter"/>
      <w:lvlText w:val="%1."/>
      <w:lvlJc w:val="left"/>
      <w:pPr>
        <w:ind w:left="720" w:hanging="360"/>
      </w:pPr>
      <w:rPr>
        <w:rFonts w:hint="default"/>
      </w:rPr>
    </w:lvl>
    <w:lvl w:ilvl="1" w:tplc="0E0C2FFA">
      <w:start w:val="1"/>
      <w:numFmt w:val="lowerLetter"/>
      <w:lvlText w:val="(%2)"/>
      <w:lvlJc w:val="left"/>
      <w:pPr>
        <w:ind w:left="1440" w:hanging="360"/>
      </w:pPr>
      <w:rPr>
        <w:rFonts w:ascii="Times New Roman" w:eastAsia="PMingLiU" w:hAnsi="Times New Roman" w:cs="Times New Roman"/>
        <w:i/>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E9D4A26"/>
    <w:multiLevelType w:val="hybridMultilevel"/>
    <w:tmpl w:val="C66E153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9">
      <w:start w:val="1"/>
      <w:numFmt w:val="lowerLetter"/>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0DA2F7A"/>
    <w:multiLevelType w:val="hybridMultilevel"/>
    <w:tmpl w:val="55B20C44"/>
    <w:lvl w:ilvl="0" w:tplc="9E7458A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1">
    <w:nsid w:val="72B43940"/>
    <w:multiLevelType w:val="hybridMultilevel"/>
    <w:tmpl w:val="1302B3D6"/>
    <w:lvl w:ilvl="0" w:tplc="04210019">
      <w:start w:val="1"/>
      <w:numFmt w:val="lowerLetter"/>
      <w:lvlText w:val="%1."/>
      <w:lvlJc w:val="left"/>
      <w:pPr>
        <w:ind w:left="2138" w:hanging="360"/>
      </w:pPr>
    </w:lvl>
    <w:lvl w:ilvl="1" w:tplc="04210019">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92">
    <w:nsid w:val="746635D0"/>
    <w:multiLevelType w:val="hybridMultilevel"/>
    <w:tmpl w:val="BCC8CC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4AD5531"/>
    <w:multiLevelType w:val="hybridMultilevel"/>
    <w:tmpl w:val="05FABF06"/>
    <w:lvl w:ilvl="0" w:tplc="E7BA8CB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4">
    <w:nsid w:val="75767F5F"/>
    <w:multiLevelType w:val="hybridMultilevel"/>
    <w:tmpl w:val="A1DE5F4A"/>
    <w:lvl w:ilvl="0" w:tplc="6E2879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5">
    <w:nsid w:val="7718172A"/>
    <w:multiLevelType w:val="hybridMultilevel"/>
    <w:tmpl w:val="EAA0AD6E"/>
    <w:lvl w:ilvl="0" w:tplc="0421000F">
      <w:start w:val="1"/>
      <w:numFmt w:val="decimal"/>
      <w:lvlText w:val="%1."/>
      <w:lvlJc w:val="left"/>
      <w:pPr>
        <w:ind w:left="720" w:hanging="360"/>
      </w:pPr>
      <w:rPr>
        <w:rFonts w:hint="default"/>
      </w:rPr>
    </w:lvl>
    <w:lvl w:ilvl="1" w:tplc="ADC2772A">
      <w:start w:val="1"/>
      <w:numFmt w:val="decimal"/>
      <w:lvlText w:val="%2."/>
      <w:lvlJc w:val="left"/>
      <w:pPr>
        <w:ind w:left="1440" w:hanging="360"/>
      </w:pPr>
      <w:rPr>
        <w:rFonts w:hint="default"/>
      </w:rPr>
    </w:lvl>
    <w:lvl w:ilvl="2" w:tplc="E63C22C6">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78676773"/>
    <w:multiLevelType w:val="hybridMultilevel"/>
    <w:tmpl w:val="6686B404"/>
    <w:lvl w:ilvl="0" w:tplc="8AC0922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7">
    <w:nsid w:val="7A085985"/>
    <w:multiLevelType w:val="hybridMultilevel"/>
    <w:tmpl w:val="12767B48"/>
    <w:lvl w:ilvl="0" w:tplc="3F7CF6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8">
    <w:nsid w:val="7A3B032C"/>
    <w:multiLevelType w:val="hybridMultilevel"/>
    <w:tmpl w:val="AC860B76"/>
    <w:lvl w:ilvl="0" w:tplc="865A8A2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9">
    <w:nsid w:val="7A973E6F"/>
    <w:multiLevelType w:val="hybridMultilevel"/>
    <w:tmpl w:val="ECC609B4"/>
    <w:lvl w:ilvl="0" w:tplc="32E298E8">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32E298E8">
      <w:start w:val="1"/>
      <w:numFmt w:val="decimal"/>
      <w:lvlText w:val="(%3)"/>
      <w:lvlJc w:val="left"/>
      <w:pPr>
        <w:ind w:left="2700" w:hanging="360"/>
      </w:pPr>
      <w:rPr>
        <w:rFonts w:hint="default"/>
      </w:r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0">
    <w:nsid w:val="7AEA3803"/>
    <w:multiLevelType w:val="hybridMultilevel"/>
    <w:tmpl w:val="1F624A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7D8C40EF"/>
    <w:multiLevelType w:val="hybridMultilevel"/>
    <w:tmpl w:val="44F265BE"/>
    <w:lvl w:ilvl="0" w:tplc="D62CF5E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2">
    <w:nsid w:val="7E347247"/>
    <w:multiLevelType w:val="hybridMultilevel"/>
    <w:tmpl w:val="88A49600"/>
    <w:lvl w:ilvl="0" w:tplc="F14CAB72">
      <w:start w:val="1"/>
      <w:numFmt w:val="decimal"/>
      <w:lvlText w:val="%1."/>
      <w:lvlJc w:val="left"/>
      <w:pPr>
        <w:ind w:left="1069" w:hanging="360"/>
      </w:pPr>
      <w:rPr>
        <w:rFonts w:hint="default"/>
        <w:color w:val="auto"/>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3">
    <w:nsid w:val="7E94449C"/>
    <w:multiLevelType w:val="hybridMultilevel"/>
    <w:tmpl w:val="74905486"/>
    <w:lvl w:ilvl="0" w:tplc="0421000F">
      <w:start w:val="1"/>
      <w:numFmt w:val="decimal"/>
      <w:lvlText w:val="%1."/>
      <w:lvlJc w:val="left"/>
      <w:pPr>
        <w:ind w:left="2160" w:hanging="360"/>
      </w:pPr>
    </w:lvl>
    <w:lvl w:ilvl="1" w:tplc="8ADE0FF6">
      <w:start w:val="1"/>
      <w:numFmt w:val="lowerLetter"/>
      <w:lvlText w:val="%2."/>
      <w:lvlJc w:val="left"/>
      <w:pPr>
        <w:ind w:left="2880" w:hanging="360"/>
      </w:pPr>
      <w:rPr>
        <w:i w:val="0"/>
      </w:rPr>
    </w:lvl>
    <w:lvl w:ilvl="2" w:tplc="0421001B">
      <w:start w:val="1"/>
      <w:numFmt w:val="lowerRoman"/>
      <w:lvlText w:val="%3."/>
      <w:lvlJc w:val="right"/>
      <w:pPr>
        <w:ind w:left="3600" w:hanging="180"/>
      </w:pPr>
    </w:lvl>
    <w:lvl w:ilvl="3" w:tplc="231A039E">
      <w:start w:val="1"/>
      <w:numFmt w:val="lowerLetter"/>
      <w:lvlText w:val="%4."/>
      <w:lvlJc w:val="left"/>
      <w:pPr>
        <w:ind w:left="4320" w:hanging="360"/>
      </w:pPr>
      <w:rPr>
        <w:rFonts w:hint="default"/>
      </w:rPr>
    </w:lvl>
    <w:lvl w:ilvl="4" w:tplc="FFBA09C0">
      <w:start w:val="1"/>
      <w:numFmt w:val="lowerLetter"/>
      <w:lvlText w:val="%5.)"/>
      <w:lvlJc w:val="left"/>
      <w:pPr>
        <w:ind w:left="5040" w:hanging="360"/>
      </w:pPr>
      <w:rPr>
        <w:rFonts w:hint="default"/>
        <w:i/>
      </w:rPr>
    </w:lvl>
    <w:lvl w:ilvl="5" w:tplc="04210011">
      <w:start w:val="1"/>
      <w:numFmt w:val="decimal"/>
      <w:lvlText w:val="%6)"/>
      <w:lvlJc w:val="left"/>
      <w:pPr>
        <w:ind w:left="5940" w:hanging="360"/>
      </w:pPr>
      <w:rPr>
        <w:rFonts w:hint="default"/>
      </w:rPr>
    </w:lvl>
    <w:lvl w:ilvl="6" w:tplc="0302D416">
      <w:start w:val="1"/>
      <w:numFmt w:val="upperLetter"/>
      <w:lvlText w:val="%7."/>
      <w:lvlJc w:val="left"/>
      <w:pPr>
        <w:ind w:left="6480" w:hanging="360"/>
      </w:pPr>
      <w:rPr>
        <w:rFonts w:hint="default"/>
      </w:rPr>
    </w:lvl>
    <w:lvl w:ilvl="7" w:tplc="F6BAC68E">
      <w:start w:val="1"/>
      <w:numFmt w:val="decimal"/>
      <w:lvlText w:val="(%8)"/>
      <w:lvlJc w:val="left"/>
      <w:pPr>
        <w:ind w:left="7200" w:hanging="360"/>
      </w:pPr>
      <w:rPr>
        <w:rFonts w:hint="default"/>
      </w:rPr>
    </w:lvl>
    <w:lvl w:ilvl="8" w:tplc="0421001B" w:tentative="1">
      <w:start w:val="1"/>
      <w:numFmt w:val="lowerRoman"/>
      <w:lvlText w:val="%9."/>
      <w:lvlJc w:val="right"/>
      <w:pPr>
        <w:ind w:left="7920" w:hanging="180"/>
      </w:pPr>
    </w:lvl>
  </w:abstractNum>
  <w:abstractNum w:abstractNumId="104">
    <w:nsid w:val="7EE20001"/>
    <w:multiLevelType w:val="hybridMultilevel"/>
    <w:tmpl w:val="C090F61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EED140E"/>
    <w:multiLevelType w:val="hybridMultilevel"/>
    <w:tmpl w:val="F0D26A72"/>
    <w:lvl w:ilvl="0" w:tplc="997E1D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50"/>
  </w:num>
  <w:num w:numId="2">
    <w:abstractNumId w:val="9"/>
  </w:num>
  <w:num w:numId="3">
    <w:abstractNumId w:val="94"/>
  </w:num>
  <w:num w:numId="4">
    <w:abstractNumId w:val="4"/>
  </w:num>
  <w:num w:numId="5">
    <w:abstractNumId w:val="97"/>
  </w:num>
  <w:num w:numId="6">
    <w:abstractNumId w:val="74"/>
  </w:num>
  <w:num w:numId="7">
    <w:abstractNumId w:val="7"/>
  </w:num>
  <w:num w:numId="8">
    <w:abstractNumId w:val="11"/>
  </w:num>
  <w:num w:numId="9">
    <w:abstractNumId w:val="105"/>
  </w:num>
  <w:num w:numId="10">
    <w:abstractNumId w:val="85"/>
  </w:num>
  <w:num w:numId="11">
    <w:abstractNumId w:val="98"/>
  </w:num>
  <w:num w:numId="12">
    <w:abstractNumId w:val="83"/>
  </w:num>
  <w:num w:numId="13">
    <w:abstractNumId w:val="92"/>
  </w:num>
  <w:num w:numId="14">
    <w:abstractNumId w:val="63"/>
  </w:num>
  <w:num w:numId="15">
    <w:abstractNumId w:val="18"/>
  </w:num>
  <w:num w:numId="16">
    <w:abstractNumId w:val="25"/>
  </w:num>
  <w:num w:numId="17">
    <w:abstractNumId w:val="102"/>
  </w:num>
  <w:num w:numId="18">
    <w:abstractNumId w:val="96"/>
  </w:num>
  <w:num w:numId="19">
    <w:abstractNumId w:val="101"/>
  </w:num>
  <w:num w:numId="20">
    <w:abstractNumId w:val="6"/>
  </w:num>
  <w:num w:numId="21">
    <w:abstractNumId w:val="61"/>
  </w:num>
  <w:num w:numId="22">
    <w:abstractNumId w:val="80"/>
  </w:num>
  <w:num w:numId="23">
    <w:abstractNumId w:val="52"/>
  </w:num>
  <w:num w:numId="24">
    <w:abstractNumId w:val="24"/>
  </w:num>
  <w:num w:numId="25">
    <w:abstractNumId w:val="53"/>
  </w:num>
  <w:num w:numId="26">
    <w:abstractNumId w:val="62"/>
  </w:num>
  <w:num w:numId="27">
    <w:abstractNumId w:val="88"/>
  </w:num>
  <w:num w:numId="28">
    <w:abstractNumId w:val="86"/>
  </w:num>
  <w:num w:numId="29">
    <w:abstractNumId w:val="60"/>
  </w:num>
  <w:num w:numId="30">
    <w:abstractNumId w:val="64"/>
  </w:num>
  <w:num w:numId="31">
    <w:abstractNumId w:val="41"/>
  </w:num>
  <w:num w:numId="32">
    <w:abstractNumId w:val="10"/>
  </w:num>
  <w:num w:numId="33">
    <w:abstractNumId w:val="89"/>
  </w:num>
  <w:num w:numId="34">
    <w:abstractNumId w:val="70"/>
  </w:num>
  <w:num w:numId="35">
    <w:abstractNumId w:val="22"/>
  </w:num>
  <w:num w:numId="36">
    <w:abstractNumId w:val="42"/>
  </w:num>
  <w:num w:numId="37">
    <w:abstractNumId w:val="58"/>
  </w:num>
  <w:num w:numId="38">
    <w:abstractNumId w:val="29"/>
  </w:num>
  <w:num w:numId="39">
    <w:abstractNumId w:val="59"/>
  </w:num>
  <w:num w:numId="40">
    <w:abstractNumId w:val="0"/>
  </w:num>
  <w:num w:numId="41">
    <w:abstractNumId w:val="95"/>
  </w:num>
  <w:num w:numId="42">
    <w:abstractNumId w:val="5"/>
  </w:num>
  <w:num w:numId="43">
    <w:abstractNumId w:val="14"/>
  </w:num>
  <w:num w:numId="44">
    <w:abstractNumId w:val="23"/>
  </w:num>
  <w:num w:numId="45">
    <w:abstractNumId w:val="69"/>
  </w:num>
  <w:num w:numId="46">
    <w:abstractNumId w:val="20"/>
  </w:num>
  <w:num w:numId="47">
    <w:abstractNumId w:val="81"/>
  </w:num>
  <w:num w:numId="48">
    <w:abstractNumId w:val="57"/>
  </w:num>
  <w:num w:numId="49">
    <w:abstractNumId w:val="72"/>
  </w:num>
  <w:num w:numId="50">
    <w:abstractNumId w:val="75"/>
  </w:num>
  <w:num w:numId="51">
    <w:abstractNumId w:val="19"/>
  </w:num>
  <w:num w:numId="52">
    <w:abstractNumId w:val="44"/>
  </w:num>
  <w:num w:numId="53">
    <w:abstractNumId w:val="34"/>
  </w:num>
  <w:num w:numId="54">
    <w:abstractNumId w:val="91"/>
  </w:num>
  <w:num w:numId="55">
    <w:abstractNumId w:val="51"/>
  </w:num>
  <w:num w:numId="56">
    <w:abstractNumId w:val="68"/>
  </w:num>
  <w:num w:numId="57">
    <w:abstractNumId w:val="16"/>
  </w:num>
  <w:num w:numId="58">
    <w:abstractNumId w:val="65"/>
  </w:num>
  <w:num w:numId="59">
    <w:abstractNumId w:val="84"/>
  </w:num>
  <w:num w:numId="60">
    <w:abstractNumId w:val="26"/>
  </w:num>
  <w:num w:numId="61">
    <w:abstractNumId w:val="39"/>
  </w:num>
  <w:num w:numId="62">
    <w:abstractNumId w:val="33"/>
  </w:num>
  <w:num w:numId="63">
    <w:abstractNumId w:val="43"/>
  </w:num>
  <w:num w:numId="64">
    <w:abstractNumId w:val="47"/>
  </w:num>
  <w:num w:numId="65">
    <w:abstractNumId w:val="28"/>
  </w:num>
  <w:num w:numId="66">
    <w:abstractNumId w:val="46"/>
  </w:num>
  <w:num w:numId="67">
    <w:abstractNumId w:val="82"/>
  </w:num>
  <w:num w:numId="68">
    <w:abstractNumId w:val="104"/>
  </w:num>
  <w:num w:numId="69">
    <w:abstractNumId w:val="67"/>
  </w:num>
  <w:num w:numId="70">
    <w:abstractNumId w:val="103"/>
  </w:num>
  <w:num w:numId="71">
    <w:abstractNumId w:val="30"/>
  </w:num>
  <w:num w:numId="72">
    <w:abstractNumId w:val="38"/>
  </w:num>
  <w:num w:numId="73">
    <w:abstractNumId w:val="8"/>
  </w:num>
  <w:num w:numId="74">
    <w:abstractNumId w:val="27"/>
  </w:num>
  <w:num w:numId="75">
    <w:abstractNumId w:val="90"/>
  </w:num>
  <w:num w:numId="76">
    <w:abstractNumId w:val="93"/>
  </w:num>
  <w:num w:numId="77">
    <w:abstractNumId w:val="49"/>
  </w:num>
  <w:num w:numId="78">
    <w:abstractNumId w:val="45"/>
  </w:num>
  <w:num w:numId="79">
    <w:abstractNumId w:val="2"/>
  </w:num>
  <w:num w:numId="80">
    <w:abstractNumId w:val="35"/>
  </w:num>
  <w:num w:numId="81">
    <w:abstractNumId w:val="40"/>
  </w:num>
  <w:num w:numId="82">
    <w:abstractNumId w:val="36"/>
  </w:num>
  <w:num w:numId="83">
    <w:abstractNumId w:val="37"/>
  </w:num>
  <w:num w:numId="84">
    <w:abstractNumId w:val="3"/>
  </w:num>
  <w:num w:numId="85">
    <w:abstractNumId w:val="54"/>
  </w:num>
  <w:num w:numId="86">
    <w:abstractNumId w:val="12"/>
  </w:num>
  <w:num w:numId="87">
    <w:abstractNumId w:val="48"/>
  </w:num>
  <w:num w:numId="88">
    <w:abstractNumId w:val="77"/>
  </w:num>
  <w:num w:numId="89">
    <w:abstractNumId w:val="73"/>
  </w:num>
  <w:num w:numId="90">
    <w:abstractNumId w:val="15"/>
  </w:num>
  <w:num w:numId="91">
    <w:abstractNumId w:val="78"/>
  </w:num>
  <w:num w:numId="92">
    <w:abstractNumId w:val="76"/>
  </w:num>
  <w:num w:numId="93">
    <w:abstractNumId w:val="79"/>
  </w:num>
  <w:num w:numId="94">
    <w:abstractNumId w:val="99"/>
  </w:num>
  <w:num w:numId="95">
    <w:abstractNumId w:val="87"/>
  </w:num>
  <w:num w:numId="96">
    <w:abstractNumId w:val="66"/>
  </w:num>
  <w:num w:numId="97">
    <w:abstractNumId w:val="13"/>
  </w:num>
  <w:num w:numId="98">
    <w:abstractNumId w:val="17"/>
  </w:num>
  <w:num w:numId="99">
    <w:abstractNumId w:val="31"/>
  </w:num>
  <w:num w:numId="100">
    <w:abstractNumId w:val="71"/>
  </w:num>
  <w:num w:numId="101">
    <w:abstractNumId w:val="100"/>
  </w:num>
  <w:num w:numId="102">
    <w:abstractNumId w:val="1"/>
  </w:num>
  <w:num w:numId="103">
    <w:abstractNumId w:val="32"/>
  </w:num>
  <w:num w:numId="104">
    <w:abstractNumId w:val="56"/>
  </w:num>
  <w:num w:numId="1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C4F"/>
    <w:rsid w:val="00004B5C"/>
    <w:rsid w:val="00016DE2"/>
    <w:rsid w:val="00020570"/>
    <w:rsid w:val="00030C0F"/>
    <w:rsid w:val="00031334"/>
    <w:rsid w:val="00037E6B"/>
    <w:rsid w:val="00040D38"/>
    <w:rsid w:val="00044731"/>
    <w:rsid w:val="00051619"/>
    <w:rsid w:val="00063EAE"/>
    <w:rsid w:val="00065000"/>
    <w:rsid w:val="000733C5"/>
    <w:rsid w:val="00085A3E"/>
    <w:rsid w:val="000A776B"/>
    <w:rsid w:val="000B77D6"/>
    <w:rsid w:val="000C3795"/>
    <w:rsid w:val="000D22CC"/>
    <w:rsid w:val="000D22EE"/>
    <w:rsid w:val="000D57A4"/>
    <w:rsid w:val="000F0854"/>
    <w:rsid w:val="000F41F4"/>
    <w:rsid w:val="00131417"/>
    <w:rsid w:val="00140DCA"/>
    <w:rsid w:val="00144DBD"/>
    <w:rsid w:val="00157202"/>
    <w:rsid w:val="001823E8"/>
    <w:rsid w:val="00187FBF"/>
    <w:rsid w:val="00191C03"/>
    <w:rsid w:val="001E6494"/>
    <w:rsid w:val="001E66A1"/>
    <w:rsid w:val="0020286B"/>
    <w:rsid w:val="00202B1B"/>
    <w:rsid w:val="00221106"/>
    <w:rsid w:val="00227E8F"/>
    <w:rsid w:val="00235E92"/>
    <w:rsid w:val="0025342A"/>
    <w:rsid w:val="00277DBB"/>
    <w:rsid w:val="002A48D8"/>
    <w:rsid w:val="002B5E62"/>
    <w:rsid w:val="002D48C7"/>
    <w:rsid w:val="002D68B6"/>
    <w:rsid w:val="00301856"/>
    <w:rsid w:val="003136D4"/>
    <w:rsid w:val="00315EB9"/>
    <w:rsid w:val="003360A1"/>
    <w:rsid w:val="00341812"/>
    <w:rsid w:val="00342774"/>
    <w:rsid w:val="00351F78"/>
    <w:rsid w:val="00354509"/>
    <w:rsid w:val="00355F5D"/>
    <w:rsid w:val="00367055"/>
    <w:rsid w:val="003A3D94"/>
    <w:rsid w:val="003B14DF"/>
    <w:rsid w:val="003B6524"/>
    <w:rsid w:val="003C69B9"/>
    <w:rsid w:val="003D7355"/>
    <w:rsid w:val="0040144F"/>
    <w:rsid w:val="00423F6D"/>
    <w:rsid w:val="0047085D"/>
    <w:rsid w:val="00476394"/>
    <w:rsid w:val="0049260D"/>
    <w:rsid w:val="004955B1"/>
    <w:rsid w:val="004A0ACB"/>
    <w:rsid w:val="004B0146"/>
    <w:rsid w:val="004B05A5"/>
    <w:rsid w:val="004B24DD"/>
    <w:rsid w:val="004C67A0"/>
    <w:rsid w:val="004D259C"/>
    <w:rsid w:val="004E2904"/>
    <w:rsid w:val="004E68F9"/>
    <w:rsid w:val="004E6C18"/>
    <w:rsid w:val="005004DE"/>
    <w:rsid w:val="005303F1"/>
    <w:rsid w:val="00546C37"/>
    <w:rsid w:val="00555791"/>
    <w:rsid w:val="0056684E"/>
    <w:rsid w:val="00567964"/>
    <w:rsid w:val="005834AF"/>
    <w:rsid w:val="00584522"/>
    <w:rsid w:val="005B2254"/>
    <w:rsid w:val="005B4DF6"/>
    <w:rsid w:val="005C3AD4"/>
    <w:rsid w:val="005C5E29"/>
    <w:rsid w:val="005E1586"/>
    <w:rsid w:val="005F2018"/>
    <w:rsid w:val="005F6A8D"/>
    <w:rsid w:val="006153E0"/>
    <w:rsid w:val="00622E0E"/>
    <w:rsid w:val="00636BAA"/>
    <w:rsid w:val="00637A33"/>
    <w:rsid w:val="00641BEF"/>
    <w:rsid w:val="00653BFD"/>
    <w:rsid w:val="0065647D"/>
    <w:rsid w:val="006769EE"/>
    <w:rsid w:val="00684795"/>
    <w:rsid w:val="006A5E1C"/>
    <w:rsid w:val="006C0C53"/>
    <w:rsid w:val="006C4068"/>
    <w:rsid w:val="006C53A8"/>
    <w:rsid w:val="006C57C0"/>
    <w:rsid w:val="006D7925"/>
    <w:rsid w:val="006F5DEF"/>
    <w:rsid w:val="00721520"/>
    <w:rsid w:val="00722993"/>
    <w:rsid w:val="007558F8"/>
    <w:rsid w:val="00794E23"/>
    <w:rsid w:val="00797B02"/>
    <w:rsid w:val="007C469A"/>
    <w:rsid w:val="007C52DE"/>
    <w:rsid w:val="007C580F"/>
    <w:rsid w:val="007D2AFF"/>
    <w:rsid w:val="007D2E71"/>
    <w:rsid w:val="007E039F"/>
    <w:rsid w:val="007E41B4"/>
    <w:rsid w:val="008040A1"/>
    <w:rsid w:val="00811D72"/>
    <w:rsid w:val="00813B7D"/>
    <w:rsid w:val="00813EFD"/>
    <w:rsid w:val="008216D5"/>
    <w:rsid w:val="00822CA2"/>
    <w:rsid w:val="00830601"/>
    <w:rsid w:val="008444F9"/>
    <w:rsid w:val="00844666"/>
    <w:rsid w:val="00854B54"/>
    <w:rsid w:val="00857162"/>
    <w:rsid w:val="00877FF3"/>
    <w:rsid w:val="008831D5"/>
    <w:rsid w:val="008A2B4B"/>
    <w:rsid w:val="008D0A4A"/>
    <w:rsid w:val="008E147B"/>
    <w:rsid w:val="008E6D66"/>
    <w:rsid w:val="008F2C93"/>
    <w:rsid w:val="00904C8A"/>
    <w:rsid w:val="00915C1B"/>
    <w:rsid w:val="0095653E"/>
    <w:rsid w:val="00961E22"/>
    <w:rsid w:val="00967E1A"/>
    <w:rsid w:val="00994031"/>
    <w:rsid w:val="0099452C"/>
    <w:rsid w:val="00995A01"/>
    <w:rsid w:val="009C3413"/>
    <w:rsid w:val="009D0894"/>
    <w:rsid w:val="009E7C8F"/>
    <w:rsid w:val="00A37F88"/>
    <w:rsid w:val="00A40FD9"/>
    <w:rsid w:val="00A41DC4"/>
    <w:rsid w:val="00A44BC3"/>
    <w:rsid w:val="00A52D7C"/>
    <w:rsid w:val="00A535AA"/>
    <w:rsid w:val="00A57666"/>
    <w:rsid w:val="00A60B1D"/>
    <w:rsid w:val="00A665DC"/>
    <w:rsid w:val="00A769E0"/>
    <w:rsid w:val="00A838EF"/>
    <w:rsid w:val="00A97CE2"/>
    <w:rsid w:val="00AA220D"/>
    <w:rsid w:val="00AA4527"/>
    <w:rsid w:val="00AA4DD7"/>
    <w:rsid w:val="00AB038F"/>
    <w:rsid w:val="00AB45E1"/>
    <w:rsid w:val="00AB6B05"/>
    <w:rsid w:val="00AB6E65"/>
    <w:rsid w:val="00AD136E"/>
    <w:rsid w:val="00AE2E45"/>
    <w:rsid w:val="00AE5EA0"/>
    <w:rsid w:val="00AF203E"/>
    <w:rsid w:val="00B01F78"/>
    <w:rsid w:val="00B17AA9"/>
    <w:rsid w:val="00B34D39"/>
    <w:rsid w:val="00B65F09"/>
    <w:rsid w:val="00B67137"/>
    <w:rsid w:val="00B71002"/>
    <w:rsid w:val="00B75787"/>
    <w:rsid w:val="00B9207F"/>
    <w:rsid w:val="00B94900"/>
    <w:rsid w:val="00BA051D"/>
    <w:rsid w:val="00BB3BCE"/>
    <w:rsid w:val="00BB646F"/>
    <w:rsid w:val="00BB70ED"/>
    <w:rsid w:val="00BD0C87"/>
    <w:rsid w:val="00BD710B"/>
    <w:rsid w:val="00BE4208"/>
    <w:rsid w:val="00BE6300"/>
    <w:rsid w:val="00C10C4F"/>
    <w:rsid w:val="00C111AF"/>
    <w:rsid w:val="00C47244"/>
    <w:rsid w:val="00C63EC9"/>
    <w:rsid w:val="00C764A6"/>
    <w:rsid w:val="00C851CE"/>
    <w:rsid w:val="00CB4A83"/>
    <w:rsid w:val="00CB5F11"/>
    <w:rsid w:val="00CC5650"/>
    <w:rsid w:val="00D034C9"/>
    <w:rsid w:val="00D162BD"/>
    <w:rsid w:val="00D21791"/>
    <w:rsid w:val="00D42F5F"/>
    <w:rsid w:val="00D52756"/>
    <w:rsid w:val="00D64AEF"/>
    <w:rsid w:val="00D77B25"/>
    <w:rsid w:val="00D84EC2"/>
    <w:rsid w:val="00DA6C79"/>
    <w:rsid w:val="00DB5128"/>
    <w:rsid w:val="00DC7413"/>
    <w:rsid w:val="00DD1679"/>
    <w:rsid w:val="00DE1B55"/>
    <w:rsid w:val="00DE2BA9"/>
    <w:rsid w:val="00E06662"/>
    <w:rsid w:val="00E4130C"/>
    <w:rsid w:val="00E47413"/>
    <w:rsid w:val="00E52421"/>
    <w:rsid w:val="00E64E9E"/>
    <w:rsid w:val="00E94A4A"/>
    <w:rsid w:val="00EB1199"/>
    <w:rsid w:val="00ED7CB1"/>
    <w:rsid w:val="00EF3B38"/>
    <w:rsid w:val="00EF6FF6"/>
    <w:rsid w:val="00F01F34"/>
    <w:rsid w:val="00F0762C"/>
    <w:rsid w:val="00F14DA0"/>
    <w:rsid w:val="00F3355E"/>
    <w:rsid w:val="00F470C6"/>
    <w:rsid w:val="00F52931"/>
    <w:rsid w:val="00F52E6B"/>
    <w:rsid w:val="00F56572"/>
    <w:rsid w:val="00F66856"/>
    <w:rsid w:val="00F67DC4"/>
    <w:rsid w:val="00F71BFA"/>
    <w:rsid w:val="00F768F2"/>
    <w:rsid w:val="00F855D9"/>
    <w:rsid w:val="00FB4F7F"/>
    <w:rsid w:val="00FC4428"/>
    <w:rsid w:val="00FC72F4"/>
    <w:rsid w:val="00FD0210"/>
    <w:rsid w:val="00FD02EA"/>
    <w:rsid w:val="00FD7C64"/>
    <w:rsid w:val="00FE257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C4F"/>
    <w:rPr>
      <w:rFonts w:ascii="Tahoma" w:hAnsi="Tahoma" w:cs="Tahoma"/>
      <w:sz w:val="16"/>
      <w:szCs w:val="16"/>
    </w:rPr>
  </w:style>
  <w:style w:type="paragraph" w:styleId="Header">
    <w:name w:val="header"/>
    <w:basedOn w:val="Normal"/>
    <w:link w:val="HeaderChar"/>
    <w:uiPriority w:val="99"/>
    <w:unhideWhenUsed/>
    <w:rsid w:val="00C10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C4F"/>
  </w:style>
  <w:style w:type="paragraph" w:styleId="Footer">
    <w:name w:val="footer"/>
    <w:basedOn w:val="Normal"/>
    <w:link w:val="FooterChar"/>
    <w:uiPriority w:val="99"/>
    <w:unhideWhenUsed/>
    <w:rsid w:val="00C10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C4F"/>
  </w:style>
  <w:style w:type="paragraph" w:styleId="ListParagraph">
    <w:name w:val="List Paragraph"/>
    <w:basedOn w:val="Normal"/>
    <w:uiPriority w:val="34"/>
    <w:qFormat/>
    <w:rsid w:val="00F0762C"/>
    <w:pPr>
      <w:ind w:left="720"/>
      <w:contextualSpacing/>
    </w:pPr>
  </w:style>
  <w:style w:type="numbering" w:customStyle="1" w:styleId="NoList1">
    <w:name w:val="No List1"/>
    <w:next w:val="NoList"/>
    <w:uiPriority w:val="99"/>
    <w:semiHidden/>
    <w:unhideWhenUsed/>
    <w:rsid w:val="00F855D9"/>
  </w:style>
  <w:style w:type="table" w:styleId="TableGrid">
    <w:name w:val="Table Grid"/>
    <w:basedOn w:val="TableNormal"/>
    <w:uiPriority w:val="59"/>
    <w:rsid w:val="00F855D9"/>
    <w:pPr>
      <w:spacing w:after="0" w:line="240" w:lineRule="auto"/>
      <w:jc w:val="both"/>
    </w:pPr>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1">
    <w:name w:val="Medium List 2 - Accent 11"/>
    <w:basedOn w:val="TableNormal"/>
    <w:next w:val="MediumList2-Accent1"/>
    <w:uiPriority w:val="66"/>
    <w:rsid w:val="00F855D9"/>
    <w:pPr>
      <w:spacing w:after="0" w:line="240" w:lineRule="auto"/>
      <w:jc w:val="both"/>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Grid-Accent11">
    <w:name w:val="Light Grid - Accent 11"/>
    <w:basedOn w:val="TableNormal"/>
    <w:next w:val="LightGrid-Accent1"/>
    <w:uiPriority w:val="62"/>
    <w:rsid w:val="00F855D9"/>
    <w:pPr>
      <w:spacing w:after="0" w:line="240" w:lineRule="auto"/>
      <w:jc w:val="both"/>
    </w:pPr>
    <w:rPr>
      <w:rFonts w:eastAsia="PMingLi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FootnoteReference">
    <w:name w:val="footnote reference"/>
    <w:basedOn w:val="DefaultParagraphFont"/>
    <w:uiPriority w:val="99"/>
    <w:rsid w:val="00F855D9"/>
    <w:rPr>
      <w:rFonts w:cs="Times New Roman"/>
      <w:vertAlign w:val="superscript"/>
    </w:rPr>
  </w:style>
  <w:style w:type="paragraph" w:styleId="FootnoteText">
    <w:name w:val="footnote text"/>
    <w:aliases w:val="Char Char Char Char"/>
    <w:basedOn w:val="Normal"/>
    <w:link w:val="FootnoteTextChar"/>
    <w:rsid w:val="00F855D9"/>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aliases w:val="Char Char Char Char Char"/>
    <w:basedOn w:val="DefaultParagraphFont"/>
    <w:link w:val="FootnoteText"/>
    <w:rsid w:val="00F855D9"/>
    <w:rPr>
      <w:rFonts w:ascii="Times New Roman" w:eastAsia="Times New Roman" w:hAnsi="Times New Roman" w:cs="Times New Roman"/>
      <w:sz w:val="20"/>
      <w:szCs w:val="20"/>
      <w:lang w:val="en-GB" w:eastAsia="en-GB"/>
    </w:rPr>
  </w:style>
  <w:style w:type="character" w:customStyle="1" w:styleId="Hyperlink1">
    <w:name w:val="Hyperlink1"/>
    <w:basedOn w:val="DefaultParagraphFont"/>
    <w:uiPriority w:val="99"/>
    <w:unhideWhenUsed/>
    <w:rsid w:val="00F855D9"/>
    <w:rPr>
      <w:color w:val="0000FF"/>
      <w:u w:val="single"/>
    </w:rPr>
  </w:style>
  <w:style w:type="paragraph" w:styleId="NoSpacing">
    <w:name w:val="No Spacing"/>
    <w:uiPriority w:val="1"/>
    <w:qFormat/>
    <w:rsid w:val="00F855D9"/>
    <w:pPr>
      <w:widowControl w:val="0"/>
      <w:spacing w:after="0" w:line="240" w:lineRule="auto"/>
    </w:pPr>
    <w:rPr>
      <w:rFonts w:ascii="Times New Roman" w:eastAsia="PMingLiU" w:hAnsi="Times New Roman" w:cs="Times New Roman"/>
      <w:kern w:val="2"/>
      <w:sz w:val="24"/>
      <w:szCs w:val="24"/>
      <w:lang w:val="en-US" w:eastAsia="zh-TW"/>
    </w:rPr>
  </w:style>
  <w:style w:type="table" w:styleId="MediumList2-Accent1">
    <w:name w:val="Medium List 2 Accent 1"/>
    <w:basedOn w:val="TableNormal"/>
    <w:uiPriority w:val="66"/>
    <w:semiHidden/>
    <w:unhideWhenUsed/>
    <w:rsid w:val="00F855D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semiHidden/>
    <w:unhideWhenUsed/>
    <w:rsid w:val="00F855D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semiHidden/>
    <w:unhideWhenUsed/>
    <w:rsid w:val="00F855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C4F"/>
    <w:rPr>
      <w:rFonts w:ascii="Tahoma" w:hAnsi="Tahoma" w:cs="Tahoma"/>
      <w:sz w:val="16"/>
      <w:szCs w:val="16"/>
    </w:rPr>
  </w:style>
  <w:style w:type="paragraph" w:styleId="Header">
    <w:name w:val="header"/>
    <w:basedOn w:val="Normal"/>
    <w:link w:val="HeaderChar"/>
    <w:uiPriority w:val="99"/>
    <w:unhideWhenUsed/>
    <w:rsid w:val="00C10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C4F"/>
  </w:style>
  <w:style w:type="paragraph" w:styleId="Footer">
    <w:name w:val="footer"/>
    <w:basedOn w:val="Normal"/>
    <w:link w:val="FooterChar"/>
    <w:uiPriority w:val="99"/>
    <w:unhideWhenUsed/>
    <w:rsid w:val="00C10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C4F"/>
  </w:style>
  <w:style w:type="paragraph" w:styleId="ListParagraph">
    <w:name w:val="List Paragraph"/>
    <w:basedOn w:val="Normal"/>
    <w:uiPriority w:val="34"/>
    <w:qFormat/>
    <w:rsid w:val="00F0762C"/>
    <w:pPr>
      <w:ind w:left="720"/>
      <w:contextualSpacing/>
    </w:pPr>
  </w:style>
  <w:style w:type="numbering" w:customStyle="1" w:styleId="NoList1">
    <w:name w:val="No List1"/>
    <w:next w:val="NoList"/>
    <w:uiPriority w:val="99"/>
    <w:semiHidden/>
    <w:unhideWhenUsed/>
    <w:rsid w:val="00F855D9"/>
  </w:style>
  <w:style w:type="table" w:styleId="TableGrid">
    <w:name w:val="Table Grid"/>
    <w:basedOn w:val="TableNormal"/>
    <w:uiPriority w:val="59"/>
    <w:rsid w:val="00F855D9"/>
    <w:pPr>
      <w:spacing w:after="0" w:line="240" w:lineRule="auto"/>
      <w:jc w:val="both"/>
    </w:pPr>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1">
    <w:name w:val="Medium List 2 - Accent 11"/>
    <w:basedOn w:val="TableNormal"/>
    <w:next w:val="MediumList2-Accent1"/>
    <w:uiPriority w:val="66"/>
    <w:rsid w:val="00F855D9"/>
    <w:pPr>
      <w:spacing w:after="0" w:line="240" w:lineRule="auto"/>
      <w:jc w:val="both"/>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Grid-Accent11">
    <w:name w:val="Light Grid - Accent 11"/>
    <w:basedOn w:val="TableNormal"/>
    <w:next w:val="LightGrid-Accent1"/>
    <w:uiPriority w:val="62"/>
    <w:rsid w:val="00F855D9"/>
    <w:pPr>
      <w:spacing w:after="0" w:line="240" w:lineRule="auto"/>
      <w:jc w:val="both"/>
    </w:pPr>
    <w:rPr>
      <w:rFonts w:eastAsia="PMingLi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FootnoteReference">
    <w:name w:val="footnote reference"/>
    <w:basedOn w:val="DefaultParagraphFont"/>
    <w:uiPriority w:val="99"/>
    <w:rsid w:val="00F855D9"/>
    <w:rPr>
      <w:rFonts w:cs="Times New Roman"/>
      <w:vertAlign w:val="superscript"/>
    </w:rPr>
  </w:style>
  <w:style w:type="paragraph" w:styleId="FootnoteText">
    <w:name w:val="footnote text"/>
    <w:aliases w:val="Char Char Char Char"/>
    <w:basedOn w:val="Normal"/>
    <w:link w:val="FootnoteTextChar"/>
    <w:rsid w:val="00F855D9"/>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aliases w:val="Char Char Char Char Char"/>
    <w:basedOn w:val="DefaultParagraphFont"/>
    <w:link w:val="FootnoteText"/>
    <w:rsid w:val="00F855D9"/>
    <w:rPr>
      <w:rFonts w:ascii="Times New Roman" w:eastAsia="Times New Roman" w:hAnsi="Times New Roman" w:cs="Times New Roman"/>
      <w:sz w:val="20"/>
      <w:szCs w:val="20"/>
      <w:lang w:val="en-GB" w:eastAsia="en-GB"/>
    </w:rPr>
  </w:style>
  <w:style w:type="character" w:customStyle="1" w:styleId="Hyperlink1">
    <w:name w:val="Hyperlink1"/>
    <w:basedOn w:val="DefaultParagraphFont"/>
    <w:uiPriority w:val="99"/>
    <w:unhideWhenUsed/>
    <w:rsid w:val="00F855D9"/>
    <w:rPr>
      <w:color w:val="0000FF"/>
      <w:u w:val="single"/>
    </w:rPr>
  </w:style>
  <w:style w:type="paragraph" w:styleId="NoSpacing">
    <w:name w:val="No Spacing"/>
    <w:uiPriority w:val="1"/>
    <w:qFormat/>
    <w:rsid w:val="00F855D9"/>
    <w:pPr>
      <w:widowControl w:val="0"/>
      <w:spacing w:after="0" w:line="240" w:lineRule="auto"/>
    </w:pPr>
    <w:rPr>
      <w:rFonts w:ascii="Times New Roman" w:eastAsia="PMingLiU" w:hAnsi="Times New Roman" w:cs="Times New Roman"/>
      <w:kern w:val="2"/>
      <w:sz w:val="24"/>
      <w:szCs w:val="24"/>
      <w:lang w:val="en-US" w:eastAsia="zh-TW"/>
    </w:rPr>
  </w:style>
  <w:style w:type="table" w:styleId="MediumList2-Accent1">
    <w:name w:val="Medium List 2 Accent 1"/>
    <w:basedOn w:val="TableNormal"/>
    <w:uiPriority w:val="66"/>
    <w:semiHidden/>
    <w:unhideWhenUsed/>
    <w:rsid w:val="00F855D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semiHidden/>
    <w:unhideWhenUsed/>
    <w:rsid w:val="00F855D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semiHidden/>
    <w:unhideWhenUsed/>
    <w:rsid w:val="00F855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78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academia.edu/9503310/"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image" Target="media/image6.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asean.org/communities/asean-economic-community/item/asean-framework-agreement-on-services" TargetMode="External"/><Relationship Id="rId1" Type="http://schemas.openxmlformats.org/officeDocument/2006/relationships/hyperlink" Target="http://kbbi.web.id/"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Excel_Worksheet1.xlsx"/><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Microsoft_Excel_Worksheet2.xlsx"/><Relationship Id="rId1" Type="http://schemas.openxmlformats.org/officeDocument/2006/relationships/themeOverride" Target="../theme/themeOverride2.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package" Target="../embeddings/Microsoft_Excel_Worksheet3.xlsx"/><Relationship Id="rId1" Type="http://schemas.openxmlformats.org/officeDocument/2006/relationships/themeOverride" Target="../theme/themeOverride3.xm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package" Target="../embeddings/Microsoft_Excel_Worksheet4.xlsx"/><Relationship Id="rId1" Type="http://schemas.openxmlformats.org/officeDocument/2006/relationships/themeOverride" Target="../theme/themeOverride4.xml"/><Relationship Id="rId4"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id-ID"/>
              <a:t>Kemudahan Berbisnis Di</a:t>
            </a:r>
            <a:r>
              <a:rPr lang="id-ID" baseline="0"/>
              <a:t> Sektor Jasa Konstruksi </a:t>
            </a:r>
            <a:r>
              <a:rPr lang="id-ID"/>
              <a:t>Antar</a:t>
            </a:r>
          </a:p>
          <a:p>
            <a:pPr>
              <a:defRPr sz="1600" b="1" i="0" u="none" strike="noStrike" kern="1200" baseline="0">
                <a:solidFill>
                  <a:schemeClr val="tx2"/>
                </a:solidFill>
                <a:latin typeface="+mn-lt"/>
                <a:ea typeface="+mn-ea"/>
                <a:cs typeface="+mn-cs"/>
              </a:defRPr>
            </a:pPr>
            <a:r>
              <a:rPr lang="id-ID"/>
              <a:t> Negara ASEAN</a:t>
            </a:r>
          </a:p>
        </c:rich>
      </c:tx>
      <c:layout>
        <c:manualLayout>
          <c:xMode val="edge"/>
          <c:yMode val="edge"/>
          <c:x val="0.15121667474551626"/>
          <c:y val="3.0237580993520519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Sheet1!$A$2:$A$11</c:f>
              <c:strCache>
                <c:ptCount val="10"/>
                <c:pt idx="0">
                  <c:v>Singapura</c:v>
                </c:pt>
                <c:pt idx="1">
                  <c:v>Malaysia</c:v>
                </c:pt>
                <c:pt idx="2">
                  <c:v>Thailand</c:v>
                </c:pt>
                <c:pt idx="3">
                  <c:v>Vietnam</c:v>
                </c:pt>
                <c:pt idx="4">
                  <c:v>Filipina</c:v>
                </c:pt>
                <c:pt idx="5">
                  <c:v>Brunei</c:v>
                </c:pt>
                <c:pt idx="6">
                  <c:v>Indonesia</c:v>
                </c:pt>
                <c:pt idx="7">
                  <c:v>Kamboja</c:v>
                </c:pt>
                <c:pt idx="8">
                  <c:v>Laos</c:v>
                </c:pt>
                <c:pt idx="9">
                  <c:v>Myanmar</c:v>
                </c:pt>
              </c:strCache>
            </c:strRef>
          </c:cat>
          <c:val>
            <c:numRef>
              <c:f>Sheet1!$B$2:$B$11</c:f>
              <c:numCache>
                <c:formatCode>General</c:formatCode>
                <c:ptCount val="10"/>
                <c:pt idx="0">
                  <c:v>1</c:v>
                </c:pt>
                <c:pt idx="1">
                  <c:v>18</c:v>
                </c:pt>
                <c:pt idx="2">
                  <c:v>26</c:v>
                </c:pt>
                <c:pt idx="3">
                  <c:v>78</c:v>
                </c:pt>
                <c:pt idx="4">
                  <c:v>95</c:v>
                </c:pt>
                <c:pt idx="5">
                  <c:v>101</c:v>
                </c:pt>
                <c:pt idx="6">
                  <c:v>105</c:v>
                </c:pt>
                <c:pt idx="7">
                  <c:v>135</c:v>
                </c:pt>
                <c:pt idx="8">
                  <c:v>148</c:v>
                </c:pt>
                <c:pt idx="9">
                  <c:v>177</c:v>
                </c:pt>
              </c:numCache>
            </c:numRef>
          </c:val>
        </c:ser>
        <c:ser>
          <c:idx val="1"/>
          <c:order val="1"/>
          <c:tx>
            <c:strRef>
              <c:f>Sheet1!$C$1</c:f>
              <c:strCache>
                <c:ptCount val="1"/>
                <c:pt idx="0">
                  <c:v>Series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Sheet1!$A$2:$A$11</c:f>
              <c:strCache>
                <c:ptCount val="10"/>
                <c:pt idx="0">
                  <c:v>Singapura</c:v>
                </c:pt>
                <c:pt idx="1">
                  <c:v>Malaysia</c:v>
                </c:pt>
                <c:pt idx="2">
                  <c:v>Thailand</c:v>
                </c:pt>
                <c:pt idx="3">
                  <c:v>Vietnam</c:v>
                </c:pt>
                <c:pt idx="4">
                  <c:v>Filipina</c:v>
                </c:pt>
                <c:pt idx="5">
                  <c:v>Brunei</c:v>
                </c:pt>
                <c:pt idx="6">
                  <c:v>Indonesia</c:v>
                </c:pt>
                <c:pt idx="7">
                  <c:v>Kamboja</c:v>
                </c:pt>
                <c:pt idx="8">
                  <c:v>Laos</c:v>
                </c:pt>
                <c:pt idx="9">
                  <c:v>Myanmar</c:v>
                </c:pt>
              </c:strCache>
            </c:strRef>
          </c:cat>
          <c:val>
            <c:numRef>
              <c:f>Sheet1!$C$2:$C$11</c:f>
              <c:numCache>
                <c:formatCode>General</c:formatCode>
                <c:ptCount val="10"/>
              </c:numCache>
            </c:numRef>
          </c:val>
        </c:ser>
        <c:ser>
          <c:idx val="2"/>
          <c:order val="2"/>
          <c:tx>
            <c:strRef>
              <c:f>Sheet1!$D$1</c:f>
              <c:strCache>
                <c:ptCount val="1"/>
                <c:pt idx="0">
                  <c:v>Series 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Sheet1!$A$2:$A$11</c:f>
              <c:strCache>
                <c:ptCount val="10"/>
                <c:pt idx="0">
                  <c:v>Singapura</c:v>
                </c:pt>
                <c:pt idx="1">
                  <c:v>Malaysia</c:v>
                </c:pt>
                <c:pt idx="2">
                  <c:v>Thailand</c:v>
                </c:pt>
                <c:pt idx="3">
                  <c:v>Vietnam</c:v>
                </c:pt>
                <c:pt idx="4">
                  <c:v>Filipina</c:v>
                </c:pt>
                <c:pt idx="5">
                  <c:v>Brunei</c:v>
                </c:pt>
                <c:pt idx="6">
                  <c:v>Indonesia</c:v>
                </c:pt>
                <c:pt idx="7">
                  <c:v>Kamboja</c:v>
                </c:pt>
                <c:pt idx="8">
                  <c:v>Laos</c:v>
                </c:pt>
                <c:pt idx="9">
                  <c:v>Myanmar</c:v>
                </c:pt>
              </c:strCache>
            </c:strRef>
          </c:cat>
          <c:val>
            <c:numRef>
              <c:f>Sheet1!$D$2:$D$11</c:f>
              <c:numCache>
                <c:formatCode>General</c:formatCode>
                <c:ptCount val="10"/>
              </c:numCache>
            </c:numRef>
          </c:val>
        </c:ser>
        <c:dLbls>
          <c:dLblPos val="outEnd"/>
          <c:showLegendKey val="0"/>
          <c:showVal val="1"/>
          <c:showCatName val="0"/>
          <c:showSerName val="0"/>
          <c:showPercent val="0"/>
          <c:showBubbleSize val="0"/>
        </c:dLbls>
        <c:gapWidth val="100"/>
        <c:overlap val="-24"/>
        <c:axId val="218322432"/>
        <c:axId val="218323968"/>
      </c:barChart>
      <c:catAx>
        <c:axId val="2183224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218323968"/>
        <c:crosses val="autoZero"/>
        <c:auto val="1"/>
        <c:lblAlgn val="ctr"/>
        <c:lblOffset val="100"/>
        <c:noMultiLvlLbl val="0"/>
      </c:catAx>
      <c:valAx>
        <c:axId val="21832396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21832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id-ID"/>
              <a:t>Investasi Di Sektor</a:t>
            </a:r>
            <a:r>
              <a:rPr lang="id-ID" baseline="0"/>
              <a:t> Jasa Antar Negara ASEAN</a:t>
            </a:r>
            <a:endParaRPr lang="id-ID"/>
          </a:p>
        </c:rich>
      </c:tx>
      <c:overlay val="0"/>
      <c:spPr>
        <a:noFill/>
        <a:ln>
          <a:noFill/>
        </a:ln>
        <a:effectLst/>
      </c:spPr>
    </c:title>
    <c:autoTitleDeleted val="0"/>
    <c:plotArea>
      <c:layout/>
      <c:lineChart>
        <c:grouping val="standard"/>
        <c:varyColors val="0"/>
        <c:ser>
          <c:idx val="0"/>
          <c:order val="0"/>
          <c:tx>
            <c:strRef>
              <c:f>Sheet1!$B$1</c:f>
              <c:strCache>
                <c:ptCount val="1"/>
                <c:pt idx="0">
                  <c:v>Column2</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Sheet1!$A$2:$A$7</c:f>
              <c:strCache>
                <c:ptCount val="6"/>
                <c:pt idx="0">
                  <c:v>Singapura</c:v>
                </c:pt>
                <c:pt idx="1">
                  <c:v>Thailand</c:v>
                </c:pt>
                <c:pt idx="2">
                  <c:v>Malaysia</c:v>
                </c:pt>
                <c:pt idx="3">
                  <c:v>Indonesia</c:v>
                </c:pt>
                <c:pt idx="4">
                  <c:v>Vietnam</c:v>
                </c:pt>
                <c:pt idx="5">
                  <c:v>Filipina</c:v>
                </c:pt>
              </c:strCache>
            </c:strRef>
          </c:cat>
          <c:val>
            <c:numRef>
              <c:f>Sheet1!$B$2:$B$7</c:f>
              <c:numCache>
                <c:formatCode>General</c:formatCode>
                <c:ptCount val="6"/>
                <c:pt idx="0">
                  <c:v>25</c:v>
                </c:pt>
                <c:pt idx="1">
                  <c:v>16</c:v>
                </c:pt>
                <c:pt idx="2">
                  <c:v>12</c:v>
                </c:pt>
                <c:pt idx="3">
                  <c:v>11</c:v>
                </c:pt>
                <c:pt idx="4">
                  <c:v>6</c:v>
                </c:pt>
                <c:pt idx="5">
                  <c:v>4</c:v>
                </c:pt>
              </c:numCache>
            </c:numRef>
          </c:val>
          <c:smooth val="0"/>
        </c:ser>
        <c:ser>
          <c:idx val="1"/>
          <c:order val="1"/>
          <c:tx>
            <c:strRef>
              <c:f>Sheet1!$C$1</c:f>
              <c:strCache>
                <c:ptCount val="1"/>
                <c:pt idx="0">
                  <c:v>Column1</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cat>
            <c:strRef>
              <c:f>Sheet1!$A$2:$A$7</c:f>
              <c:strCache>
                <c:ptCount val="6"/>
                <c:pt idx="0">
                  <c:v>Singapura</c:v>
                </c:pt>
                <c:pt idx="1">
                  <c:v>Thailand</c:v>
                </c:pt>
                <c:pt idx="2">
                  <c:v>Malaysia</c:v>
                </c:pt>
                <c:pt idx="3">
                  <c:v>Indonesia</c:v>
                </c:pt>
                <c:pt idx="4">
                  <c:v>Vietnam</c:v>
                </c:pt>
                <c:pt idx="5">
                  <c:v>Filipina</c:v>
                </c:pt>
              </c:strCache>
            </c:strRef>
          </c:cat>
          <c:val>
            <c:numRef>
              <c:f>Sheet1!$C$2:$C$7</c:f>
              <c:numCache>
                <c:formatCode>General</c:formatCode>
                <c:ptCount val="6"/>
              </c:numCache>
            </c:numRef>
          </c:val>
          <c:smooth val="0"/>
        </c:ser>
        <c:ser>
          <c:idx val="2"/>
          <c:order val="2"/>
          <c:tx>
            <c:strRef>
              <c:f>Sheet1!$D$1</c:f>
              <c:strCache>
                <c:ptCount val="1"/>
                <c:pt idx="0">
                  <c:v>Column3</c:v>
                </c:pt>
              </c:strCache>
            </c:strRef>
          </c:tx>
          <c:spPr>
            <a:ln w="31750" cap="rnd">
              <a:solidFill>
                <a:schemeClr val="accent3"/>
              </a:solidFill>
              <a:round/>
            </a:ln>
            <a:effectLst>
              <a:outerShdw blurRad="40000" dist="23000" dir="5400000" rotWithShape="0">
                <a:srgbClr val="000000">
                  <a:alpha val="35000"/>
                </a:srgbClr>
              </a:outerShdw>
            </a:effectLst>
          </c:spPr>
          <c:marker>
            <c:symbol val="none"/>
          </c:marker>
          <c:cat>
            <c:strRef>
              <c:f>Sheet1!$A$2:$A$7</c:f>
              <c:strCache>
                <c:ptCount val="6"/>
                <c:pt idx="0">
                  <c:v>Singapura</c:v>
                </c:pt>
                <c:pt idx="1">
                  <c:v>Thailand</c:v>
                </c:pt>
                <c:pt idx="2">
                  <c:v>Malaysia</c:v>
                </c:pt>
                <c:pt idx="3">
                  <c:v>Indonesia</c:v>
                </c:pt>
                <c:pt idx="4">
                  <c:v>Vietnam</c:v>
                </c:pt>
                <c:pt idx="5">
                  <c:v>Filipina</c:v>
                </c:pt>
              </c:strCache>
            </c:strRef>
          </c:cat>
          <c:val>
            <c:numRef>
              <c:f>Sheet1!$D$2:$D$7</c:f>
              <c:numCache>
                <c:formatCode>General</c:formatCode>
                <c:ptCount val="6"/>
              </c:numCache>
            </c:numRef>
          </c:val>
          <c:smooth val="0"/>
        </c:ser>
        <c:dLbls>
          <c:showLegendKey val="0"/>
          <c:showVal val="0"/>
          <c:showCatName val="0"/>
          <c:showSerName val="0"/>
          <c:showPercent val="0"/>
          <c:showBubbleSize val="0"/>
        </c:dLbls>
        <c:marker val="1"/>
        <c:smooth val="0"/>
        <c:axId val="220865280"/>
        <c:axId val="220866816"/>
      </c:lineChart>
      <c:catAx>
        <c:axId val="22086528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220866816"/>
        <c:crosses val="autoZero"/>
        <c:auto val="1"/>
        <c:lblAlgn val="ctr"/>
        <c:lblOffset val="100"/>
        <c:noMultiLvlLbl val="0"/>
      </c:catAx>
      <c:valAx>
        <c:axId val="2208668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22086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Negara</a:t>
            </a:r>
            <a:r>
              <a:rPr lang="id-ID" baseline="0"/>
              <a:t> Tujuan Investasi Sektor Jasa Konstruksi ASEAN</a:t>
            </a:r>
            <a:endParaRPr lang="id-ID"/>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1"/>
            </a:solidFill>
            <a:ln>
              <a:noFill/>
            </a:ln>
            <a:effectLst/>
            <a:sp3d/>
          </c:spPr>
          <c:invertIfNegative val="0"/>
          <c:cat>
            <c:strRef>
              <c:f>Sheet1!$A$2:$A$11</c:f>
              <c:strCache>
                <c:ptCount val="10"/>
                <c:pt idx="0">
                  <c:v>Myanmar</c:v>
                </c:pt>
                <c:pt idx="1">
                  <c:v>Malaysia</c:v>
                </c:pt>
                <c:pt idx="2">
                  <c:v>Vietnam</c:v>
                </c:pt>
                <c:pt idx="3">
                  <c:v>Laos</c:v>
                </c:pt>
                <c:pt idx="4">
                  <c:v>Indonesia</c:v>
                </c:pt>
                <c:pt idx="5">
                  <c:v>Kamboja</c:v>
                </c:pt>
                <c:pt idx="6">
                  <c:v>Filipina</c:v>
                </c:pt>
                <c:pt idx="7">
                  <c:v>Thailand</c:v>
                </c:pt>
                <c:pt idx="8">
                  <c:v>Brunei</c:v>
                </c:pt>
                <c:pt idx="9">
                  <c:v>Singapura</c:v>
                </c:pt>
              </c:strCache>
            </c:strRef>
          </c:cat>
          <c:val>
            <c:numRef>
              <c:f>Sheet1!$B$2:$B$11</c:f>
              <c:numCache>
                <c:formatCode>General</c:formatCode>
                <c:ptCount val="10"/>
                <c:pt idx="0">
                  <c:v>27</c:v>
                </c:pt>
                <c:pt idx="1">
                  <c:v>24</c:v>
                </c:pt>
                <c:pt idx="2">
                  <c:v>23</c:v>
                </c:pt>
                <c:pt idx="3">
                  <c:v>20</c:v>
                </c:pt>
                <c:pt idx="4">
                  <c:v>18</c:v>
                </c:pt>
                <c:pt idx="5">
                  <c:v>11</c:v>
                </c:pt>
                <c:pt idx="6">
                  <c:v>9</c:v>
                </c:pt>
                <c:pt idx="7">
                  <c:v>8</c:v>
                </c:pt>
                <c:pt idx="8">
                  <c:v>5</c:v>
                </c:pt>
                <c:pt idx="9">
                  <c:v>3</c:v>
                </c:pt>
              </c:numCache>
            </c:numRef>
          </c:val>
        </c:ser>
        <c:ser>
          <c:idx val="1"/>
          <c:order val="1"/>
          <c:tx>
            <c:strRef>
              <c:f>Sheet1!$C$1</c:f>
              <c:strCache>
                <c:ptCount val="1"/>
                <c:pt idx="0">
                  <c:v>Series 2</c:v>
                </c:pt>
              </c:strCache>
            </c:strRef>
          </c:tx>
          <c:spPr>
            <a:solidFill>
              <a:schemeClr val="accent2"/>
            </a:solidFill>
            <a:ln>
              <a:noFill/>
            </a:ln>
            <a:effectLst/>
            <a:sp3d/>
          </c:spPr>
          <c:invertIfNegative val="0"/>
          <c:cat>
            <c:strRef>
              <c:f>Sheet1!$A$2:$A$11</c:f>
              <c:strCache>
                <c:ptCount val="10"/>
                <c:pt idx="0">
                  <c:v>Myanmar</c:v>
                </c:pt>
                <c:pt idx="1">
                  <c:v>Malaysia</c:v>
                </c:pt>
                <c:pt idx="2">
                  <c:v>Vietnam</c:v>
                </c:pt>
                <c:pt idx="3">
                  <c:v>Laos</c:v>
                </c:pt>
                <c:pt idx="4">
                  <c:v>Indonesia</c:v>
                </c:pt>
                <c:pt idx="5">
                  <c:v>Kamboja</c:v>
                </c:pt>
                <c:pt idx="6">
                  <c:v>Filipina</c:v>
                </c:pt>
                <c:pt idx="7">
                  <c:v>Thailand</c:v>
                </c:pt>
                <c:pt idx="8">
                  <c:v>Brunei</c:v>
                </c:pt>
                <c:pt idx="9">
                  <c:v>Singapura</c:v>
                </c:pt>
              </c:strCache>
            </c:strRef>
          </c:cat>
          <c:val>
            <c:numRef>
              <c:f>Sheet1!$C$2:$C$11</c:f>
              <c:numCache>
                <c:formatCode>General</c:formatCode>
                <c:ptCount val="10"/>
              </c:numCache>
            </c:numRef>
          </c:val>
        </c:ser>
        <c:ser>
          <c:idx val="2"/>
          <c:order val="2"/>
          <c:tx>
            <c:strRef>
              <c:f>Sheet1!$D$1</c:f>
              <c:strCache>
                <c:ptCount val="1"/>
                <c:pt idx="0">
                  <c:v>Series 3</c:v>
                </c:pt>
              </c:strCache>
            </c:strRef>
          </c:tx>
          <c:spPr>
            <a:solidFill>
              <a:schemeClr val="accent3"/>
            </a:solidFill>
            <a:ln>
              <a:noFill/>
            </a:ln>
            <a:effectLst/>
            <a:sp3d/>
          </c:spPr>
          <c:invertIfNegative val="0"/>
          <c:cat>
            <c:strRef>
              <c:f>Sheet1!$A$2:$A$11</c:f>
              <c:strCache>
                <c:ptCount val="10"/>
                <c:pt idx="0">
                  <c:v>Myanmar</c:v>
                </c:pt>
                <c:pt idx="1">
                  <c:v>Malaysia</c:v>
                </c:pt>
                <c:pt idx="2">
                  <c:v>Vietnam</c:v>
                </c:pt>
                <c:pt idx="3">
                  <c:v>Laos</c:v>
                </c:pt>
                <c:pt idx="4">
                  <c:v>Indonesia</c:v>
                </c:pt>
                <c:pt idx="5">
                  <c:v>Kamboja</c:v>
                </c:pt>
                <c:pt idx="6">
                  <c:v>Filipina</c:v>
                </c:pt>
                <c:pt idx="7">
                  <c:v>Thailand</c:v>
                </c:pt>
                <c:pt idx="8">
                  <c:v>Brunei</c:v>
                </c:pt>
                <c:pt idx="9">
                  <c:v>Singapura</c:v>
                </c:pt>
              </c:strCache>
            </c:strRef>
          </c:cat>
          <c:val>
            <c:numRef>
              <c:f>Sheet1!$D$2:$D$11</c:f>
              <c:numCache>
                <c:formatCode>General</c:formatCode>
                <c:ptCount val="10"/>
              </c:numCache>
            </c:numRef>
          </c:val>
        </c:ser>
        <c:dLbls>
          <c:showLegendKey val="0"/>
          <c:showVal val="0"/>
          <c:showCatName val="0"/>
          <c:showSerName val="0"/>
          <c:showPercent val="0"/>
          <c:showBubbleSize val="0"/>
        </c:dLbls>
        <c:gapWidth val="150"/>
        <c:shape val="box"/>
        <c:axId val="220893568"/>
        <c:axId val="220895104"/>
        <c:axId val="0"/>
      </c:bar3DChart>
      <c:catAx>
        <c:axId val="220893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20895104"/>
        <c:crosses val="autoZero"/>
        <c:auto val="1"/>
        <c:lblAlgn val="ctr"/>
        <c:lblOffset val="100"/>
        <c:noMultiLvlLbl val="0"/>
      </c:catAx>
      <c:valAx>
        <c:axId val="22089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20893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Tenaga</a:t>
            </a:r>
            <a:r>
              <a:rPr lang="id-ID" baseline="0"/>
              <a:t> kerja berdasarkan kualifikasi MRA yang bersertifikasi</a:t>
            </a:r>
            <a:endParaRPr lang="id-ID"/>
          </a:p>
        </c:rich>
      </c:tx>
      <c:overlay val="0"/>
      <c:spPr>
        <a:noFill/>
        <a:ln>
          <a:noFill/>
        </a:ln>
        <a:effectLst/>
      </c:spPr>
    </c:title>
    <c:autoTitleDeleted val="0"/>
    <c:plotArea>
      <c:layout/>
      <c:barChart>
        <c:barDir val="col"/>
        <c:grouping val="clustered"/>
        <c:varyColors val="0"/>
        <c:ser>
          <c:idx val="0"/>
          <c:order val="0"/>
          <c:tx>
            <c:strRef>
              <c:f>Sheet1!$B$1</c:f>
              <c:strCache>
                <c:ptCount val="1"/>
                <c:pt idx="0">
                  <c:v>Insinyur</c:v>
                </c:pt>
              </c:strCache>
            </c:strRef>
          </c:tx>
          <c:spPr>
            <a:solidFill>
              <a:schemeClr val="accent1"/>
            </a:solidFill>
            <a:ln>
              <a:noFill/>
            </a:ln>
            <a:effectLst/>
          </c:spPr>
          <c:invertIfNegative val="0"/>
          <c:cat>
            <c:strRef>
              <c:f>Sheet1!$A$2:$A$11</c:f>
              <c:strCache>
                <c:ptCount val="10"/>
                <c:pt idx="0">
                  <c:v>Singapura</c:v>
                </c:pt>
                <c:pt idx="1">
                  <c:v>Indonesia</c:v>
                </c:pt>
                <c:pt idx="2">
                  <c:v>Malaysia</c:v>
                </c:pt>
                <c:pt idx="3">
                  <c:v>Brunei</c:v>
                </c:pt>
                <c:pt idx="4">
                  <c:v>Filipina</c:v>
                </c:pt>
                <c:pt idx="5">
                  <c:v>Thailand</c:v>
                </c:pt>
                <c:pt idx="6">
                  <c:v>Vietnam</c:v>
                </c:pt>
                <c:pt idx="7">
                  <c:v>Kamboja</c:v>
                </c:pt>
                <c:pt idx="8">
                  <c:v>Laos</c:v>
                </c:pt>
                <c:pt idx="9">
                  <c:v>Myanmar</c:v>
                </c:pt>
              </c:strCache>
            </c:strRef>
          </c:cat>
          <c:val>
            <c:numRef>
              <c:f>Sheet1!$B$2:$B$11</c:f>
              <c:numCache>
                <c:formatCode>General</c:formatCode>
                <c:ptCount val="10"/>
                <c:pt idx="0">
                  <c:v>45700</c:v>
                </c:pt>
                <c:pt idx="1">
                  <c:v>37900</c:v>
                </c:pt>
                <c:pt idx="2">
                  <c:v>36000</c:v>
                </c:pt>
                <c:pt idx="3">
                  <c:v>25890</c:v>
                </c:pt>
                <c:pt idx="4">
                  <c:v>24550</c:v>
                </c:pt>
                <c:pt idx="5">
                  <c:v>11900</c:v>
                </c:pt>
                <c:pt idx="6">
                  <c:v>7890</c:v>
                </c:pt>
                <c:pt idx="7">
                  <c:v>4390</c:v>
                </c:pt>
                <c:pt idx="8">
                  <c:v>2345</c:v>
                </c:pt>
                <c:pt idx="9">
                  <c:v>1246</c:v>
                </c:pt>
              </c:numCache>
            </c:numRef>
          </c:val>
        </c:ser>
        <c:ser>
          <c:idx val="1"/>
          <c:order val="1"/>
          <c:tx>
            <c:strRef>
              <c:f>Sheet1!$C$1</c:f>
              <c:strCache>
                <c:ptCount val="1"/>
                <c:pt idx="0">
                  <c:v>Arsitek</c:v>
                </c:pt>
              </c:strCache>
            </c:strRef>
          </c:tx>
          <c:spPr>
            <a:solidFill>
              <a:schemeClr val="accent2"/>
            </a:solidFill>
            <a:ln>
              <a:noFill/>
            </a:ln>
            <a:effectLst/>
          </c:spPr>
          <c:invertIfNegative val="0"/>
          <c:cat>
            <c:strRef>
              <c:f>Sheet1!$A$2:$A$11</c:f>
              <c:strCache>
                <c:ptCount val="10"/>
                <c:pt idx="0">
                  <c:v>Singapura</c:v>
                </c:pt>
                <c:pt idx="1">
                  <c:v>Indonesia</c:v>
                </c:pt>
                <c:pt idx="2">
                  <c:v>Malaysia</c:v>
                </c:pt>
                <c:pt idx="3">
                  <c:v>Brunei</c:v>
                </c:pt>
                <c:pt idx="4">
                  <c:v>Filipina</c:v>
                </c:pt>
                <c:pt idx="5">
                  <c:v>Thailand</c:v>
                </c:pt>
                <c:pt idx="6">
                  <c:v>Vietnam</c:v>
                </c:pt>
                <c:pt idx="7">
                  <c:v>Kamboja</c:v>
                </c:pt>
                <c:pt idx="8">
                  <c:v>Laos</c:v>
                </c:pt>
                <c:pt idx="9">
                  <c:v>Myanmar</c:v>
                </c:pt>
              </c:strCache>
            </c:strRef>
          </c:cat>
          <c:val>
            <c:numRef>
              <c:f>Sheet1!$C$2:$C$11</c:f>
              <c:numCache>
                <c:formatCode>General</c:formatCode>
                <c:ptCount val="10"/>
                <c:pt idx="0">
                  <c:v>22000</c:v>
                </c:pt>
                <c:pt idx="1">
                  <c:v>35000</c:v>
                </c:pt>
                <c:pt idx="2">
                  <c:v>26000</c:v>
                </c:pt>
                <c:pt idx="3">
                  <c:v>18000</c:v>
                </c:pt>
                <c:pt idx="4">
                  <c:v>13560</c:v>
                </c:pt>
                <c:pt idx="5">
                  <c:v>11000</c:v>
                </c:pt>
                <c:pt idx="6">
                  <c:v>9800</c:v>
                </c:pt>
                <c:pt idx="7">
                  <c:v>6980</c:v>
                </c:pt>
                <c:pt idx="8">
                  <c:v>4500</c:v>
                </c:pt>
                <c:pt idx="9">
                  <c:v>2300</c:v>
                </c:pt>
              </c:numCache>
            </c:numRef>
          </c:val>
        </c:ser>
        <c:ser>
          <c:idx val="2"/>
          <c:order val="2"/>
          <c:tx>
            <c:strRef>
              <c:f>Sheet1!$D$1</c:f>
              <c:strCache>
                <c:ptCount val="1"/>
                <c:pt idx="0">
                  <c:v>Tenaga Ahli</c:v>
                </c:pt>
              </c:strCache>
            </c:strRef>
          </c:tx>
          <c:spPr>
            <a:solidFill>
              <a:schemeClr val="accent3"/>
            </a:solidFill>
            <a:ln>
              <a:noFill/>
            </a:ln>
            <a:effectLst/>
          </c:spPr>
          <c:invertIfNegative val="0"/>
          <c:cat>
            <c:strRef>
              <c:f>Sheet1!$A$2:$A$11</c:f>
              <c:strCache>
                <c:ptCount val="10"/>
                <c:pt idx="0">
                  <c:v>Singapura</c:v>
                </c:pt>
                <c:pt idx="1">
                  <c:v>Indonesia</c:v>
                </c:pt>
                <c:pt idx="2">
                  <c:v>Malaysia</c:v>
                </c:pt>
                <c:pt idx="3">
                  <c:v>Brunei</c:v>
                </c:pt>
                <c:pt idx="4">
                  <c:v>Filipina</c:v>
                </c:pt>
                <c:pt idx="5">
                  <c:v>Thailand</c:v>
                </c:pt>
                <c:pt idx="6">
                  <c:v>Vietnam</c:v>
                </c:pt>
                <c:pt idx="7">
                  <c:v>Kamboja</c:v>
                </c:pt>
                <c:pt idx="8">
                  <c:v>Laos</c:v>
                </c:pt>
                <c:pt idx="9">
                  <c:v>Myanmar</c:v>
                </c:pt>
              </c:strCache>
            </c:strRef>
          </c:cat>
          <c:val>
            <c:numRef>
              <c:f>Sheet1!$D$2:$D$11</c:f>
              <c:numCache>
                <c:formatCode>General</c:formatCode>
                <c:ptCount val="10"/>
                <c:pt idx="0">
                  <c:v>15000</c:v>
                </c:pt>
                <c:pt idx="1">
                  <c:v>43000</c:v>
                </c:pt>
                <c:pt idx="2">
                  <c:v>33000</c:v>
                </c:pt>
                <c:pt idx="3">
                  <c:v>21000</c:v>
                </c:pt>
                <c:pt idx="4">
                  <c:v>18000</c:v>
                </c:pt>
                <c:pt idx="5">
                  <c:v>16500</c:v>
                </c:pt>
                <c:pt idx="6">
                  <c:v>15000</c:v>
                </c:pt>
                <c:pt idx="7">
                  <c:v>9000</c:v>
                </c:pt>
                <c:pt idx="8">
                  <c:v>8700</c:v>
                </c:pt>
                <c:pt idx="9">
                  <c:v>5900</c:v>
                </c:pt>
              </c:numCache>
            </c:numRef>
          </c:val>
        </c:ser>
        <c:dLbls>
          <c:showLegendKey val="0"/>
          <c:showVal val="0"/>
          <c:showCatName val="0"/>
          <c:showSerName val="0"/>
          <c:showPercent val="0"/>
          <c:showBubbleSize val="0"/>
        </c:dLbls>
        <c:gapWidth val="219"/>
        <c:overlap val="-27"/>
        <c:axId val="228862976"/>
        <c:axId val="228864768"/>
      </c:barChart>
      <c:catAx>
        <c:axId val="22886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28864768"/>
        <c:crosses val="autoZero"/>
        <c:auto val="1"/>
        <c:lblAlgn val="ctr"/>
        <c:lblOffset val="100"/>
        <c:noMultiLvlLbl val="0"/>
      </c:catAx>
      <c:valAx>
        <c:axId val="22886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2886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1B129-1E55-4CA9-921D-255E141D8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193</Pages>
  <Words>42090</Words>
  <Characters>239918</Characters>
  <Application>Microsoft Office Word</Application>
  <DocSecurity>0</DocSecurity>
  <Lines>1999</Lines>
  <Paragraphs>562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HP</cp:lastModifiedBy>
  <cp:revision>11</cp:revision>
  <dcterms:created xsi:type="dcterms:W3CDTF">2017-02-25T10:48:00Z</dcterms:created>
  <dcterms:modified xsi:type="dcterms:W3CDTF">2017-04-07T03:09:00Z</dcterms:modified>
</cp:coreProperties>
</file>