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BD" w:rsidRPr="007F1A4A" w:rsidRDefault="001A5C19" w:rsidP="007F1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1A4A">
        <w:rPr>
          <w:rFonts w:ascii="Times New Roman" w:hAnsi="Times New Roman" w:cs="Times New Roman"/>
          <w:b/>
          <w:sz w:val="24"/>
          <w:szCs w:val="24"/>
        </w:rPr>
        <w:t>BAB IV</w:t>
      </w:r>
    </w:p>
    <w:p w:rsidR="001A5C19" w:rsidRPr="007F1A4A" w:rsidRDefault="001A5C19" w:rsidP="007F1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A4A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A5C19" w:rsidRPr="007F1A4A" w:rsidRDefault="001A5C19" w:rsidP="007F1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5C19" w:rsidRPr="007F1A4A" w:rsidRDefault="001A5C19" w:rsidP="007F1A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A4A">
        <w:rPr>
          <w:rFonts w:ascii="Times New Roman" w:hAnsi="Times New Roman" w:cs="Times New Roman"/>
          <w:b/>
          <w:sz w:val="24"/>
          <w:szCs w:val="24"/>
        </w:rPr>
        <w:t xml:space="preserve">4.1 </w:t>
      </w:r>
      <w:proofErr w:type="spellStart"/>
      <w:r w:rsidRPr="007F1A4A">
        <w:rPr>
          <w:rFonts w:ascii="Times New Roman" w:hAnsi="Times New Roman" w:cs="Times New Roman"/>
          <w:b/>
          <w:sz w:val="24"/>
          <w:szCs w:val="24"/>
        </w:rPr>
        <w:t>Ringkasan</w:t>
      </w:r>
      <w:proofErr w:type="spellEnd"/>
    </w:p>
    <w:p w:rsidR="001A5C19" w:rsidRPr="007F1A4A" w:rsidRDefault="001A5C19" w:rsidP="007F1A4A">
      <w:pPr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Door to Door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F64" w:rsidRPr="007F1A4A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970F64" w:rsidRPr="007F1A4A">
        <w:rPr>
          <w:rFonts w:ascii="Times New Roman" w:hAnsi="Times New Roman" w:cs="Times New Roman"/>
          <w:sz w:val="24"/>
          <w:szCs w:val="24"/>
        </w:rPr>
        <w:t>:</w:t>
      </w:r>
    </w:p>
    <w:p w:rsidR="00970F64" w:rsidRPr="007F1A4A" w:rsidRDefault="00970F64" w:rsidP="007F1A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Door to Door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>:</w:t>
      </w:r>
    </w:p>
    <w:p w:rsidR="00970F64" w:rsidRPr="007F1A4A" w:rsidRDefault="00970F64" w:rsidP="007F1A4A">
      <w:pPr>
        <w:pStyle w:val="ListParagraph"/>
        <w:numPr>
          <w:ilvl w:val="0"/>
          <w:numId w:val="2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Menugaskan Kepala Unit Pelayanan Pendapatan dan Pemberdayaan Aset Daerah Provinsi Jawa Tengah untuk melaksanakan Petunjuk Teknis Penanganan Piutang </w:t>
      </w:r>
      <w:r w:rsidRPr="007F1A4A">
        <w:rPr>
          <w:rFonts w:ascii="Times New Roman" w:hAnsi="Times New Roman" w:cs="Times New Roman"/>
          <w:sz w:val="24"/>
          <w:szCs w:val="24"/>
          <w:lang w:val="id-ID"/>
        </w:rPr>
        <w:t>PKB</w:t>
      </w: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970F64" w:rsidRPr="007F1A4A" w:rsidRDefault="00970F64" w:rsidP="007F1A4A">
      <w:pPr>
        <w:pStyle w:val="ListParagraph"/>
        <w:numPr>
          <w:ilvl w:val="0"/>
          <w:numId w:val="2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Menetapkan PKB dan menerbitkan Surat Ketetapan Pajak (SKPD) atau dokumen lain yang dipersamakan untuk obyek kendaraan bermotor yang tidak melakukan pembayaran PKB sampai dengan tanggal berakhirnya masa pajak;</w:t>
      </w:r>
    </w:p>
    <w:p w:rsidR="00970F64" w:rsidRPr="007F1A4A" w:rsidRDefault="00970F64" w:rsidP="007F1A4A">
      <w:pPr>
        <w:pStyle w:val="ListParagraph"/>
        <w:numPr>
          <w:ilvl w:val="0"/>
          <w:numId w:val="2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Menerbitkan Surat Tagihan Pajak Daerah (STPD), apabila :</w:t>
      </w:r>
    </w:p>
    <w:p w:rsidR="00970F64" w:rsidRPr="007F1A4A" w:rsidRDefault="00970F64" w:rsidP="007F1A4A">
      <w:pPr>
        <w:pStyle w:val="ListParagraph"/>
        <w:numPr>
          <w:ilvl w:val="0"/>
          <w:numId w:val="3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PKB terhutang tidak dibayar sampai dengan berakhirnya masa bayar SKPD atau dokumen lain yang dipersamakan;</w:t>
      </w:r>
    </w:p>
    <w:p w:rsidR="00970F64" w:rsidRPr="007F1A4A" w:rsidRDefault="00970F64" w:rsidP="007F1A4A">
      <w:pPr>
        <w:pStyle w:val="ListParagraph"/>
        <w:numPr>
          <w:ilvl w:val="0"/>
          <w:numId w:val="3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Status kepemilikan obyek kendaraan bermotor dimiliki oleh wajib pajak dan putang PKB masih berpotensi tertagih (dimiliki).</w:t>
      </w:r>
    </w:p>
    <w:p w:rsidR="00970F64" w:rsidRPr="007F1A4A" w:rsidRDefault="00970F64" w:rsidP="007F1A4A">
      <w:pPr>
        <w:pStyle w:val="ListParagraph"/>
        <w:numPr>
          <w:ilvl w:val="0"/>
          <w:numId w:val="2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Menerbitkan Surat Peringatan kecuali obyek piutang dengan potensi tidak tertagih, apabila PKB terhutang tidak dibayar sampai dengan berakhirnya masa bayar STPD/Surat Peringatan Pertama (SP-1)/Surat Peringatan Kedua (SP-2),  ;</w:t>
      </w:r>
    </w:p>
    <w:p w:rsidR="00970F64" w:rsidRPr="007F1A4A" w:rsidRDefault="00970F64" w:rsidP="007F1A4A">
      <w:pPr>
        <w:pStyle w:val="ListParagraph"/>
        <w:numPr>
          <w:ilvl w:val="0"/>
          <w:numId w:val="2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Melakukan penagihan secara aktif sampai dengan berakhirnya masa bayar  SKPD/STPD/SP-1/SP-2/SP-3</w:t>
      </w:r>
      <w:r w:rsidRPr="007F1A4A">
        <w:rPr>
          <w:rFonts w:ascii="Times New Roman" w:hAnsi="Times New Roman" w:cs="Times New Roman"/>
          <w:sz w:val="24"/>
          <w:szCs w:val="24"/>
        </w:rPr>
        <w:t xml:space="preserve">. </w:t>
      </w: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Masa bayar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(</w:t>
      </w: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PKB</w:t>
      </w:r>
      <w:r w:rsidRPr="007F1A4A">
        <w:rPr>
          <w:rFonts w:ascii="Times New Roman" w:hAnsi="Times New Roman" w:cs="Times New Roman"/>
          <w:sz w:val="24"/>
          <w:szCs w:val="24"/>
        </w:rPr>
        <w:t>)</w:t>
      </w: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adalah :</w:t>
      </w:r>
    </w:p>
    <w:p w:rsidR="00970F64" w:rsidRPr="007F1A4A" w:rsidRDefault="00970F64" w:rsidP="007F1A4A">
      <w:pPr>
        <w:pStyle w:val="ListParagraph"/>
        <w:numPr>
          <w:ilvl w:val="0"/>
          <w:numId w:val="4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30 (tiga puluh) hari terhitung mulai tanggal diterbitkan Surat Ketetapan Pajak Daerah (SKPD) atau dokumen lain yang dipersamakan.</w:t>
      </w:r>
    </w:p>
    <w:p w:rsidR="00970F64" w:rsidRPr="007F1A4A" w:rsidRDefault="00970F64" w:rsidP="007F1A4A">
      <w:pPr>
        <w:pStyle w:val="ListParagraph"/>
        <w:numPr>
          <w:ilvl w:val="0"/>
          <w:numId w:val="4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37 (tiga puluh tujuh) hari terhitung mulai tanggal diterbitkan Surat Tagihan Pajak Daerah (STPD) atau dokumen lain yang dipersamakan.</w:t>
      </w:r>
    </w:p>
    <w:p w:rsidR="00970F64" w:rsidRPr="007F1A4A" w:rsidRDefault="00970F64" w:rsidP="007F1A4A">
      <w:pPr>
        <w:pStyle w:val="ListParagraph"/>
        <w:numPr>
          <w:ilvl w:val="0"/>
          <w:numId w:val="4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>21 (dua puluh satu) hari terhitung mulai tanggal diterbitkan Surat Peringatan 1 (SP-1) atau dokumen lain yang dipersamakan.</w:t>
      </w:r>
    </w:p>
    <w:p w:rsidR="00970F64" w:rsidRPr="007F1A4A" w:rsidRDefault="00970F64" w:rsidP="007F1A4A">
      <w:pPr>
        <w:pStyle w:val="ListParagraph"/>
        <w:numPr>
          <w:ilvl w:val="0"/>
          <w:numId w:val="4"/>
        </w:numPr>
        <w:tabs>
          <w:tab w:val="left" w:pos="2160"/>
          <w:tab w:val="left" w:pos="2340"/>
          <w:tab w:val="left" w:pos="2700"/>
        </w:tabs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F1A4A">
        <w:rPr>
          <w:rFonts w:ascii="Times New Roman" w:eastAsia="Calibri" w:hAnsi="Times New Roman" w:cs="Times New Roman"/>
          <w:sz w:val="24"/>
          <w:szCs w:val="24"/>
          <w:lang w:val="id-ID"/>
        </w:rPr>
        <w:t>35 (tiga puluh lima) hari terhitung mulai tanggal diterbitkan Surat Peringatan 2 (SP-2) atau dokumen lain yang dipersamakan.</w:t>
      </w:r>
    </w:p>
    <w:p w:rsidR="007F1A4A" w:rsidRPr="007F1A4A" w:rsidRDefault="007F1A4A" w:rsidP="007F1A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Door to Door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PKB. 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Door to Door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kegitan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kesadran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tunggakannya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>.</w:t>
      </w:r>
    </w:p>
    <w:p w:rsidR="001A5C19" w:rsidRPr="007F1A4A" w:rsidRDefault="00960FE8" w:rsidP="007F1A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Pendataan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Door to Door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tunggakan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Bermotor</w:t>
      </w:r>
      <w:proofErr w:type="spellEnd"/>
    </w:p>
    <w:p w:rsidR="00960FE8" w:rsidRPr="007F1A4A" w:rsidRDefault="00960FE8" w:rsidP="007F1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Door to Door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berkontribusi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</w:t>
      </w:r>
    </w:p>
    <w:p w:rsidR="00960FE8" w:rsidRPr="007F1A4A" w:rsidRDefault="00960FE8" w:rsidP="007F1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Diakhir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F1A4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tertagih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intensifikasi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tolak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>.</w:t>
      </w:r>
    </w:p>
    <w:p w:rsidR="007F1A4A" w:rsidRDefault="00960FE8" w:rsidP="007F1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Tersedianya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tertagih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1A4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penghapusan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PKB,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piutang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PKB.</w:t>
      </w:r>
    </w:p>
    <w:p w:rsidR="007F1A4A" w:rsidRPr="007F1A4A" w:rsidRDefault="007F1A4A" w:rsidP="007F1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menunggak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tagihan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>.</w:t>
      </w:r>
    </w:p>
    <w:p w:rsidR="007F1A4A" w:rsidRPr="007F1A4A" w:rsidRDefault="007F1A4A" w:rsidP="007F1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Kendaraan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Bermotor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Daerah (PAD)</w:t>
      </w:r>
    </w:p>
    <w:p w:rsidR="007F1A4A" w:rsidRPr="007F1A4A" w:rsidRDefault="007F1A4A" w:rsidP="007F1A4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A4A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kejelasan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PKB yang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A4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7F1A4A">
        <w:rPr>
          <w:rFonts w:ascii="Times New Roman" w:hAnsi="Times New Roman" w:cs="Times New Roman"/>
          <w:sz w:val="24"/>
          <w:szCs w:val="24"/>
        </w:rPr>
        <w:t>.</w:t>
      </w:r>
    </w:p>
    <w:sectPr w:rsidR="007F1A4A" w:rsidRPr="007F1A4A" w:rsidSect="00CD214A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3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14A" w:rsidRDefault="00CD214A" w:rsidP="00CD214A">
      <w:pPr>
        <w:spacing w:after="0" w:line="240" w:lineRule="auto"/>
      </w:pPr>
      <w:r>
        <w:separator/>
      </w:r>
    </w:p>
  </w:endnote>
  <w:endnote w:type="continuationSeparator" w:id="0">
    <w:p w:rsidR="00CD214A" w:rsidRDefault="00CD214A" w:rsidP="00CD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4A" w:rsidRDefault="00CD214A" w:rsidP="00CD214A">
    <w:pPr>
      <w:pStyle w:val="Footer"/>
      <w:jc w:val="center"/>
    </w:pPr>
    <w: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14A" w:rsidRDefault="00CD214A" w:rsidP="00CD214A">
      <w:pPr>
        <w:spacing w:after="0" w:line="240" w:lineRule="auto"/>
      </w:pPr>
      <w:r>
        <w:separator/>
      </w:r>
    </w:p>
  </w:footnote>
  <w:footnote w:type="continuationSeparator" w:id="0">
    <w:p w:rsidR="00CD214A" w:rsidRDefault="00CD214A" w:rsidP="00CD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3950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214A" w:rsidRDefault="00CD21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CD214A" w:rsidRDefault="00CD2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C32"/>
    <w:multiLevelType w:val="hybridMultilevel"/>
    <w:tmpl w:val="284428A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D04EBB"/>
    <w:multiLevelType w:val="hybridMultilevel"/>
    <w:tmpl w:val="B2EEEE9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96027C"/>
    <w:multiLevelType w:val="hybridMultilevel"/>
    <w:tmpl w:val="FE0EE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756AE"/>
    <w:multiLevelType w:val="hybridMultilevel"/>
    <w:tmpl w:val="39328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96EDA"/>
    <w:multiLevelType w:val="hybridMultilevel"/>
    <w:tmpl w:val="C7B068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8340CF"/>
    <w:multiLevelType w:val="hybridMultilevel"/>
    <w:tmpl w:val="2B2E06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86772D"/>
    <w:multiLevelType w:val="hybridMultilevel"/>
    <w:tmpl w:val="D82806BA"/>
    <w:lvl w:ilvl="0" w:tplc="04090011">
      <w:start w:val="1"/>
      <w:numFmt w:val="decimal"/>
      <w:lvlText w:val="%1)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EDA2DF9"/>
    <w:multiLevelType w:val="hybridMultilevel"/>
    <w:tmpl w:val="5770E6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9B5B2A"/>
    <w:multiLevelType w:val="hybridMultilevel"/>
    <w:tmpl w:val="59E05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C19"/>
    <w:rsid w:val="001A5C19"/>
    <w:rsid w:val="0048044D"/>
    <w:rsid w:val="007F1A4A"/>
    <w:rsid w:val="00960FE8"/>
    <w:rsid w:val="00970F64"/>
    <w:rsid w:val="00B12114"/>
    <w:rsid w:val="00CD214A"/>
    <w:rsid w:val="00F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14A"/>
  </w:style>
  <w:style w:type="paragraph" w:styleId="Footer">
    <w:name w:val="footer"/>
    <w:basedOn w:val="Normal"/>
    <w:link w:val="FooterChar"/>
    <w:uiPriority w:val="99"/>
    <w:unhideWhenUsed/>
    <w:rsid w:val="00CD2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FOX25</cp:lastModifiedBy>
  <cp:revision>3</cp:revision>
  <cp:lastPrinted>2016-06-21T08:23:00Z</cp:lastPrinted>
  <dcterms:created xsi:type="dcterms:W3CDTF">2016-06-19T22:43:00Z</dcterms:created>
  <dcterms:modified xsi:type="dcterms:W3CDTF">2016-06-21T08:25:00Z</dcterms:modified>
</cp:coreProperties>
</file>