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eastAsia="Times New Roman" w:cs="Arial" w:ascii="Arial" w:hAnsi="Arial"/>
          <w:b/>
          <w:lang w:val="en-US"/>
        </w:rPr>
      </w:pPr>
      <w:r>
        <w:rPr>
          <w:rFonts w:eastAsia="Times New Roman" w:cs="Arial" w:ascii="Arial" w:hAnsi="Arial"/>
          <w:b/>
        </w:rPr>
        <w:t>U</w:t>
      </w:r>
      <w:r>
        <w:rPr>
          <w:rFonts w:eastAsia="Times New Roman" w:cs="Arial" w:ascii="Arial" w:hAnsi="Arial"/>
          <w:b/>
          <w:lang w:val="en-US"/>
        </w:rPr>
        <w:t>niversitas Diponegoro</w:t>
      </w:r>
    </w:p>
    <w:p>
      <w:pPr>
        <w:pStyle w:val="Normal"/>
        <w:spacing w:lineRule="auto" w:line="240" w:before="0" w:after="0"/>
        <w:jc w:val="right"/>
        <w:rPr>
          <w:rFonts w:eastAsia="Times New Roman" w:cs="Arial" w:ascii="Arial" w:hAnsi="Arial"/>
          <w:b/>
        </w:rPr>
      </w:pPr>
      <w:r>
        <w:rPr>
          <w:rFonts w:eastAsia="Times New Roman" w:cs="Arial" w:ascii="Arial" w:hAnsi="Arial"/>
          <w:b/>
        </w:rPr>
        <w:t>Fakultas Kesehatan Masyarakat</w:t>
      </w:r>
    </w:p>
    <w:p>
      <w:pPr>
        <w:pStyle w:val="Normal"/>
        <w:spacing w:lineRule="auto" w:line="240" w:before="0" w:after="0"/>
        <w:jc w:val="right"/>
        <w:rPr>
          <w:rFonts w:eastAsia="Times New Roman" w:cs="Arial" w:ascii="Arial" w:hAnsi="Arial"/>
          <w:b/>
          <w:lang w:val="en-US"/>
        </w:rPr>
      </w:pPr>
      <w:r>
        <w:rPr>
          <w:rFonts w:eastAsia="Times New Roman" w:cs="Arial" w:ascii="Arial" w:hAnsi="Arial"/>
          <w:b/>
          <w:lang w:val="en-US"/>
        </w:rPr>
        <w:t>Program Studi Magister Ilmu Kesehatan Masyarakat</w:t>
      </w:r>
    </w:p>
    <w:p>
      <w:pPr>
        <w:pStyle w:val="Normal"/>
        <w:spacing w:lineRule="auto" w:line="240" w:before="0" w:after="0"/>
        <w:jc w:val="right"/>
        <w:rPr>
          <w:rFonts w:eastAsia="Times New Roman" w:cs="Arial" w:ascii="Arial" w:hAnsi="Arial"/>
          <w:b/>
          <w:lang w:val="en-US"/>
        </w:rPr>
      </w:pPr>
      <w:r>
        <w:rPr>
          <w:rFonts w:eastAsia="Times New Roman" w:cs="Arial" w:ascii="Arial" w:hAnsi="Arial"/>
          <w:b/>
        </w:rPr>
        <w:t xml:space="preserve">Konsentrasi </w:t>
      </w:r>
      <w:r>
        <w:rPr>
          <w:rFonts w:eastAsia="Times New Roman" w:cs="Arial" w:ascii="Arial" w:hAnsi="Arial"/>
          <w:b/>
          <w:lang w:val="en-US"/>
        </w:rPr>
        <w:t>Kesehatan Ibu dan Anak</w:t>
      </w:r>
    </w:p>
    <w:p>
      <w:pPr>
        <w:pStyle w:val="Normal"/>
        <w:spacing w:lineRule="auto" w:line="240" w:before="0" w:after="0"/>
        <w:jc w:val="right"/>
        <w:rPr>
          <w:rFonts w:eastAsia="Times New Roman" w:cs="Arial" w:ascii="Arial" w:hAnsi="Arial"/>
          <w:b/>
        </w:rPr>
      </w:pPr>
      <w:r>
        <w:rPr>
          <w:rFonts w:eastAsia="Times New Roman" w:cs="Arial" w:ascii="Arial" w:hAnsi="Arial"/>
          <w:b/>
        </w:rPr>
        <w:t>2016</w:t>
      </w:r>
    </w:p>
    <w:p>
      <w:pPr>
        <w:pStyle w:val="Normal"/>
        <w:spacing w:lineRule="auto" w:line="240" w:before="0" w:after="0"/>
        <w:rPr>
          <w:rFonts w:eastAsia="Times New Roman" w:cs="Arial" w:ascii="Arial" w:hAnsi="Arial"/>
          <w:b/>
          <w:lang w:val="en-US"/>
        </w:rPr>
      </w:pPr>
      <w:r>
        <w:rPr>
          <w:rFonts w:eastAsia="Times New Roman" w:cs="Arial" w:ascii="Arial" w:hAnsi="Arial"/>
          <w:b/>
          <w:lang w:val="en-US"/>
        </w:rPr>
      </w:r>
    </w:p>
    <w:p>
      <w:pPr>
        <w:pStyle w:val="Normal"/>
        <w:spacing w:lineRule="auto" w:line="240" w:before="0" w:after="0"/>
        <w:jc w:val="center"/>
        <w:rPr>
          <w:rFonts w:eastAsia="Times New Roman" w:cs="Arial" w:ascii="Arial" w:hAnsi="Arial"/>
          <w:b/>
          <w:bCs/>
        </w:rPr>
      </w:pPr>
      <w:r>
        <w:rPr>
          <w:rFonts w:eastAsia="Times New Roman" w:cs="Arial" w:ascii="Arial" w:hAnsi="Arial"/>
          <w:b/>
          <w:bCs/>
        </w:rPr>
        <w:t>ABSTRAK</w:t>
      </w:r>
    </w:p>
    <w:p>
      <w:pPr>
        <w:pStyle w:val="Normal"/>
        <w:spacing w:lineRule="auto" w:line="240" w:before="0" w:after="0"/>
        <w:jc w:val="both"/>
        <w:rPr>
          <w:rFonts w:eastAsia="Times New Roman" w:cs="Arial" w:ascii="Arial" w:hAnsi="Arial"/>
          <w:b/>
          <w:bCs/>
        </w:rPr>
      </w:pPr>
      <w:r>
        <w:rPr>
          <w:rFonts w:eastAsia="Times New Roman" w:cs="Arial" w:ascii="Arial" w:hAnsi="Arial"/>
          <w:b/>
          <w:bCs/>
        </w:rPr>
        <w:t>Miftachul Jannah</w:t>
      </w:r>
    </w:p>
    <w:p>
      <w:pPr>
        <w:pStyle w:val="Normal"/>
        <w:spacing w:lineRule="auto" w:line="240" w:before="0" w:after="0"/>
        <w:rPr>
          <w:rFonts w:eastAsia="Times New Roman" w:cs="Arial" w:ascii="Arial" w:hAnsi="Arial"/>
          <w:b/>
        </w:rPr>
      </w:pPr>
      <w:r>
        <w:rPr>
          <w:rFonts w:eastAsia="Times New Roman" w:cs="Arial" w:ascii="Arial" w:hAnsi="Arial"/>
          <w:b/>
        </w:rPr>
        <w:t xml:space="preserve">Pengembangan Standar Operasional Prosedur (SOP) Persiapan Rujukan Kasus Pre eklampsia Berat/eklampsia oleh Bidan Desa di Kabupaten Pekalongan </w:t>
      </w:r>
    </w:p>
    <w:p>
      <w:pPr>
        <w:pStyle w:val="Normal"/>
        <w:spacing w:lineRule="auto" w:line="240" w:before="0" w:after="0"/>
        <w:rPr>
          <w:rFonts w:eastAsia="Times New Roman" w:cs="Arial" w:ascii="Arial" w:hAnsi="Arial"/>
          <w:b/>
        </w:rPr>
      </w:pPr>
      <w:r>
        <w:rPr>
          <w:rFonts w:eastAsia="Times New Roman" w:cs="Arial" w:ascii="Arial" w:hAnsi="Arial"/>
          <w:b/>
        </w:rPr>
        <w:t>xv +98halaman +6 tabel+6 gambar+ 11 lampiran</w:t>
      </w:r>
    </w:p>
    <w:p>
      <w:pPr>
        <w:pStyle w:val="Normal"/>
        <w:spacing w:lineRule="auto" w:line="240" w:before="0" w:after="0"/>
        <w:rPr>
          <w:rFonts w:eastAsia="Times New Roman" w:cs="Arial" w:ascii="Arial" w:hAnsi="Arial"/>
        </w:rPr>
      </w:pPr>
      <w:r>
        <w:rPr>
          <w:rFonts w:eastAsia="Times New Roman" w:cs="Arial" w:ascii="Arial" w:hAnsi="Arial"/>
        </w:rPr>
      </w:r>
    </w:p>
    <w:p>
      <w:pPr>
        <w:pStyle w:val="Normal"/>
        <w:tabs>
          <w:tab w:val="left" w:pos="426" w:leader="none"/>
        </w:tabs>
        <w:spacing w:lineRule="auto" w:line="240" w:before="0" w:after="0"/>
        <w:jc w:val="both"/>
        <w:rPr>
          <w:rFonts w:cs="Arial" w:ascii="Arial" w:hAnsi="Arial"/>
        </w:rPr>
      </w:pPr>
      <w:r>
        <w:rPr>
          <w:rFonts w:eastAsia="Times New Roman" w:cs="Arial" w:ascii="Arial" w:hAnsi="Arial"/>
          <w:i/>
          <w:iCs/>
        </w:rPr>
        <w:tab/>
      </w:r>
      <w:r>
        <w:rPr>
          <w:rFonts w:eastAsia="Times New Roman" w:cs="Arial" w:ascii="Arial" w:hAnsi="Arial"/>
          <w:iCs/>
        </w:rPr>
        <w:t xml:space="preserve">Angka Kematian Ibu di Kabupaten Pekalongan tahun 2014 mengalami peningkatan, penyebab kematian ibu tertinggi yaitu pre eklampsia berat/eklampsia dengan jumlah kasus 16 (41%). Dari kasus kematian tersebut masih ada bidan yang tidak memberikan penanganan persiapan rujukan karena belum memahami SOP. </w:t>
      </w:r>
      <w:r>
        <w:rPr>
          <w:rFonts w:cs="Arial" w:ascii="Arial" w:hAnsi="Arial"/>
          <w:iCs/>
        </w:rPr>
        <w:t>T</w:t>
      </w:r>
      <w:r>
        <w:rPr>
          <w:rFonts w:cs="Arial" w:ascii="Arial" w:hAnsi="Arial"/>
        </w:rPr>
        <w:t>ujuan penelitian mengembangkan SOP persiapan rujukan kasus pre eklampsia berat/eklampsia  yang dapat dipahami serta mudah dilaksanakan oleh Bidan Desa di Kabupaten Pekalongan.</w:t>
      </w:r>
    </w:p>
    <w:p>
      <w:pPr>
        <w:pStyle w:val="Normal"/>
        <w:tabs>
          <w:tab w:val="left" w:pos="426" w:leader="none"/>
        </w:tabs>
        <w:spacing w:lineRule="auto" w:line="240" w:before="0" w:after="0"/>
        <w:jc w:val="both"/>
        <w:rPr>
          <w:rFonts w:cs="Arial" w:ascii="Arial" w:hAnsi="Arial"/>
        </w:rPr>
      </w:pPr>
      <w:r>
        <w:rPr>
          <w:rFonts w:cs="Arial" w:ascii="Arial" w:hAnsi="Arial"/>
        </w:rPr>
        <w:tab/>
        <w:t xml:space="preserve">Jenis penelitian kualitatif.Data </w:t>
      </w:r>
      <w:r>
        <w:rPr>
          <w:rFonts w:cs="Arial" w:ascii="Arial" w:hAnsi="Arial"/>
          <w:iCs/>
        </w:rPr>
        <w:t xml:space="preserve">kualitatif dikumpulkan dengan </w:t>
      </w:r>
      <w:r>
        <w:rPr>
          <w:rFonts w:cs="Arial" w:ascii="Arial" w:hAnsi="Arial"/>
        </w:rPr>
        <w:t xml:space="preserve">metode diskusi kelompok dengan metode </w:t>
      </w:r>
      <w:r>
        <w:rPr>
          <w:rFonts w:cs="Arial" w:ascii="Arial" w:hAnsi="Arial"/>
          <w:i/>
          <w:iCs/>
        </w:rPr>
        <w:t>Nominal Group Technique (NGT</w:t>
      </w:r>
      <w:r>
        <w:rPr>
          <w:rFonts w:cs="Arial" w:ascii="Arial" w:hAnsi="Arial"/>
        </w:rPr>
        <w:t>). Data tentang pemahaman terhadap SOP dikumpulkan dengan kuesioner terstruktur pada 77 bidan desa.</w:t>
      </w:r>
      <w:r>
        <w:rPr>
          <w:rFonts w:cs="Arial" w:ascii="Arial" w:hAnsi="Arial"/>
          <w:iCs/>
        </w:rPr>
        <w:t>J</w:t>
      </w:r>
      <w:r>
        <w:rPr>
          <w:rFonts w:cs="Arial" w:ascii="Arial" w:hAnsi="Arial"/>
        </w:rPr>
        <w:t>umlah subjek kualitatif 5 orang bidan desa, 5 orang bidan PONEK dan 1 orang dokter spesialis. Instrumen pemahamantelah diujivaliditas dan reliabilitasnya.Analisis data secara deskriptif dan analisis isi.</w:t>
      </w:r>
    </w:p>
    <w:p>
      <w:pPr>
        <w:pStyle w:val="Normal"/>
        <w:tabs>
          <w:tab w:val="left" w:pos="426" w:leader="none"/>
        </w:tabs>
        <w:spacing w:lineRule="auto" w:line="240" w:before="0" w:after="0"/>
        <w:jc w:val="both"/>
        <w:rPr>
          <w:rFonts w:cs="Arial" w:ascii="Arial" w:hAnsi="Arial"/>
          <w:color w:val="000000"/>
        </w:rPr>
      </w:pPr>
      <w:r>
        <w:rPr>
          <w:rFonts w:cs="Arial" w:ascii="Arial" w:hAnsi="Arial"/>
        </w:rPr>
        <w:tab/>
        <w:t>Hasil penelitian menunjukkan pemahaman bidan desa</w:t>
      </w:r>
      <w:r>
        <w:rPr>
          <w:rFonts w:cs="Arial" w:ascii="Arial" w:hAnsi="Arial"/>
          <w:color w:val="000000"/>
        </w:rPr>
        <w:t>kurang (29,9%), cukup (58,4%), dan</w:t>
      </w:r>
      <w:r>
        <w:rPr>
          <w:rFonts w:cs="Arial" w:ascii="Arial" w:hAnsi="Arial"/>
        </w:rPr>
        <w:t xml:space="preserve">baik (11,7%). </w:t>
      </w:r>
      <w:r>
        <w:rPr>
          <w:rFonts w:cs="Arial" w:ascii="Arial" w:hAnsi="Arial"/>
          <w:color w:val="000000"/>
        </w:rPr>
        <w:t>Pemahaman yang kurang terdiri dari: tanda dan gejala</w:t>
      </w:r>
      <w:r>
        <w:rPr>
          <w:rFonts w:cs="Arial" w:ascii="Arial" w:hAnsi="Arial"/>
        </w:rPr>
        <w:t xml:space="preserve">, efeksamping MgSO4 dan penanganan awal pre eklampsia berat/ eklampsia pra rujukan. SOP yang baru lebih jelas dalam penilaian klinik dan pengelolaan pra rujukan dari </w:t>
      </w:r>
      <w:r>
        <w:rPr>
          <w:rFonts w:cs="Arial" w:ascii="Arial" w:hAnsi="Arial"/>
          <w:i/>
        </w:rPr>
        <w:t>informed consent</w:t>
      </w:r>
      <w:r>
        <w:rPr>
          <w:rFonts w:cs="Arial" w:ascii="Arial" w:hAnsi="Arial"/>
        </w:rPr>
        <w:t xml:space="preserve"> sampai </w:t>
      </w:r>
      <w:r>
        <w:rPr>
          <w:rFonts w:eastAsia="Calibri" w:cs="Arial" w:ascii="Arial" w:hAnsi="Arial"/>
          <w:bCs/>
        </w:rPr>
        <w:t xml:space="preserve">pasien mendapat perawatan di ruang IGD. </w:t>
      </w:r>
      <w:r>
        <w:rPr>
          <w:rFonts w:cs="Arial" w:ascii="Arial" w:hAnsi="Arial"/>
          <w:color w:val="000000"/>
        </w:rPr>
        <w:t>SOP menggunakan bagan yang lebih sederhana.</w:t>
      </w:r>
    </w:p>
    <w:p>
      <w:pPr>
        <w:pStyle w:val="Normal"/>
        <w:tabs>
          <w:tab w:val="left" w:pos="426" w:leader="none"/>
        </w:tabs>
        <w:spacing w:lineRule="auto" w:line="240" w:before="0" w:after="0"/>
        <w:jc w:val="both"/>
        <w:rPr>
          <w:rFonts w:cs="Arial" w:ascii="Arial" w:hAnsi="Arial"/>
        </w:rPr>
      </w:pPr>
      <w:r>
        <w:rPr>
          <w:rFonts w:cs="Arial" w:ascii="Arial" w:hAnsi="Arial"/>
        </w:rPr>
        <w:tab/>
        <w:t>Disarankan kepada Dinas Kesehatan dan Organisasi IBI untuk Dapat menguji coba</w:t>
      </w:r>
      <w:r>
        <w:rPr>
          <w:rFonts w:cs="Arial" w:ascii="Arial" w:hAnsi="Arial"/>
          <w:lang w:val="en-AU"/>
        </w:rPr>
        <w:t xml:space="preserve"> </w:t>
      </w:r>
      <w:r>
        <w:rPr>
          <w:rFonts w:cs="Arial" w:ascii="Arial" w:hAnsi="Arial"/>
        </w:rPr>
        <w:t>SOP dalam penanganan preeklamsia/ eklamsia sebelum melakukan rujukan oleh bidan untuk mengurangi AKI serta AKB.</w:t>
      </w:r>
    </w:p>
    <w:p>
      <w:pPr>
        <w:pStyle w:val="Normal"/>
        <w:tabs>
          <w:tab w:val="left" w:pos="42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ind w:left="1418" w:right="0" w:hanging="1418"/>
        <w:jc w:val="both"/>
        <w:rPr>
          <w:rFonts w:cs="Arial" w:ascii="Arial" w:hAnsi="Arial"/>
        </w:rPr>
      </w:pPr>
      <w:r>
        <w:rPr>
          <w:rFonts w:cs="Arial" w:ascii="Arial" w:hAnsi="Arial"/>
        </w:rPr>
        <w:t xml:space="preserve">Kata </w:t>
      </w:r>
      <w:r>
        <w:rPr>
          <w:rFonts w:cs="Arial" w:ascii="Arial" w:hAnsi="Arial"/>
          <w:lang w:val="en-US"/>
        </w:rPr>
        <w:t>k</w:t>
      </w:r>
      <w:r>
        <w:rPr>
          <w:rFonts w:cs="Arial" w:ascii="Arial" w:hAnsi="Arial"/>
        </w:rPr>
        <w:t>unci</w:t>
        <w:tab/>
        <w:t>: Pre eklampsia berat/eklampsia, Standar Operasional Prosedur, Persiapan Rujukan</w:t>
      </w:r>
    </w:p>
    <w:p>
      <w:pPr>
        <w:pStyle w:val="Normal"/>
        <w:tabs>
          <w:tab w:val="left" w:pos="1276" w:leader="none"/>
        </w:tabs>
        <w:spacing w:lineRule="auto" w:line="240" w:before="0" w:after="0"/>
        <w:jc w:val="both"/>
        <w:rPr>
          <w:rFonts w:cs="Arial" w:ascii="Arial" w:hAnsi="Arial"/>
        </w:rPr>
      </w:pPr>
      <w:r>
        <w:rPr>
          <w:rFonts w:cs="Arial" w:ascii="Arial" w:hAnsi="Arial"/>
          <w:bCs/>
        </w:rPr>
        <w:t>Kepustakaan</w:t>
      </w:r>
      <w:r>
        <w:rPr>
          <w:rFonts w:cs="Arial" w:ascii="Arial" w:hAnsi="Arial"/>
        </w:rPr>
        <w:tab/>
      </w:r>
      <w:r>
        <w:rPr>
          <w:rFonts w:cs="Arial" w:ascii="Arial" w:hAnsi="Arial"/>
          <w:color w:val="FF0000"/>
        </w:rPr>
        <w:t xml:space="preserve">: </w:t>
      </w:r>
      <w:r>
        <w:rPr>
          <w:rFonts w:cs="Arial" w:ascii="Arial" w:hAnsi="Arial"/>
        </w:rPr>
        <w:t>30 (1995-2014)</w:t>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1276" w:leader="none"/>
        </w:tabs>
        <w:spacing w:lineRule="auto" w:line="240" w:before="0" w:after="0"/>
        <w:jc w:val="both"/>
        <w:rPr>
          <w:rFonts w:cs="Arial" w:ascii="Arial" w:hAnsi="Arial"/>
        </w:rPr>
      </w:pPr>
      <w:r>
        <w:rPr>
          <w:rFonts w:cs="Arial" w:ascii="Arial" w:hAnsi="Arial"/>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cs="Arial" w:ascii="Arial" w:hAnsi="Arial"/>
        </w:rPr>
      </w:pPr>
      <w:r>
        <w:rPr>
          <w:rFonts w:cs="Arial" w:ascii="Arial" w:hAnsi="Arial"/>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cs="Arial" w:ascii="Arial" w:hAnsi="Arial"/>
        </w:rPr>
      </w:pPr>
      <w:r>
        <w:rPr>
          <w:rFonts w:cs="Arial" w:ascii="Arial" w:hAnsi="Arial"/>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cs="Arial" w:ascii="Arial" w:hAnsi="Arial"/>
        </w:rPr>
      </w:pPr>
      <w:r>
        <w:rPr>
          <w:rFonts w:cs="Arial" w:ascii="Arial" w:hAnsi="Arial"/>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cs="Arial" w:ascii="Arial" w:hAnsi="Arial"/>
        </w:rPr>
      </w:pPr>
      <w:r>
        <w:rPr>
          <w:rFonts w:cs="Arial" w:ascii="Arial" w:hAnsi="Arial"/>
        </w:rPr>
      </w:r>
    </w:p>
    <w:p>
      <w:pPr>
        <w:pStyle w:val="Normal"/>
        <w:spacing w:before="0" w:after="0"/>
        <w:jc w:val="right"/>
        <w:rPr>
          <w:rFonts w:cs="Arial" w:ascii="Arial" w:hAnsi="Arial"/>
          <w:b/>
          <w:bCs/>
          <w:lang w:val="en-AU"/>
        </w:rPr>
      </w:pPr>
      <w:r>
        <w:rPr>
          <w:rFonts w:cs="Arial" w:ascii="Arial" w:hAnsi="Arial"/>
          <w:b/>
          <w:bCs/>
          <w:lang w:val="en-AU"/>
        </w:rPr>
        <w:t>Diponegoro University</w:t>
      </w:r>
    </w:p>
    <w:p>
      <w:pPr>
        <w:pStyle w:val="Normal"/>
        <w:spacing w:before="0" w:after="0"/>
        <w:jc w:val="right"/>
        <w:rPr>
          <w:rFonts w:cs="Arial" w:ascii="Arial" w:hAnsi="Arial"/>
          <w:b/>
          <w:bCs/>
          <w:lang w:val="en-AU"/>
        </w:rPr>
      </w:pPr>
      <w:r>
        <w:rPr>
          <w:rFonts w:cs="Arial" w:ascii="Arial" w:hAnsi="Arial"/>
          <w:b/>
          <w:bCs/>
          <w:lang w:val="en-AU"/>
        </w:rPr>
        <w:t>Faculty of Public Health</w:t>
      </w:r>
    </w:p>
    <w:p>
      <w:pPr>
        <w:pStyle w:val="Normal"/>
        <w:spacing w:before="0" w:after="0"/>
        <w:jc w:val="right"/>
        <w:rPr>
          <w:rFonts w:cs="Arial" w:ascii="Arial" w:hAnsi="Arial"/>
          <w:b/>
          <w:bCs/>
          <w:lang w:val="en-AU"/>
        </w:rPr>
      </w:pPr>
      <w:r>
        <w:rPr>
          <w:rFonts w:cs="Arial" w:ascii="Arial" w:hAnsi="Arial"/>
          <w:b/>
          <w:bCs/>
          <w:lang w:val="en-AU"/>
        </w:rPr>
        <w:t>Master’s Study Program in Public Health</w:t>
      </w:r>
    </w:p>
    <w:p>
      <w:pPr>
        <w:pStyle w:val="Normal"/>
        <w:spacing w:before="0" w:after="0"/>
        <w:jc w:val="right"/>
        <w:rPr>
          <w:rFonts w:cs="Arial" w:ascii="Arial" w:hAnsi="Arial"/>
          <w:b/>
          <w:bCs/>
          <w:lang w:val="en-AU"/>
        </w:rPr>
      </w:pPr>
      <w:r>
        <w:rPr>
          <w:rFonts w:cs="Arial" w:ascii="Arial" w:hAnsi="Arial"/>
          <w:b/>
          <w:bCs/>
          <w:lang w:val="en-AU"/>
        </w:rPr>
        <w:t xml:space="preserve">Majoring in Maternal and Child Health </w:t>
      </w:r>
    </w:p>
    <w:p>
      <w:pPr>
        <w:pStyle w:val="Normal"/>
        <w:spacing w:before="0" w:after="0"/>
        <w:ind w:left="0" w:right="0" w:hanging="1440"/>
        <w:jc w:val="right"/>
        <w:rPr>
          <w:rFonts w:cs="Arial" w:ascii="Arial" w:hAnsi="Arial"/>
          <w:b/>
          <w:bCs/>
          <w:lang w:val="en-AU"/>
        </w:rPr>
      </w:pPr>
      <w:r>
        <w:rPr>
          <w:rFonts w:cs="Arial" w:ascii="Arial" w:hAnsi="Arial"/>
          <w:b/>
          <w:bCs/>
          <w:lang w:val="en-AU"/>
        </w:rPr>
        <w:t>2016</w:t>
      </w:r>
    </w:p>
    <w:p>
      <w:pPr>
        <w:pStyle w:val="Normal"/>
        <w:spacing w:before="0" w:after="0"/>
        <w:ind w:left="0" w:right="0" w:hanging="1440"/>
        <w:jc w:val="right"/>
        <w:rPr>
          <w:rFonts w:eastAsia="Calibri" w:cs="Arial" w:ascii="Arial" w:hAnsi="Arial"/>
          <w:lang w:val="en-AU"/>
        </w:rPr>
      </w:pPr>
      <w:r>
        <w:rPr>
          <w:rFonts w:eastAsia="Calibri" w:cs="Arial" w:ascii="Arial" w:hAnsi="Arial"/>
          <w:lang w:val="en-AU"/>
        </w:rPr>
      </w:r>
    </w:p>
    <w:p>
      <w:pPr>
        <w:pStyle w:val="Normal"/>
        <w:spacing w:before="0" w:after="0"/>
        <w:jc w:val="center"/>
        <w:rPr>
          <w:rFonts w:cs="Arial" w:ascii="Arial" w:hAnsi="Arial"/>
          <w:b/>
          <w:bCs/>
          <w:lang w:val="en-AU"/>
        </w:rPr>
      </w:pPr>
      <w:r>
        <w:rPr>
          <w:rFonts w:cs="Arial" w:ascii="Arial" w:hAnsi="Arial"/>
          <w:b/>
          <w:bCs/>
          <w:lang w:val="en-AU"/>
        </w:rPr>
        <w:t>ABSTRACT</w:t>
      </w:r>
    </w:p>
    <w:p>
      <w:pPr>
        <w:pStyle w:val="Normal"/>
        <w:spacing w:before="0" w:after="0"/>
        <w:jc w:val="center"/>
        <w:rPr>
          <w:rFonts w:cs="Arial" w:ascii="Arial" w:hAnsi="Arial"/>
          <w:b/>
          <w:bCs/>
          <w:lang w:val="en-AU"/>
        </w:rPr>
      </w:pPr>
      <w:r>
        <w:rPr>
          <w:rFonts w:cs="Arial" w:ascii="Arial" w:hAnsi="Arial"/>
          <w:b/>
          <w:bCs/>
          <w:lang w:val="en-AU"/>
        </w:rPr>
      </w:r>
    </w:p>
    <w:p>
      <w:pPr>
        <w:pStyle w:val="ListParagraph"/>
        <w:ind w:left="0" w:right="0" w:hanging="0"/>
        <w:rPr>
          <w:rFonts w:cs="Arial"/>
          <w:b/>
          <w:bCs/>
        </w:rPr>
      </w:pPr>
      <w:r>
        <w:rPr>
          <w:rFonts w:cs="Arial"/>
          <w:b/>
          <w:bCs/>
        </w:rPr>
        <w:t>Miftachul Jannah</w:t>
      </w:r>
    </w:p>
    <w:p>
      <w:pPr>
        <w:pStyle w:val="Normal"/>
        <w:spacing w:before="0" w:after="0"/>
        <w:jc w:val="both"/>
        <w:rPr>
          <w:rFonts w:cs="Arial" w:ascii="Arial" w:hAnsi="Arial"/>
          <w:b/>
          <w:bCs/>
          <w:lang w:val="en-AU" w:eastAsia="en-AU"/>
        </w:rPr>
      </w:pPr>
      <w:r>
        <w:rPr>
          <w:rFonts w:cs="Arial" w:ascii="Arial" w:hAnsi="Arial"/>
          <w:b/>
          <w:bCs/>
          <w:lang w:val="en-AU" w:eastAsia="en-AU"/>
        </w:rPr>
        <w:t xml:space="preserve">Development of Standard Operating Procedure (SOP) of Severe Preeclampsia/Eclampsia Case Referral Preparation by Village Midwives in District of Pekalongan </w:t>
      </w:r>
    </w:p>
    <w:p>
      <w:pPr>
        <w:pStyle w:val="Normal"/>
        <w:spacing w:before="0" w:after="0"/>
        <w:jc w:val="both"/>
        <w:rPr>
          <w:rFonts w:cs="Arial" w:ascii="Arial" w:hAnsi="Arial"/>
          <w:b/>
          <w:bCs/>
          <w:lang w:val="en-AU"/>
        </w:rPr>
      </w:pPr>
      <w:r>
        <w:rPr>
          <w:rFonts w:cs="Arial" w:ascii="Arial" w:hAnsi="Arial"/>
          <w:b/>
          <w:bCs/>
          <w:lang w:val="en-AU"/>
        </w:rPr>
        <w:t>xv + 98 pages + 6 tables + 6 figures + 11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Maternal Mortality Rate (MMR) in District of Pekalongan in 2014 increased. The highest main cause of maternal mortality was severe preeclampsia/eclampsia with number of cases were 16 persons (41%). Some of these mortality cases occurred because midwives did not manage referral preparation due to not understanding of Standard Operating Procedure (SOP). The aim of this study was to develop SOP of severe preeclampsia/eclampsia case referral preparation that was easy to understand and to implement by village midwives in District of Pekalongan.</w:t>
      </w:r>
    </w:p>
    <w:p>
      <w:pPr>
        <w:pStyle w:val="Normal"/>
        <w:spacing w:before="0" w:after="0"/>
        <w:ind w:left="0" w:right="0" w:firstLine="567"/>
        <w:jc w:val="both"/>
        <w:rPr>
          <w:rFonts w:cs="Arial" w:ascii="Arial" w:hAnsi="Arial"/>
          <w:lang w:val="en-AU"/>
        </w:rPr>
      </w:pPr>
      <w:r>
        <w:rPr>
          <w:rFonts w:cs="Arial" w:ascii="Arial" w:hAnsi="Arial"/>
          <w:lang w:val="en-AU"/>
        </w:rPr>
        <w:t>This was a qualitative study. Qualitative data were collected by conducting Focus Group Discussion using a method of Nominal Group Technique (NGT). Data of understanding SOP were collected using a structured questionnaire from 77 village midwives. Qualitative subjects consisted of five village midwives, five midwives of PONEK, and one specialist. Tests of validity and reliability for the research instrument were performed. Data were analysed using a descriptive method and content analysis.</w:t>
      </w:r>
    </w:p>
    <w:p>
      <w:pPr>
        <w:pStyle w:val="Normal"/>
        <w:spacing w:before="0" w:after="0"/>
        <w:ind w:left="0" w:right="0" w:firstLine="567"/>
        <w:jc w:val="both"/>
        <w:rPr>
          <w:rFonts w:cs="Arial" w:ascii="Arial" w:hAnsi="Arial"/>
          <w:lang w:val="en-AU"/>
        </w:rPr>
      </w:pPr>
      <w:r>
        <w:rPr>
          <w:rFonts w:cs="Arial" w:ascii="Arial" w:hAnsi="Arial"/>
          <w:lang w:val="en-AU"/>
        </w:rPr>
        <w:t>The results of this research showed that village midwives had lack of understanding (29.9%), enough understanding (58.4%), and good understanding (11.7%). Lack of understanding consisted of: signs and symptoms, side effect of MgSO4, and initial treatment of preeclampsia/eclampsia in pre-referral. A new SOP was clearer in clinical assessment and pre-referral management from asking for informed consent to obtaining treatment at an emergency room for a patient. SOP used a simple scheme.</w:t>
      </w:r>
    </w:p>
    <w:p>
      <w:pPr>
        <w:pStyle w:val="Normal"/>
        <w:spacing w:before="0" w:after="0"/>
        <w:ind w:left="0" w:right="0" w:firstLine="567"/>
        <w:jc w:val="both"/>
        <w:rPr>
          <w:rFonts w:cs="Arial" w:ascii="Arial" w:hAnsi="Arial"/>
          <w:lang w:val="en-AU"/>
        </w:rPr>
      </w:pPr>
      <w:r>
        <w:rPr>
          <w:rFonts w:cs="Arial" w:ascii="Arial" w:hAnsi="Arial"/>
          <w:lang w:val="en-AU"/>
        </w:rPr>
        <w:t xml:space="preserve">District Health Office and Indonesian Midwives Association need to test SOP in handling severe preeclampsia/eclampsia before referring by midwives to reduce MMR and Infant Mortality Rate (IMR).          </w:t>
      </w:r>
    </w:p>
    <w:p>
      <w:pPr>
        <w:pStyle w:val="Normal"/>
        <w:spacing w:before="0" w:after="0"/>
        <w:ind w:left="0" w:right="0" w:firstLine="567"/>
        <w:jc w:val="both"/>
        <w:rPr>
          <w:rFonts w:cs="Arial" w:ascii="Arial" w:hAnsi="Arial"/>
          <w:lang w:val="en-AU"/>
        </w:rPr>
      </w:pPr>
      <w:r>
        <w:rPr>
          <w:rFonts w:cs="Arial" w:ascii="Arial" w:hAnsi="Arial"/>
          <w:lang w:val="en-AU"/>
        </w:rPr>
        <w:t xml:space="preserve">       </w:t>
      </w:r>
    </w:p>
    <w:p>
      <w:pPr>
        <w:pStyle w:val="Normal"/>
        <w:spacing w:before="0" w:after="0"/>
        <w:ind w:left="1304" w:right="0" w:hanging="1304"/>
        <w:jc w:val="both"/>
        <w:rPr>
          <w:rFonts w:cs="Arial" w:ascii="Arial" w:hAnsi="Arial"/>
          <w:lang w:val="en-AU"/>
        </w:rPr>
      </w:pPr>
      <w:r>
        <w:rPr>
          <w:rFonts w:cs="Arial" w:ascii="Arial" w:hAnsi="Arial"/>
          <w:lang w:val="en-AU"/>
        </w:rPr>
        <w:t>Key</w:t>
      </w:r>
      <w:r>
        <w:rPr>
          <w:rFonts w:cs="Arial" w:ascii="Arial" w:hAnsi="Arial"/>
          <w:lang w:val="en-AU"/>
        </w:rPr>
        <w:t>w</w:t>
      </w:r>
      <w:r>
        <w:rPr>
          <w:rFonts w:cs="Arial" w:ascii="Arial" w:hAnsi="Arial"/>
          <w:lang w:val="en-AU"/>
        </w:rPr>
        <w:t>ords</w:t>
        <w:tab/>
        <w:t>: Severe Preeclampsia/Eclampsia, Standard Operating</w:t>
      </w:r>
    </w:p>
    <w:p>
      <w:pPr>
        <w:pStyle w:val="Normal"/>
        <w:spacing w:before="0" w:after="0"/>
        <w:ind w:left="1304" w:right="0" w:hanging="1304"/>
        <w:jc w:val="both"/>
        <w:rPr>
          <w:rFonts w:cs="Arial" w:ascii="Arial" w:hAnsi="Arial"/>
          <w:lang w:val="en-AU"/>
        </w:rPr>
      </w:pPr>
      <w:r>
        <w:rPr>
          <w:rFonts w:cs="Arial" w:ascii="Arial" w:hAnsi="Arial"/>
          <w:lang w:val="en-AU"/>
        </w:rPr>
        <w:t xml:space="preserve">                       </w:t>
      </w:r>
      <w:r>
        <w:rPr>
          <w:rFonts w:cs="Arial" w:ascii="Arial" w:hAnsi="Arial"/>
          <w:lang w:val="en-AU"/>
        </w:rPr>
        <w:t>Procedure, Referral Preparation</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cs="Arial" w:ascii="Arial" w:hAnsi="Arial"/>
          <w:lang w:val="en-AU"/>
        </w:rPr>
      </w:pPr>
      <w:r>
        <w:rPr>
          <w:rFonts w:cs="Arial" w:ascii="Arial" w:hAnsi="Arial"/>
          <w:lang w:val="en-AU"/>
        </w:rPr>
        <w:t>Bibliography: 30 (1995</w:t>
      </w:r>
      <w:bookmarkStart w:id="0" w:name="_GoBack"/>
      <w:bookmarkEnd w:id="0"/>
      <w:r>
        <w:rPr>
          <w:rFonts w:cs="Arial" w:ascii="Arial" w:hAnsi="Arial"/>
          <w:lang w:val="en-AU"/>
        </w:rPr>
        <w:t>-2014)</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
    </w:p>
    <w:sectPr>
      <w:footerReference w:type="default" r:id="rId2"/>
      <w:type w:val="nextPage"/>
      <w:pgSz w:w="11906" w:h="16838"/>
      <w:pgMar w:left="2268" w:right="1985" w:header="0" w:top="1701" w:footer="709"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Consolas">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214062"/>
    <w:pPr>
      <w:widowControl/>
      <w:suppressAutoHyphens w:val="true"/>
      <w:bidi w:val="0"/>
      <w:spacing w:lineRule="auto" w:line="276" w:before="0" w:after="200"/>
      <w:jc w:val="left"/>
    </w:pPr>
    <w:rPr>
      <w:rFonts w:ascii="Calibri" w:hAnsi="Calibri" w:eastAsia="Droid Sans Fallback" w:cs="Calibri"/>
      <w:color w:val="auto"/>
      <w:sz w:val="22"/>
      <w:szCs w:val="22"/>
      <w:lang w:val="id-ID" w:eastAsia="en-US" w:bidi="ar-SA"/>
    </w:rPr>
  </w:style>
  <w:style w:type="character" w:styleId="DefaultParagraphFont" w:default="1">
    <w:name w:val="Default Paragraph Font"/>
    <w:uiPriority w:val="1"/>
    <w:semiHidden/>
    <w:unhideWhenUsed/>
    <w:rPr/>
  </w:style>
  <w:style w:type="character" w:styleId="FooterChar" w:customStyle="1">
    <w:name w:val="Footer Char"/>
    <w:uiPriority w:val="99"/>
    <w:link w:val="Footer"/>
    <w:rsid w:val="00214062"/>
    <w:basedOn w:val="DefaultParagraphFont"/>
    <w:rPr/>
  </w:style>
  <w:style w:type="character" w:styleId="BalloonTextChar" w:customStyle="1">
    <w:name w:val="Balloon Text Char"/>
    <w:uiPriority w:val="99"/>
    <w:semiHidden/>
    <w:link w:val="BalloonText"/>
    <w:rsid w:val="008d0613"/>
    <w:basedOn w:val="DefaultParagraphFont"/>
    <w:rPr>
      <w:rFonts w:ascii="Tahoma" w:hAnsi="Tahoma" w:cs="Tahoma"/>
      <w:sz w:val="16"/>
      <w:szCs w:val="16"/>
    </w:rPr>
  </w:style>
  <w:style w:type="character" w:styleId="HTMLPreformattedChar" w:customStyle="1">
    <w:name w:val="HTML Preformatted Char"/>
    <w:uiPriority w:val="99"/>
    <w:link w:val="HTMLPreformatted"/>
    <w:rsid w:val="003a3206"/>
    <w:basedOn w:val="DefaultParagraphFont"/>
    <w:rPr>
      <w:rFonts w:ascii="Consolas" w:hAnsi="Consolas" w:cs="Consolas"/>
      <w:sz w:val="20"/>
      <w:szCs w:val="20"/>
    </w:rPr>
  </w:style>
  <w:style w:type="character" w:styleId="Hps" w:customStyle="1">
    <w:name w:val="hps"/>
    <w:rsid w:val="00e26c55"/>
    <w:rPr>
      <w:rFonts w:eastAsia="Times New Roman"/>
    </w:rPr>
  </w:style>
  <w:style w:type="character" w:styleId="ListLabel1">
    <w:name w:val="ListLabel 1"/>
    <w:rPr>
      <w:rFonts w:cs="Times New Roman"/>
      <w:b w:val="false"/>
    </w:rPr>
  </w:style>
  <w:style w:type="character" w:styleId="ListLabel2">
    <w:name w:val="ListLabel 2"/>
    <w:rPr>
      <w:rFonts w:cs="Times New Roman"/>
    </w:rPr>
  </w:style>
  <w:style w:type="character" w:styleId="ListLabel3">
    <w:name w:val="ListLabel 3"/>
    <w:rPr>
      <w:b w:val="false"/>
    </w:rPr>
  </w:style>
  <w:style w:type="character" w:styleId="ListLabel4">
    <w:name w:val="ListLabel 4"/>
    <w:rPr>
      <w:b/>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er">
    <w:name w:val="Footer"/>
    <w:uiPriority w:val="99"/>
    <w:unhideWhenUsed/>
    <w:link w:val="FooterChar"/>
    <w:rsid w:val="00214062"/>
    <w:basedOn w:val="Normal"/>
    <w:pPr>
      <w:tabs>
        <w:tab w:val="center" w:pos="4513" w:leader="none"/>
        <w:tab w:val="right" w:pos="9026" w:leader="none"/>
      </w:tabs>
      <w:spacing w:lineRule="auto" w:line="240" w:before="0" w:after="0"/>
    </w:pPr>
    <w:rPr/>
  </w:style>
  <w:style w:type="paragraph" w:styleId="ListParagraph">
    <w:name w:val="List Paragraph"/>
    <w:uiPriority w:val="34"/>
    <w:qFormat/>
    <w:rsid w:val="00214062"/>
    <w:basedOn w:val="Normal"/>
    <w:pPr>
      <w:spacing w:before="0" w:after="0"/>
      <w:ind w:left="720" w:right="0" w:hanging="0"/>
      <w:contextualSpacing/>
    </w:pPr>
    <w:rPr>
      <w:rFonts w:ascii="Arial" w:hAnsi="Arial" w:eastAsia="Times New Roman" w:cs="Times New Roman"/>
      <w:lang w:val="en-US"/>
    </w:rPr>
  </w:style>
  <w:style w:type="paragraph" w:styleId="BalloonText">
    <w:name w:val="Balloon Text"/>
    <w:uiPriority w:val="99"/>
    <w:semiHidden/>
    <w:unhideWhenUsed/>
    <w:link w:val="BalloonTextChar"/>
    <w:rsid w:val="008d0613"/>
    <w:basedOn w:val="Normal"/>
    <w:pPr>
      <w:spacing w:lineRule="auto" w:line="240" w:before="0" w:after="0"/>
    </w:pPr>
    <w:rPr>
      <w:rFonts w:ascii="Tahoma" w:hAnsi="Tahoma" w:cs="Tahoma"/>
      <w:sz w:val="16"/>
      <w:szCs w:val="16"/>
    </w:rPr>
  </w:style>
  <w:style w:type="paragraph" w:styleId="HTMLPreformatted">
    <w:name w:val="HTML Preformatted"/>
    <w:uiPriority w:val="99"/>
    <w:unhideWhenUsed/>
    <w:link w:val="HTMLPreformattedChar"/>
    <w:rsid w:val="003a3206"/>
    <w:basedOn w:val="Normal"/>
    <w:pPr>
      <w:spacing w:lineRule="auto" w:line="240" w:before="0" w:after="0"/>
    </w:pPr>
    <w:rPr>
      <w:rFonts w:ascii="Consolas" w:hAnsi="Consolas" w:cs="Consolas"/>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customStyle="1" w:styleId="TableGrid1">
    <w:name w:val="Table Grid1"/>
    <w:basedOn w:val="TableNormal"/>
    <w:uiPriority w:val="59"/>
    <w:rsid w:val="00214062"/>
    <w:pPr>
      <w:spacing w:line="240" w:lineRule="auto" w:after="0"/>
    </w:pPr>
    <w:rPr>
      <w:lang w:val="en-US"/>
    </w:rPr>
    <w:tblP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
  </w:style>
  <w:style w:type="table" w:styleId="LightShading">
    <w:name w:val="Light Shading"/>
    <w:basedOn w:val="TableNormal"/>
    <w:uiPriority w:val="60"/>
    <w:rsid w:val="00214062"/>
    <w:pPr>
      <w:spacing w:line="240" w:lineRule="auto" w:after="0"/>
    </w:pPr>
    <w:rPr>
      <w:color w:themeShade="bf" w:themeColor="text1" w:val="000000"/>
    </w:rPr>
    <w:tblPr>
      <w:tblStyleRowBandSize w:val="1"/>
      <w:tblStyleColBandSize w:val="1"/>
      <w:tblBorders>
        <w:top w:space="0" w:sz="8" w:themeColor="text1" w:color="000000" w:val="single"/>
        <w:bottom w:space="0" w:sz="8" w:themeColor="text1" w:color="000000" w:val="single"/>
      </w:tblBorders>
    </w:tblPr>
    <w:tblStylePr w:type="firstRow">
      <w:pPr>
        <w:spacing w:line="240" w:lineRule="auto"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lastRow">
      <w:pPr>
        <w:spacing w:line="240" w:lineRule="auto"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left w:val="nil"/>
          <w:right w:val="nil"/>
          <w:insideH w:val="nil"/>
          <w:insideV w:val="nil"/>
        </w:tcBorders>
        <w:shd w:themeFillTint="3f" w:themeFill="text1" w:fill="C0C0C0" w:color="auto" w:val="clear"/>
      </w:tcPr>
    </w:tblStylePr>
  </w:style>
  <w:style w:type="table" w:styleId="TableGrid">
    <w:name w:val="Table Grid"/>
    <w:basedOn w:val="TableNormal"/>
    <w:uiPriority w:val="59"/>
    <w:rsid w:val="00214062"/>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customStyle="1" w:styleId="TableGrid2">
    <w:name w:val="Table Grid2"/>
    <w:basedOn w:val="TableNormal"/>
    <w:uiPriority w:val="59"/>
    <w:rsid w:val="00214062"/>
    <w:pPr>
      <w:spacing w:line="240" w:lineRule="auto" w:after="0"/>
    </w:pPr>
    <w:rPr>
      <w:lang w:val="en-US"/>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 w:type="table" w:customStyle="1" w:styleId="TableGrid3">
    <w:name w:val="Table Grid3"/>
    <w:basedOn w:val="TableNormal"/>
    <w:uiPriority w:val="59"/>
    <w:rsid w:val="00214062"/>
    <w:pPr>
      <w:spacing w:line="240" w:lineRule="auto" w:after="0"/>
    </w:pPr>
    <w:rPr>
      <w:lang w:val="en-US"/>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FF92-559D-422B-B06D-16FA31FE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2016-01-13T17:08:00Z</dcterms:created>
  <dc:creator>User</dc:creator>
  <dc:language>en-US</dc:language>
  <cp:lastModifiedBy>Suratman</cp:lastModifiedBy>
  <cp:lastPrinted>2016-03-22T15:05:00Z</cp:lastPrinted>
  <dcterms:modified xsi:type="dcterms:W3CDTF">2016-04-02T23:19:00Z</dcterms:modified>
  <cp:revision>47</cp:revision>
</cp:coreProperties>
</file>