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17A69" w14:textId="77777777" w:rsidR="0081287C" w:rsidRPr="00CC56C6" w:rsidRDefault="0081287C" w:rsidP="0081287C">
      <w:pPr>
        <w:jc w:val="center"/>
        <w:rPr>
          <w:b/>
          <w:sz w:val="28"/>
          <w:szCs w:val="28"/>
        </w:rPr>
      </w:pPr>
      <w:r w:rsidRPr="00CC56C6">
        <w:rPr>
          <w:b/>
          <w:sz w:val="28"/>
          <w:szCs w:val="28"/>
        </w:rPr>
        <w:t xml:space="preserve">Analisis Pengaruh Profitabilitas, </w:t>
      </w:r>
      <w:r w:rsidRPr="00CC56C6">
        <w:rPr>
          <w:b/>
          <w:i/>
          <w:sz w:val="28"/>
          <w:szCs w:val="28"/>
        </w:rPr>
        <w:t>Size</w:t>
      </w:r>
      <w:r>
        <w:rPr>
          <w:b/>
          <w:sz w:val="28"/>
          <w:szCs w:val="28"/>
        </w:rPr>
        <w:t xml:space="preserve"> dan </w:t>
      </w:r>
      <w:r w:rsidRPr="00CC56C6">
        <w:rPr>
          <w:b/>
          <w:i/>
          <w:sz w:val="28"/>
          <w:szCs w:val="28"/>
        </w:rPr>
        <w:t>Sales Growth</w:t>
      </w:r>
      <w:r w:rsidRPr="00CC56C6">
        <w:rPr>
          <w:b/>
          <w:sz w:val="28"/>
          <w:szCs w:val="28"/>
        </w:rPr>
        <w:t xml:space="preserve"> terhadap Nilai Perusahaan dengan Struktur Modal sebagai Variabel Intervening </w:t>
      </w:r>
    </w:p>
    <w:p w14:paraId="0371D46E" w14:textId="77777777" w:rsidR="0081287C" w:rsidRPr="00CC56C6" w:rsidRDefault="0081287C" w:rsidP="0081287C">
      <w:pPr>
        <w:jc w:val="center"/>
      </w:pPr>
      <w:r w:rsidRPr="00CC56C6">
        <w:t>(Analisis Data Panel pada Perusahaan Pertambangan yang terdaftar di BEI tahun 2010-2013)</w:t>
      </w:r>
    </w:p>
    <w:p w14:paraId="40EF41F9" w14:textId="77777777" w:rsidR="0081287C" w:rsidRDefault="0081287C" w:rsidP="0081287C">
      <w:pPr>
        <w:jc w:val="center"/>
        <w:rPr>
          <w:i/>
          <w:iCs/>
        </w:rPr>
      </w:pPr>
    </w:p>
    <w:p w14:paraId="35C2C845" w14:textId="05EABE52" w:rsidR="0081287C" w:rsidRPr="00B51F78" w:rsidRDefault="00B51F78" w:rsidP="0081287C">
      <w:pPr>
        <w:jc w:val="center"/>
        <w:rPr>
          <w:b/>
          <w:iCs/>
        </w:rPr>
      </w:pPr>
      <w:r w:rsidRPr="00B51F78">
        <w:rPr>
          <w:b/>
          <w:iCs/>
        </w:rPr>
        <w:t>Febriansyah Dharmawan</w:t>
      </w:r>
    </w:p>
    <w:p w14:paraId="0C89DE9A" w14:textId="1993FFF8" w:rsidR="0081287C" w:rsidRPr="00B51F78" w:rsidRDefault="00B51F78" w:rsidP="0081287C">
      <w:pPr>
        <w:jc w:val="center"/>
        <w:rPr>
          <w:b/>
          <w:iCs/>
        </w:rPr>
      </w:pPr>
      <w:r w:rsidRPr="00B51F78">
        <w:rPr>
          <w:b/>
          <w:iCs/>
        </w:rPr>
        <w:t>NIM 12010112420145</w:t>
      </w:r>
    </w:p>
    <w:p w14:paraId="202D8420" w14:textId="77777777" w:rsidR="0081287C" w:rsidRPr="00B51F78" w:rsidRDefault="0081287C" w:rsidP="0081287C">
      <w:pPr>
        <w:jc w:val="center"/>
        <w:rPr>
          <w:b/>
          <w:i/>
          <w:iCs/>
        </w:rPr>
      </w:pPr>
    </w:p>
    <w:p w14:paraId="0D3292B9" w14:textId="77777777" w:rsidR="0081287C" w:rsidRPr="00B51F78" w:rsidRDefault="0081287C" w:rsidP="0081287C">
      <w:pPr>
        <w:jc w:val="center"/>
        <w:rPr>
          <w:b/>
          <w:i/>
          <w:iCs/>
        </w:rPr>
      </w:pPr>
    </w:p>
    <w:p w14:paraId="6833878A" w14:textId="77777777" w:rsidR="0081287C" w:rsidRPr="00B51F78" w:rsidRDefault="0081287C" w:rsidP="0081287C">
      <w:pPr>
        <w:jc w:val="center"/>
        <w:rPr>
          <w:b/>
          <w:i/>
          <w:iCs/>
        </w:rPr>
      </w:pPr>
    </w:p>
    <w:p w14:paraId="1BE3AC26" w14:textId="77777777" w:rsidR="0081287C" w:rsidRPr="00B51F78" w:rsidRDefault="0081287C" w:rsidP="0081287C">
      <w:pPr>
        <w:jc w:val="center"/>
        <w:rPr>
          <w:b/>
          <w:noProof/>
          <w:color w:val="222222"/>
          <w:lang w:eastAsia="id-ID"/>
        </w:rPr>
      </w:pPr>
      <w:r w:rsidRPr="00B51F78">
        <w:rPr>
          <w:b/>
          <w:i/>
          <w:iCs/>
        </w:rPr>
        <w:t>ABSTRACT</w:t>
      </w:r>
    </w:p>
    <w:p w14:paraId="085000AE" w14:textId="77777777" w:rsidR="0081287C" w:rsidRPr="00B51F78" w:rsidRDefault="0081287C" w:rsidP="0081287C">
      <w:pPr>
        <w:rPr>
          <w:b/>
          <w:i/>
          <w:iCs/>
        </w:rPr>
      </w:pPr>
    </w:p>
    <w:p w14:paraId="0036C2A5" w14:textId="77777777" w:rsidR="0081287C" w:rsidRPr="00B51F78" w:rsidRDefault="0081287C" w:rsidP="0081287C">
      <w:pPr>
        <w:rPr>
          <w:b/>
          <w:i/>
          <w:iCs/>
        </w:rPr>
      </w:pPr>
    </w:p>
    <w:p w14:paraId="4FD5E698" w14:textId="77777777" w:rsidR="0081287C" w:rsidRPr="003667E4" w:rsidRDefault="0081287C" w:rsidP="0081287C">
      <w:pPr>
        <w:rPr>
          <w:i/>
          <w:iCs/>
        </w:rPr>
      </w:pPr>
    </w:p>
    <w:p w14:paraId="5BFC26F7" w14:textId="77777777" w:rsidR="0081287C" w:rsidRPr="007F2829" w:rsidRDefault="0081287C" w:rsidP="0081287C">
      <w:pPr>
        <w:pStyle w:val="BodyTextIndent"/>
        <w:spacing w:line="276" w:lineRule="auto"/>
        <w:ind w:left="0" w:firstLine="720"/>
        <w:jc w:val="both"/>
        <w:rPr>
          <w:i/>
          <w:iCs/>
        </w:rPr>
      </w:pPr>
      <w:r w:rsidRPr="007F2829">
        <w:rPr>
          <w:i/>
          <w:iCs/>
        </w:rPr>
        <w:t xml:space="preserve">This study is performed to examine the effect of </w:t>
      </w:r>
      <w:r>
        <w:rPr>
          <w:i/>
          <w:iCs/>
        </w:rPr>
        <w:t>profitability, size, and sales growth</w:t>
      </w:r>
      <w:r w:rsidRPr="007F2829">
        <w:rPr>
          <w:i/>
        </w:rPr>
        <w:t xml:space="preserve"> </w:t>
      </w:r>
      <w:r w:rsidRPr="007F2829">
        <w:rPr>
          <w:i/>
          <w:iCs/>
        </w:rPr>
        <w:t xml:space="preserve">toward </w:t>
      </w:r>
      <w:r>
        <w:rPr>
          <w:i/>
          <w:iCs/>
        </w:rPr>
        <w:t>leverage to impact company value</w:t>
      </w:r>
      <w:r w:rsidRPr="007F2829">
        <w:rPr>
          <w:i/>
          <w:iCs/>
        </w:rPr>
        <w:t xml:space="preserve">. The objective of this study is to scale and analyze the effect of the company financial ratios performance </w:t>
      </w:r>
      <w:r w:rsidRPr="007F2829">
        <w:rPr>
          <w:i/>
        </w:rPr>
        <w:t>(</w:t>
      </w:r>
      <w:r>
        <w:rPr>
          <w:i/>
        </w:rPr>
        <w:t xml:space="preserve">profitability, </w:t>
      </w:r>
      <w:r>
        <w:rPr>
          <w:i/>
          <w:iCs/>
        </w:rPr>
        <w:t>size, and sales growth</w:t>
      </w:r>
      <w:r w:rsidRPr="007F2829">
        <w:rPr>
          <w:i/>
        </w:rPr>
        <w:t>)</w:t>
      </w:r>
      <w:r>
        <w:rPr>
          <w:i/>
          <w:iCs/>
        </w:rPr>
        <w:t xml:space="preserve"> toward leverage to impact company value</w:t>
      </w:r>
      <w:r w:rsidRPr="007F2829">
        <w:rPr>
          <w:i/>
          <w:iCs/>
        </w:rPr>
        <w:t xml:space="preserve"> in </w:t>
      </w:r>
      <w:r>
        <w:rPr>
          <w:i/>
          <w:iCs/>
        </w:rPr>
        <w:t>mining company that listed in Bursa Efek Indonesia over period 2010-2013</w:t>
      </w:r>
      <w:r w:rsidRPr="007F2829">
        <w:rPr>
          <w:i/>
          <w:iCs/>
        </w:rPr>
        <w:t>.</w:t>
      </w:r>
    </w:p>
    <w:p w14:paraId="736FC079" w14:textId="77777777" w:rsidR="0081287C" w:rsidRPr="007F2829" w:rsidRDefault="0081287C" w:rsidP="0081287C">
      <w:pPr>
        <w:spacing w:line="276" w:lineRule="auto"/>
        <w:ind w:firstLine="720"/>
        <w:jc w:val="both"/>
        <w:rPr>
          <w:i/>
          <w:iCs/>
        </w:rPr>
      </w:pPr>
      <w:r w:rsidRPr="007F2829">
        <w:rPr>
          <w:i/>
          <w:iCs/>
        </w:rPr>
        <w:t xml:space="preserve">Sampling technique used here is </w:t>
      </w:r>
      <w:r>
        <w:rPr>
          <w:i/>
          <w:iCs/>
        </w:rPr>
        <w:t>pusposive sampling</w:t>
      </w:r>
      <w:r w:rsidRPr="007F2829">
        <w:rPr>
          <w:i/>
          <w:iCs/>
        </w:rPr>
        <w:t xml:space="preserve">. The data is obtained based on </w:t>
      </w:r>
      <w:r>
        <w:rPr>
          <w:i/>
          <w:iCs/>
        </w:rPr>
        <w:t>Indonesian Capital Market Directory (ICMD)</w:t>
      </w:r>
      <w:r w:rsidRPr="007F2829">
        <w:rPr>
          <w:i/>
          <w:iCs/>
        </w:rPr>
        <w:t>.  It is gained sam</w:t>
      </w:r>
      <w:r>
        <w:rPr>
          <w:i/>
          <w:iCs/>
        </w:rPr>
        <w:t>ple amount of 25</w:t>
      </w:r>
      <w:r w:rsidRPr="007F2829">
        <w:rPr>
          <w:i/>
          <w:iCs/>
        </w:rPr>
        <w:t xml:space="preserve"> data. The analysis technique used here is multiple regression with the least square difference and hypothesis test using t-statistic to examine par</w:t>
      </w:r>
      <w:r>
        <w:rPr>
          <w:i/>
          <w:iCs/>
        </w:rPr>
        <w:t xml:space="preserve">tial regression coefficient and </w:t>
      </w:r>
      <w:r w:rsidRPr="007F2829">
        <w:rPr>
          <w:i/>
          <w:iCs/>
        </w:rPr>
        <w:t xml:space="preserve">f-statistic to examine the mean of mutual effect with level of significance 5%. In addition, classical assumption is also performed including normality test, multicolinearity test, </w:t>
      </w:r>
      <w:r>
        <w:rPr>
          <w:i/>
          <w:iCs/>
        </w:rPr>
        <w:t xml:space="preserve">and heteroscedasticity </w:t>
      </w:r>
      <w:r w:rsidRPr="007F2829">
        <w:rPr>
          <w:i/>
          <w:iCs/>
        </w:rPr>
        <w:t xml:space="preserve">test. </w:t>
      </w:r>
    </w:p>
    <w:p w14:paraId="2137CDA2" w14:textId="77777777" w:rsidR="0081287C" w:rsidRPr="007F2829" w:rsidRDefault="0081287C" w:rsidP="0081287C">
      <w:pPr>
        <w:spacing w:line="276" w:lineRule="auto"/>
        <w:jc w:val="both"/>
        <w:rPr>
          <w:i/>
          <w:iCs/>
          <w:color w:val="000000"/>
        </w:rPr>
      </w:pPr>
      <w:r>
        <w:rPr>
          <w:i/>
          <w:iCs/>
        </w:rPr>
        <w:tab/>
        <w:t>During 2010-2013</w:t>
      </w:r>
      <w:r w:rsidRPr="007F2829">
        <w:rPr>
          <w:i/>
          <w:iCs/>
        </w:rPr>
        <w:t xml:space="preserve"> period show as deviation has n</w:t>
      </w:r>
      <w:r>
        <w:rPr>
          <w:i/>
          <w:iCs/>
        </w:rPr>
        <w:t>ot founded this indicate classic</w:t>
      </w:r>
      <w:r w:rsidRPr="007F2829">
        <w:rPr>
          <w:i/>
          <w:iCs/>
        </w:rPr>
        <w:t>al assumption that the available data has fulfill the condition to use multi linier regression model</w:t>
      </w:r>
      <w:r w:rsidRPr="00C548E6">
        <w:rPr>
          <w:i/>
          <w:iCs/>
        </w:rPr>
        <w:t xml:space="preserve">. Empirical evidence show that profitability and size have influences toward </w:t>
      </w:r>
      <w:r>
        <w:rPr>
          <w:i/>
          <w:iCs/>
        </w:rPr>
        <w:t>leverage</w:t>
      </w:r>
      <w:r w:rsidRPr="00C548E6">
        <w:rPr>
          <w:i/>
          <w:iCs/>
        </w:rPr>
        <w:t xml:space="preserve"> at level of significance less than 5%. </w:t>
      </w:r>
      <w:r>
        <w:rPr>
          <w:i/>
          <w:iCs/>
        </w:rPr>
        <w:t>Size, Sales Growth and</w:t>
      </w:r>
      <w:r w:rsidRPr="00C548E6">
        <w:rPr>
          <w:i/>
          <w:iCs/>
        </w:rPr>
        <w:t xml:space="preserve"> </w:t>
      </w:r>
      <w:r>
        <w:rPr>
          <w:i/>
          <w:iCs/>
        </w:rPr>
        <w:t>L</w:t>
      </w:r>
      <w:r w:rsidRPr="00C548E6">
        <w:rPr>
          <w:i/>
          <w:iCs/>
        </w:rPr>
        <w:t>everage also have influence toward company value at level of significance less than 5%.</w:t>
      </w:r>
    </w:p>
    <w:p w14:paraId="74D87413" w14:textId="77777777" w:rsidR="0081287C" w:rsidRPr="007F2829" w:rsidRDefault="0081287C" w:rsidP="0081287C">
      <w:pPr>
        <w:spacing w:line="276" w:lineRule="auto"/>
        <w:rPr>
          <w:i/>
        </w:rPr>
      </w:pPr>
    </w:p>
    <w:p w14:paraId="2EE9EDE5" w14:textId="77777777" w:rsidR="0081287C" w:rsidRDefault="0081287C" w:rsidP="0081287C">
      <w:pPr>
        <w:spacing w:line="276" w:lineRule="auto"/>
        <w:ind w:left="1080" w:hanging="1080"/>
        <w:jc w:val="both"/>
        <w:rPr>
          <w:i/>
          <w:iCs/>
        </w:rPr>
      </w:pPr>
      <w:r w:rsidRPr="007F2829">
        <w:rPr>
          <w:i/>
          <w:iCs/>
        </w:rPr>
        <w:t xml:space="preserve">Keywords: </w:t>
      </w:r>
      <w:proofErr w:type="gramStart"/>
      <w:r>
        <w:rPr>
          <w:i/>
          <w:iCs/>
        </w:rPr>
        <w:t>profitability ,size</w:t>
      </w:r>
      <w:proofErr w:type="gramEnd"/>
      <w:r>
        <w:rPr>
          <w:i/>
          <w:iCs/>
        </w:rPr>
        <w:t>, sales growth</w:t>
      </w:r>
      <w:r>
        <w:rPr>
          <w:i/>
        </w:rPr>
        <w:t xml:space="preserve">, </w:t>
      </w:r>
      <w:r>
        <w:rPr>
          <w:i/>
          <w:iCs/>
        </w:rPr>
        <w:t>leverage, and company value</w:t>
      </w:r>
    </w:p>
    <w:p w14:paraId="5F5840BB" w14:textId="77777777" w:rsidR="0081287C" w:rsidRDefault="0081287C" w:rsidP="0081287C">
      <w:pPr>
        <w:spacing w:line="276" w:lineRule="auto"/>
        <w:ind w:left="1080" w:hanging="1080"/>
        <w:jc w:val="both"/>
        <w:rPr>
          <w:i/>
          <w:iCs/>
        </w:rPr>
      </w:pPr>
    </w:p>
    <w:p w14:paraId="57B83E44" w14:textId="77777777" w:rsidR="0081287C" w:rsidRDefault="0081287C" w:rsidP="0081287C">
      <w:pPr>
        <w:spacing w:line="276" w:lineRule="auto"/>
        <w:ind w:left="1080" w:hanging="1080"/>
        <w:jc w:val="both"/>
        <w:rPr>
          <w:i/>
          <w:iCs/>
        </w:rPr>
      </w:pPr>
    </w:p>
    <w:p w14:paraId="5239ABF7" w14:textId="77777777" w:rsidR="0081287C" w:rsidRDefault="0081287C" w:rsidP="0081287C">
      <w:pPr>
        <w:spacing w:line="276" w:lineRule="auto"/>
        <w:ind w:left="1080" w:hanging="1080"/>
        <w:jc w:val="both"/>
        <w:rPr>
          <w:i/>
          <w:iCs/>
        </w:rPr>
      </w:pPr>
    </w:p>
    <w:p w14:paraId="098706D7" w14:textId="77777777" w:rsidR="0081287C" w:rsidRDefault="0081287C" w:rsidP="0081287C">
      <w:pPr>
        <w:spacing w:line="276" w:lineRule="auto"/>
        <w:ind w:left="1080" w:hanging="1080"/>
        <w:jc w:val="both"/>
        <w:rPr>
          <w:i/>
          <w:iCs/>
        </w:rPr>
      </w:pPr>
    </w:p>
    <w:p w14:paraId="1C1E0CFF" w14:textId="77777777" w:rsidR="0081287C" w:rsidRDefault="0081287C" w:rsidP="0081287C">
      <w:pPr>
        <w:spacing w:line="276" w:lineRule="auto"/>
        <w:ind w:left="1080" w:hanging="1080"/>
        <w:jc w:val="both"/>
        <w:rPr>
          <w:i/>
          <w:iCs/>
        </w:rPr>
      </w:pPr>
    </w:p>
    <w:p w14:paraId="47E55087" w14:textId="77777777" w:rsidR="0081287C" w:rsidRDefault="0081287C" w:rsidP="0081287C">
      <w:pPr>
        <w:spacing w:line="276" w:lineRule="auto"/>
        <w:ind w:left="1080" w:hanging="1080"/>
        <w:jc w:val="both"/>
        <w:rPr>
          <w:i/>
          <w:iCs/>
        </w:rPr>
      </w:pPr>
      <w:bookmarkStart w:id="0" w:name="_GoBack"/>
      <w:bookmarkEnd w:id="0"/>
    </w:p>
    <w:p w14:paraId="434F263B" w14:textId="77777777" w:rsidR="0081287C" w:rsidRDefault="0081287C" w:rsidP="0081287C">
      <w:pPr>
        <w:spacing w:line="276" w:lineRule="auto"/>
        <w:ind w:left="1080" w:hanging="1080"/>
        <w:jc w:val="both"/>
        <w:rPr>
          <w:i/>
          <w:iCs/>
        </w:rPr>
      </w:pPr>
    </w:p>
    <w:p w14:paraId="4E7A8172" w14:textId="77777777" w:rsidR="0081287C" w:rsidRDefault="0081287C" w:rsidP="0081287C">
      <w:pPr>
        <w:spacing w:line="276" w:lineRule="auto"/>
        <w:ind w:left="1080" w:hanging="1080"/>
        <w:jc w:val="both"/>
        <w:rPr>
          <w:i/>
          <w:iCs/>
        </w:rPr>
      </w:pPr>
    </w:p>
    <w:p w14:paraId="4CC4CE5A" w14:textId="77777777" w:rsidR="0081287C" w:rsidRDefault="0081287C" w:rsidP="0081287C">
      <w:pPr>
        <w:spacing w:line="276" w:lineRule="auto"/>
        <w:ind w:left="1080" w:hanging="1080"/>
        <w:jc w:val="both"/>
        <w:rPr>
          <w:i/>
          <w:iCs/>
        </w:rPr>
      </w:pPr>
    </w:p>
    <w:p w14:paraId="352D27AA" w14:textId="77777777" w:rsidR="0081287C" w:rsidRDefault="0081287C" w:rsidP="0081287C">
      <w:pPr>
        <w:spacing w:line="276" w:lineRule="auto"/>
        <w:ind w:left="1080" w:hanging="1080"/>
        <w:jc w:val="both"/>
        <w:rPr>
          <w:i/>
          <w:iCs/>
        </w:rPr>
      </w:pPr>
    </w:p>
    <w:p w14:paraId="20577DDA" w14:textId="77777777" w:rsidR="0081287C" w:rsidRDefault="0081287C" w:rsidP="002B0543">
      <w:pPr>
        <w:pStyle w:val="Heading1"/>
        <w:spacing w:before="0"/>
        <w:jc w:val="left"/>
        <w:rPr>
          <w:rFonts w:cs="Times New Roman"/>
        </w:rPr>
      </w:pPr>
      <w:bookmarkStart w:id="1" w:name="_Toc390147666"/>
      <w:bookmarkStart w:id="2" w:name="_Toc400435002"/>
      <w:bookmarkStart w:id="3" w:name="_Toc402170951"/>
      <w:bookmarkStart w:id="4" w:name="_Toc276036738"/>
      <w:bookmarkStart w:id="5" w:name="_Toc402181520"/>
      <w:bookmarkStart w:id="6" w:name="_Toc276039730"/>
      <w:bookmarkStart w:id="7" w:name="_Toc404133441"/>
      <w:bookmarkStart w:id="8" w:name="_Toc411838784"/>
      <w:bookmarkStart w:id="9" w:name="_Toc302889649"/>
      <w:r w:rsidRPr="00096A14">
        <w:rPr>
          <w:rFonts w:cs="Times New Roman"/>
        </w:rPr>
        <w:lastRenderedPageBreak/>
        <w:t>PENDAHULUAN</w:t>
      </w:r>
      <w:bookmarkEnd w:id="1"/>
      <w:bookmarkEnd w:id="2"/>
      <w:bookmarkEnd w:id="3"/>
      <w:bookmarkEnd w:id="4"/>
      <w:bookmarkEnd w:id="5"/>
      <w:bookmarkEnd w:id="6"/>
      <w:bookmarkEnd w:id="7"/>
      <w:bookmarkEnd w:id="8"/>
      <w:bookmarkEnd w:id="9"/>
    </w:p>
    <w:p w14:paraId="5783C68C" w14:textId="77777777" w:rsidR="0081287C" w:rsidRPr="0081287C" w:rsidRDefault="0081287C" w:rsidP="002B0543"/>
    <w:p w14:paraId="7564C518" w14:textId="77777777" w:rsidR="0081287C" w:rsidRDefault="0081287C" w:rsidP="002B0543">
      <w:pPr>
        <w:ind w:firstLine="720"/>
        <w:jc w:val="both"/>
      </w:pPr>
      <w:proofErr w:type="gramStart"/>
      <w:r w:rsidRPr="00096A14">
        <w:t>Nilai perusahaan sangat penting karena mencerminkan kinerja perusahaan yang dapat mempengaruhi persepsi investor terhadap perusahaan.</w:t>
      </w:r>
      <w:proofErr w:type="gramEnd"/>
      <w:r w:rsidRPr="00096A14">
        <w:t xml:space="preserve"> Kepercayaan dari </w:t>
      </w:r>
      <w:r w:rsidRPr="00096A14">
        <w:rPr>
          <w:i/>
        </w:rPr>
        <w:t>stakeholder</w:t>
      </w:r>
      <w:r w:rsidRPr="00096A14">
        <w:t xml:space="preserve"> maupun </w:t>
      </w:r>
      <w:r w:rsidRPr="00096A14">
        <w:rPr>
          <w:i/>
        </w:rPr>
        <w:t>shareholder</w:t>
      </w:r>
      <w:r w:rsidRPr="00096A14">
        <w:t xml:space="preserve"> </w:t>
      </w:r>
      <w:proofErr w:type="gramStart"/>
      <w:r w:rsidRPr="00096A14">
        <w:t>akan</w:t>
      </w:r>
      <w:proofErr w:type="gramEnd"/>
      <w:r w:rsidRPr="00096A14">
        <w:t xml:space="preserve"> meningkat apabila perusahaan memiliki nilai perusahaan yang tinggi. Sehingga nilai perusahaan yang tinggi </w:t>
      </w:r>
      <w:proofErr w:type="gramStart"/>
      <w:r w:rsidRPr="00096A14">
        <w:t>akan</w:t>
      </w:r>
      <w:proofErr w:type="gramEnd"/>
      <w:r w:rsidRPr="00096A14">
        <w:t xml:space="preserve"> diikuti oleh tingginya kemakmuran pemegang saham (Brigham Gapensi, 2006).</w:t>
      </w:r>
      <w:r>
        <w:t xml:space="preserve"> </w:t>
      </w:r>
      <w:proofErr w:type="gramStart"/>
      <w:r w:rsidRPr="00096A14">
        <w:t xml:space="preserve">Salah satu indikator yang dapat digunakan untuk mengukur nilai perusahaan adalah </w:t>
      </w:r>
      <w:r w:rsidRPr="00096A14">
        <w:rPr>
          <w:i/>
        </w:rPr>
        <w:t>Price to Book Value</w:t>
      </w:r>
      <w:r w:rsidRPr="00096A14">
        <w:t xml:space="preserve"> (PBV) yang merupakan perbandingan antara harga saham dengan nilai buku per lembar saham (Ang.1997).</w:t>
      </w:r>
      <w:proofErr w:type="gramEnd"/>
    </w:p>
    <w:p w14:paraId="35EA1A90" w14:textId="77777777" w:rsidR="0081287C" w:rsidRDefault="0081287C" w:rsidP="002B0543">
      <w:pPr>
        <w:ind w:firstLine="720"/>
        <w:jc w:val="both"/>
      </w:pPr>
      <w:proofErr w:type="gramStart"/>
      <w:r w:rsidRPr="00096A14">
        <w:t>Nilai perusahaan dapat dipengaruhi oleh besar kecilnya profitabilitas yang dihasilkan oleh perusahaan.</w:t>
      </w:r>
      <w:proofErr w:type="gramEnd"/>
      <w:r w:rsidRPr="00096A14">
        <w:t xml:space="preserve">  </w:t>
      </w:r>
      <w:proofErr w:type="gramStart"/>
      <w:r w:rsidRPr="00096A14">
        <w:t>Menurut Weston dan Copeland (1997), profitabilitas adalah sejauh mana perusahaan dapat menghasilkan laba dari penjualan dan investasi perusahaan.</w:t>
      </w:r>
      <w:proofErr w:type="gramEnd"/>
      <w:r w:rsidRPr="00096A14">
        <w:t xml:space="preserve"> Apabila profitabilitas perusahaan baik maka </w:t>
      </w:r>
      <w:r w:rsidRPr="00096A14">
        <w:rPr>
          <w:i/>
        </w:rPr>
        <w:t xml:space="preserve">stakeholders </w:t>
      </w:r>
      <w:r w:rsidRPr="00096A14">
        <w:t xml:space="preserve">yang terdiri dari kreditur, supplier, dan investor </w:t>
      </w:r>
      <w:proofErr w:type="gramStart"/>
      <w:r w:rsidRPr="00096A14">
        <w:t>akan</w:t>
      </w:r>
      <w:proofErr w:type="gramEnd"/>
      <w:r w:rsidRPr="00096A14">
        <w:t xml:space="preserve"> melihat sejauh mana perusahaan dapat menghasilkan laba dari penjualan dan investasi perusahaan. Dengan semakin baiknya kinerja perusahaan maka nilai perusahaan juga </w:t>
      </w:r>
      <w:proofErr w:type="gramStart"/>
      <w:r w:rsidRPr="00096A14">
        <w:t>akan</w:t>
      </w:r>
      <w:proofErr w:type="gramEnd"/>
      <w:r w:rsidRPr="00096A14">
        <w:t xml:space="preserve"> meningkat (Suharli, 2006).</w:t>
      </w:r>
    </w:p>
    <w:p w14:paraId="7109CF11" w14:textId="77777777" w:rsidR="0081287C" w:rsidRDefault="0081287C" w:rsidP="002B0543">
      <w:pPr>
        <w:ind w:firstLine="720"/>
        <w:jc w:val="both"/>
      </w:pPr>
      <w:r>
        <w:tab/>
      </w:r>
      <w:r w:rsidRPr="00096A14">
        <w:t xml:space="preserve">Banyaknya ketersediaan sumber pendanaan menuntut Manajer Keuangan untuk dapat menentukan kebijakan yang tepat sehingga mendapatkan komposisi sumber </w:t>
      </w:r>
      <w:proofErr w:type="gramStart"/>
      <w:r w:rsidRPr="00096A14">
        <w:t>dana</w:t>
      </w:r>
      <w:proofErr w:type="gramEnd"/>
      <w:r w:rsidRPr="00096A14">
        <w:t xml:space="preserve"> yang sesuai untuk kebutuhan perusahaan. </w:t>
      </w:r>
      <w:proofErr w:type="gramStart"/>
      <w:r w:rsidRPr="00096A14">
        <w:t>Hal ini sangat penting karena setiap kebijakan atas sumber pendanaan memiliki konsekuensi dan resiko atas kelangsungan operasional perusahaan.</w:t>
      </w:r>
      <w:proofErr w:type="gramEnd"/>
      <w:r w:rsidRPr="00096A14">
        <w:t xml:space="preserve"> </w:t>
      </w:r>
      <w:proofErr w:type="gramStart"/>
      <w:r w:rsidRPr="00096A14">
        <w:t>Selain itu, Manajer Keuangan perusahaan juga harus berhati-hati dalam menetapkan struktur modal yang diharapkan perusahan sehingga dapat meningkatkan nilai perusahaan dan lebih unggul dalam menghadapi persaingan bisnis.</w:t>
      </w:r>
      <w:proofErr w:type="gramEnd"/>
      <w:r>
        <w:t xml:space="preserve"> </w:t>
      </w:r>
      <w:proofErr w:type="gramStart"/>
      <w:r w:rsidRPr="00096A14">
        <w:t>Sumber pendanaan dapat berasal dari internal maupun ekternal perusahaan (Brigham dan Houston, 2001).</w:t>
      </w:r>
      <w:proofErr w:type="gramEnd"/>
      <w:r w:rsidRPr="00096A14">
        <w:t xml:space="preserve"> Umumnya perusahaan </w:t>
      </w:r>
      <w:proofErr w:type="gramStart"/>
      <w:r w:rsidRPr="00096A14">
        <w:t>akan</w:t>
      </w:r>
      <w:proofErr w:type="gramEnd"/>
      <w:r w:rsidRPr="00096A14">
        <w:t xml:space="preserve"> memilih untuk meminjam dana dari pihak eksternal atau berhutang karena sifat hutang yang dipandang perusahaan sebagai sumber pendanaan eksternal akan jauh lebih murah dan simple dalam prosesnya dibandingkan dengan menerbitkan saham di pasar modal.</w:t>
      </w:r>
    </w:p>
    <w:p w14:paraId="2059A754" w14:textId="77777777" w:rsidR="0081287C" w:rsidRPr="00096A14" w:rsidRDefault="0081287C" w:rsidP="002B0543">
      <w:pPr>
        <w:ind w:firstLine="720"/>
        <w:jc w:val="both"/>
      </w:pPr>
      <w:r w:rsidRPr="00096A14">
        <w:t xml:space="preserve">Dalam tingkatan tertentu, hutang dapat meningkatkan produktivitas perusahaan yang secara otomatis </w:t>
      </w:r>
      <w:proofErr w:type="gramStart"/>
      <w:r w:rsidRPr="00096A14">
        <w:t>akan</w:t>
      </w:r>
      <w:proofErr w:type="gramEnd"/>
      <w:r w:rsidRPr="00096A14">
        <w:t xml:space="preserve"> meningkatkan nilai perusahaan. </w:t>
      </w:r>
      <w:proofErr w:type="gramStart"/>
      <w:r w:rsidRPr="00096A14">
        <w:t>Akan tetapi jika komposisi itu menjadi berlebihan maka kemungkinan yang terjadi adalah penurunan nilai perusahaan.</w:t>
      </w:r>
      <w:proofErr w:type="gramEnd"/>
      <w:r w:rsidRPr="00096A14">
        <w:t xml:space="preserve"> Bahkan jika jumlah hutang jangka panjang </w:t>
      </w:r>
      <w:proofErr w:type="gramStart"/>
      <w:r w:rsidRPr="00096A14">
        <w:t>sama</w:t>
      </w:r>
      <w:proofErr w:type="gramEnd"/>
      <w:r w:rsidRPr="00096A14">
        <w:t xml:space="preserve"> dengan jumlah ekuitas, maka dapat dipastikan perusahaan mengalami defisit. </w:t>
      </w:r>
      <w:proofErr w:type="gramStart"/>
      <w:r w:rsidRPr="00096A14">
        <w:t>Oleh karena itu, manajemen harus berhati-hati dalam menentukan kebijakan hutangnya agar bisa menaikan nilai perusahaan.</w:t>
      </w:r>
      <w:proofErr w:type="gramEnd"/>
      <w:r>
        <w:t xml:space="preserve"> </w:t>
      </w:r>
      <w:r w:rsidRPr="00096A14">
        <w:t xml:space="preserve">Berdasarkan teori struktur modal, apabila posisi struktur modal berada diatas target struktur modal optimalnya, maka setiap pertambahan hutang </w:t>
      </w:r>
      <w:proofErr w:type="gramStart"/>
      <w:r w:rsidRPr="00096A14">
        <w:t>akan</w:t>
      </w:r>
      <w:proofErr w:type="gramEnd"/>
      <w:r w:rsidRPr="00096A14">
        <w:t xml:space="preserve"> menurunkan nilai perusahaan. Hal ini menunjukkan bahwa penentuan target struktur modal optimal adalah salah satu tugas penting dan utama dari manajemen perusahaan. Struktur modal adalah proporsi pendanaan dengan hutang (</w:t>
      </w:r>
      <w:r w:rsidRPr="00096A14">
        <w:rPr>
          <w:i/>
        </w:rPr>
        <w:t>debt financing</w:t>
      </w:r>
      <w:r w:rsidRPr="00096A14">
        <w:t xml:space="preserve">) perusahaan yaitu rasio </w:t>
      </w:r>
      <w:r w:rsidRPr="00096A14">
        <w:rPr>
          <w:i/>
        </w:rPr>
        <w:t>leverage</w:t>
      </w:r>
      <w:r w:rsidRPr="00096A14">
        <w:t xml:space="preserve"> perusahaan. Dengan kata </w:t>
      </w:r>
      <w:proofErr w:type="gramStart"/>
      <w:r w:rsidRPr="00096A14">
        <w:t>lain</w:t>
      </w:r>
      <w:proofErr w:type="gramEnd"/>
      <w:r w:rsidRPr="00096A14">
        <w:t xml:space="preserve"> dapat disebutkan bahwa hutang adalah unsur dari struktur modal perusahaan. </w:t>
      </w:r>
      <w:proofErr w:type="gramStart"/>
      <w:r w:rsidRPr="00096A14">
        <w:t>Struktur modal merupakan kunci perbaikan produktivitas dan kinerja perusahaan.</w:t>
      </w:r>
      <w:proofErr w:type="gramEnd"/>
      <w:r w:rsidRPr="00096A14">
        <w:t xml:space="preserve"> Teori struktur modal menjelaskan bahwa kebijakan pendanaan (</w:t>
      </w:r>
      <w:r w:rsidRPr="00096A14">
        <w:rPr>
          <w:i/>
        </w:rPr>
        <w:t>financial policy</w:t>
      </w:r>
      <w:r w:rsidRPr="00096A14">
        <w:t>) perusahaan dalam menentukan struktur modal (bauran antara hutang dan ekuitas) bertujuan untuk mengoptimalkan nilai perusahaan (</w:t>
      </w:r>
      <w:r w:rsidRPr="00096A14">
        <w:rPr>
          <w:i/>
        </w:rPr>
        <w:t>value of the firm</w:t>
      </w:r>
      <w:r w:rsidRPr="00096A14">
        <w:t>)</w:t>
      </w:r>
    </w:p>
    <w:p w14:paraId="2A750793" w14:textId="77777777" w:rsidR="0081287C" w:rsidRDefault="0081287C" w:rsidP="002B0543">
      <w:pPr>
        <w:ind w:firstLine="720"/>
        <w:jc w:val="both"/>
      </w:pPr>
      <w:proofErr w:type="gramStart"/>
      <w:r w:rsidRPr="00096A14">
        <w:t>Ukuran perusahaan (</w:t>
      </w:r>
      <w:r w:rsidRPr="00096A14">
        <w:rPr>
          <w:i/>
          <w:iCs/>
        </w:rPr>
        <w:t>firm size</w:t>
      </w:r>
      <w:r w:rsidRPr="00096A14">
        <w:t>) selain mempengaruhi nilai perusahaan juga memiliki hubungan dengan struktur modal perusahaan.</w:t>
      </w:r>
      <w:proofErr w:type="gramEnd"/>
      <w:r w:rsidRPr="00096A14">
        <w:t xml:space="preserve"> Weston (1985) menyatakan dalam pemilihan cara pembiayaan, perusahaan besar yang sahamnya dimiliki oleh banyak orang </w:t>
      </w:r>
      <w:proofErr w:type="gramStart"/>
      <w:r w:rsidRPr="00096A14">
        <w:t>akan</w:t>
      </w:r>
      <w:proofErr w:type="gramEnd"/>
      <w:r w:rsidRPr="00096A14">
        <w:t xml:space="preserve"> memilih penambahan penjualan saham biasa karena penjualan ini tidak akan banyak mempengaruhi </w:t>
      </w:r>
      <w:r w:rsidRPr="00096A14">
        <w:lastRenderedPageBreak/>
        <w:t xml:space="preserve">pengendalian perusahaan. </w:t>
      </w:r>
      <w:proofErr w:type="gramStart"/>
      <w:r w:rsidRPr="00096A14">
        <w:t>Sebaliknya perusahaan kecil mungkin lebih senang menghindari penerbitan saham biasa dalam usahanya untuk tetap mengendalikan perusahaan sepenuhnya.</w:t>
      </w:r>
      <w:proofErr w:type="gramEnd"/>
      <w:r w:rsidRPr="00096A14">
        <w:t xml:space="preserve"> </w:t>
      </w:r>
      <w:proofErr w:type="gramStart"/>
      <w:r w:rsidRPr="00096A14">
        <w:t>Hal ini, karena dalam perusahaan kecil terdapat keyakinan prospek perusahaan dan laba yang diperoleh besar, sehingga sering bersedia mengambil hutang yang tinggi.</w:t>
      </w:r>
      <w:proofErr w:type="gramEnd"/>
    </w:p>
    <w:p w14:paraId="66B065DF" w14:textId="77777777" w:rsidR="0081287C" w:rsidRPr="00096A14" w:rsidRDefault="0081287C" w:rsidP="002B0543">
      <w:pPr>
        <w:ind w:firstLine="720"/>
        <w:jc w:val="both"/>
      </w:pPr>
      <w:proofErr w:type="gramStart"/>
      <w:r w:rsidRPr="00096A14">
        <w:t>Brigham dan Houston (2001) menyatakan bahwa perusahaan dengan penjualan yang relatif stabil dapat lebih aman memperoleh banyak pinjaman dan menanggung beban yang lebih tinggi bila dibandingkan dengan perusahaan yang penjualanya tidak stabil.</w:t>
      </w:r>
      <w:proofErr w:type="gramEnd"/>
      <w:r w:rsidRPr="00096A14">
        <w:t xml:space="preserve"> Hal ini menunjukkan bahwa tingkat penjualan dari suatu perusahaan </w:t>
      </w:r>
      <w:proofErr w:type="gramStart"/>
      <w:r w:rsidRPr="00096A14">
        <w:t>akan</w:t>
      </w:r>
      <w:proofErr w:type="gramEnd"/>
      <w:r w:rsidRPr="00096A14">
        <w:t xml:space="preserve"> mempermudah perusahaan dalam memperoleh pinjaman sehingga dapat membuat manajemen lebih leluasa dalam menentukan kebijakan struktur modal perusahaan.</w:t>
      </w:r>
    </w:p>
    <w:p w14:paraId="18410331" w14:textId="77777777" w:rsidR="0081287C" w:rsidRDefault="0081287C" w:rsidP="002B0543">
      <w:pPr>
        <w:jc w:val="both"/>
      </w:pPr>
    </w:p>
    <w:p w14:paraId="112426DA" w14:textId="77777777" w:rsidR="0081287C" w:rsidRPr="0081287C" w:rsidRDefault="0081287C" w:rsidP="002B0543">
      <w:pPr>
        <w:jc w:val="both"/>
        <w:rPr>
          <w:b/>
        </w:rPr>
      </w:pPr>
      <w:r>
        <w:rPr>
          <w:b/>
          <w:i/>
        </w:rPr>
        <w:t>Research Gaps</w:t>
      </w:r>
    </w:p>
    <w:p w14:paraId="32F32794" w14:textId="77777777" w:rsidR="0081287C" w:rsidRPr="00096A14" w:rsidRDefault="0081287C" w:rsidP="002B0543">
      <w:pPr>
        <w:ind w:firstLine="720"/>
        <w:jc w:val="both"/>
      </w:pPr>
      <w:r>
        <w:tab/>
      </w:r>
      <w:r w:rsidRPr="00096A14">
        <w:rPr>
          <w:i/>
        </w:rPr>
        <w:t>Research gaps</w:t>
      </w:r>
      <w:r w:rsidRPr="00096A14">
        <w:t xml:space="preserve"> yang ditemukan terkait faktor-faktor yang mempengaruhi nilai perusahaan dengan variabel profitabilitas, ukuran perusahaan, pertumbuhan penjualan, struktur modal dan nilai perusahan antara lain dalam penelitian Saleem, et.al (2013) yang menyatakan bahwa profitabilitas berpengaruh positif signifikan terhadap struktur modal. </w:t>
      </w:r>
      <w:proofErr w:type="gramStart"/>
      <w:r w:rsidRPr="00096A14">
        <w:t>Hal ini bertentangan dengan penelitian yang dilakukan Babatunde, et.al (2014) dan Cekrezi (2013) yang menyatakan profitabilitas berpengaruh negatif signifikan terhadap struktur modal.</w:t>
      </w:r>
      <w:proofErr w:type="gramEnd"/>
      <w:r w:rsidRPr="00096A14">
        <w:t xml:space="preserve"> </w:t>
      </w:r>
      <w:proofErr w:type="gramStart"/>
      <w:r w:rsidRPr="00096A14">
        <w:t>Damayanti (2013) dan Cekrezi (2013) menemukan bahwa ukuran perusahaan berpengaruh positif signifikan terhadap struktur modal.</w:t>
      </w:r>
      <w:proofErr w:type="gramEnd"/>
      <w:r w:rsidRPr="00096A14">
        <w:t xml:space="preserve"> Namun pendapat </w:t>
      </w:r>
      <w:proofErr w:type="gramStart"/>
      <w:r w:rsidRPr="00096A14">
        <w:t>lain</w:t>
      </w:r>
      <w:proofErr w:type="gramEnd"/>
      <w:r w:rsidRPr="00096A14">
        <w:t xml:space="preserve"> dikemukakan Kariuki dan Kamau yang menyatakan bahwa ukuran perusahaan berpengaruh negatif signifikan terhadap struktur modal. </w:t>
      </w:r>
      <w:proofErr w:type="gramStart"/>
      <w:r w:rsidRPr="00096A14">
        <w:t>Penelitian yang dilakukan Kariuki dan Kamau (2014) juga menyatakan bahwa pertumbuhan penjualan berpengaruh positif signifikan terhadap struktur modal.</w:t>
      </w:r>
      <w:proofErr w:type="gramEnd"/>
      <w:r w:rsidRPr="00096A14">
        <w:t xml:space="preserve"> </w:t>
      </w:r>
      <w:proofErr w:type="gramStart"/>
      <w:r w:rsidRPr="00096A14">
        <w:t>Hal ini bertentangan dengan penelitian yang dilakukan Saleem, et.al.</w:t>
      </w:r>
      <w:proofErr w:type="gramEnd"/>
      <w:r w:rsidRPr="00096A14">
        <w:t xml:space="preserve"> (2013) </w:t>
      </w:r>
      <w:proofErr w:type="gramStart"/>
      <w:r w:rsidRPr="00096A14">
        <w:t>yang</w:t>
      </w:r>
      <w:proofErr w:type="gramEnd"/>
      <w:r w:rsidRPr="00096A14">
        <w:t xml:space="preserve"> menyebutkan bahwa pertumbuhan penjualan mempunyai pengaruh negatif signifikan terhadap struktur modal.</w:t>
      </w:r>
    </w:p>
    <w:p w14:paraId="35421CF4" w14:textId="77777777" w:rsidR="0081287C" w:rsidRDefault="0081287C" w:rsidP="002B0543">
      <w:pPr>
        <w:ind w:firstLine="720"/>
        <w:jc w:val="both"/>
      </w:pPr>
      <w:proofErr w:type="gramStart"/>
      <w:r w:rsidRPr="00096A14">
        <w:t>Chen dan Chen (2011) serta Ayuningtyas (2013) menemukan bahwa terdapat pengaruh positif signifikan antara profitabilitas dengan nilai perusahaan.</w:t>
      </w:r>
      <w:proofErr w:type="gramEnd"/>
      <w:r w:rsidRPr="00096A14">
        <w:t xml:space="preserve"> </w:t>
      </w:r>
      <w:proofErr w:type="gramStart"/>
      <w:r w:rsidRPr="00096A14">
        <w:t>Pendapat ini berbeda dengan Tahir dan Razali (2011) yang menyatakan bahwa profitabilitas berpengaruh negatif terhadap nilai perusahaan.</w:t>
      </w:r>
      <w:proofErr w:type="gramEnd"/>
      <w:r w:rsidRPr="00096A14">
        <w:t xml:space="preserve"> </w:t>
      </w:r>
      <w:proofErr w:type="gramStart"/>
      <w:r w:rsidRPr="00096A14">
        <w:t>Penelitian yang dilakukan Dewi dan Wirajaya (2013) menemukan bahwa ukuran perusahaan tidak berpengaruh terhadap nilai perusahaan, namun berdasarkan penelitian Rizqia, et.al.</w:t>
      </w:r>
      <w:proofErr w:type="gramEnd"/>
      <w:r w:rsidRPr="00096A14">
        <w:t xml:space="preserve"> (2013) </w:t>
      </w:r>
      <w:proofErr w:type="gramStart"/>
      <w:r w:rsidRPr="00096A14">
        <w:t>dinyataka</w:t>
      </w:r>
      <w:proofErr w:type="gramEnd"/>
      <w:r w:rsidRPr="00096A14">
        <w:t xml:space="preserve"> bahwa ukuran perusahaan mempunyai pengaruh positif signifikan terhadap nilai perusahaan.</w:t>
      </w:r>
      <w:r>
        <w:t xml:space="preserve"> </w:t>
      </w:r>
    </w:p>
    <w:p w14:paraId="445D7B5B" w14:textId="77777777" w:rsidR="0081287C" w:rsidRPr="0081287C" w:rsidRDefault="0081287C" w:rsidP="002B0543">
      <w:pPr>
        <w:ind w:firstLine="720"/>
        <w:jc w:val="both"/>
      </w:pPr>
      <w:proofErr w:type="gramStart"/>
      <w:r w:rsidRPr="00096A14">
        <w:t>Hasil penelitian Setiabudi dan Agustia (2012) menyatakan bahwa terdapat hubungan positif antara pertumbuhan penjualan dengan nilai perusahaan.</w:t>
      </w:r>
      <w:proofErr w:type="gramEnd"/>
      <w:r w:rsidRPr="00096A14">
        <w:t xml:space="preserve"> </w:t>
      </w:r>
      <w:proofErr w:type="gramStart"/>
      <w:r w:rsidRPr="00096A14">
        <w:t>Hal ini berbeda dari hasil penelitian Hansen dan Juniarti (2014) yang menyatakan bahwa terdapat pengaruh negatif tidak signifikan antara pertumbuhan penjualan dengan nilai perusahaan.</w:t>
      </w:r>
      <w:proofErr w:type="gramEnd"/>
      <w:r w:rsidRPr="00096A14">
        <w:t xml:space="preserve"> Hasil penelitian Hoque, Hossain, dan Hossain (2014) serta penelitian Bukit (2012) menyatakan bahwa struktur modal berpengaruh positif dan signifikan terhadap nilai perusahaan. </w:t>
      </w:r>
      <w:proofErr w:type="gramStart"/>
      <w:r w:rsidRPr="00096A14">
        <w:t>Namun hasil penelitian Loncan dan Caldeira (2014) menemukan bahwa struktur modal mempunyai pengaruh negatif terhadap nilai perusahaan serta penelitian Ogolmagai (2013) menemukan bahwa struktur modal tidak berpengaruh terhadap nilai perusahaan.</w:t>
      </w:r>
      <w:proofErr w:type="gramEnd"/>
    </w:p>
    <w:p w14:paraId="51522D2C" w14:textId="77777777" w:rsidR="0081287C" w:rsidRDefault="0081287C" w:rsidP="002B0543">
      <w:pPr>
        <w:jc w:val="both"/>
        <w:rPr>
          <w:b/>
        </w:rPr>
      </w:pPr>
    </w:p>
    <w:p w14:paraId="589BC607" w14:textId="77777777" w:rsidR="002B0543" w:rsidRDefault="002B0543" w:rsidP="002B0543">
      <w:pPr>
        <w:jc w:val="both"/>
        <w:rPr>
          <w:b/>
        </w:rPr>
      </w:pPr>
    </w:p>
    <w:p w14:paraId="6B08DA99" w14:textId="77777777" w:rsidR="002B0543" w:rsidRDefault="002B0543" w:rsidP="002B0543">
      <w:pPr>
        <w:jc w:val="both"/>
        <w:rPr>
          <w:b/>
        </w:rPr>
      </w:pPr>
    </w:p>
    <w:p w14:paraId="4DB71A8A" w14:textId="77777777" w:rsidR="002B0543" w:rsidRDefault="002B0543" w:rsidP="002B0543">
      <w:pPr>
        <w:jc w:val="both"/>
        <w:rPr>
          <w:b/>
        </w:rPr>
      </w:pPr>
    </w:p>
    <w:p w14:paraId="0481FCD3" w14:textId="77777777" w:rsidR="002B0543" w:rsidRPr="0081287C" w:rsidRDefault="002B0543" w:rsidP="002B0543">
      <w:pPr>
        <w:jc w:val="both"/>
        <w:rPr>
          <w:b/>
        </w:rPr>
      </w:pPr>
    </w:p>
    <w:p w14:paraId="09CCD238" w14:textId="77777777" w:rsidR="0081287C" w:rsidRPr="0081287C" w:rsidRDefault="0081287C" w:rsidP="002B0543">
      <w:pPr>
        <w:jc w:val="both"/>
        <w:rPr>
          <w:b/>
          <w:i/>
        </w:rPr>
      </w:pPr>
      <w:r w:rsidRPr="0081287C">
        <w:rPr>
          <w:b/>
          <w:i/>
        </w:rPr>
        <w:lastRenderedPageBreak/>
        <w:t>Fenomena Gap</w:t>
      </w:r>
    </w:p>
    <w:p w14:paraId="11A95E3A" w14:textId="77777777" w:rsidR="0081287C" w:rsidRPr="0081287C" w:rsidRDefault="0081287C" w:rsidP="002B0543">
      <w:pPr>
        <w:ind w:firstLine="720"/>
        <w:jc w:val="both"/>
      </w:pPr>
      <w:r w:rsidRPr="00096A14">
        <w:t>Informasi dari sampel perusahaan pertambangan yang terdaftar di Bursa Efek Indonesia Tahun 2011 – 2014 yang terkait dengan profitabilitas (ROA), ukuran perusahaan (</w:t>
      </w:r>
      <w:r w:rsidRPr="00096A14">
        <w:rPr>
          <w:i/>
        </w:rPr>
        <w:t>Size</w:t>
      </w:r>
      <w:r w:rsidRPr="00096A14">
        <w:t>), pertumbuhan penjualan (</w:t>
      </w:r>
      <w:r w:rsidRPr="00096A14">
        <w:rPr>
          <w:i/>
        </w:rPr>
        <w:t>Sales Growth</w:t>
      </w:r>
      <w:r w:rsidRPr="00096A14">
        <w:t xml:space="preserve">), struktur modal (DER) dan nilai perusahan (PBV) </w:t>
      </w:r>
      <w:r>
        <w:t xml:space="preserve">ditunjukkan dalam tabel </w:t>
      </w:r>
      <w:proofErr w:type="gramStart"/>
      <w:r>
        <w:t>dibawah :</w:t>
      </w:r>
      <w:proofErr w:type="gramEnd"/>
    </w:p>
    <w:tbl>
      <w:tblPr>
        <w:tblW w:w="7386" w:type="dxa"/>
        <w:tblInd w:w="1528" w:type="dxa"/>
        <w:tblLayout w:type="fixed"/>
        <w:tblLook w:val="04A0" w:firstRow="1" w:lastRow="0" w:firstColumn="1" w:lastColumn="0" w:noHBand="0" w:noVBand="1"/>
      </w:tblPr>
      <w:tblGrid>
        <w:gridCol w:w="1858"/>
        <w:gridCol w:w="295"/>
        <w:gridCol w:w="829"/>
        <w:gridCol w:w="294"/>
        <w:gridCol w:w="1417"/>
        <w:gridCol w:w="425"/>
        <w:gridCol w:w="851"/>
        <w:gridCol w:w="1417"/>
      </w:tblGrid>
      <w:tr w:rsidR="0081287C" w:rsidRPr="00096A14" w14:paraId="29848A02" w14:textId="77777777" w:rsidTr="0081287C">
        <w:trPr>
          <w:trHeight w:val="300"/>
        </w:trPr>
        <w:tc>
          <w:tcPr>
            <w:tcW w:w="7386" w:type="dxa"/>
            <w:gridSpan w:val="8"/>
            <w:tcBorders>
              <w:top w:val="nil"/>
              <w:left w:val="nil"/>
              <w:bottom w:val="nil"/>
              <w:right w:val="nil"/>
            </w:tcBorders>
            <w:shd w:val="clear" w:color="auto" w:fill="auto"/>
            <w:vAlign w:val="bottom"/>
            <w:hideMark/>
          </w:tcPr>
          <w:p w14:paraId="29908D2C" w14:textId="77777777" w:rsidR="0081287C" w:rsidRPr="00096A14" w:rsidRDefault="0081287C" w:rsidP="002B0543">
            <w:pPr>
              <w:rPr>
                <w:b/>
                <w:bCs/>
                <w:color w:val="000000"/>
                <w:sz w:val="22"/>
                <w:szCs w:val="22"/>
              </w:rPr>
            </w:pPr>
          </w:p>
        </w:tc>
      </w:tr>
      <w:tr w:rsidR="0081287C" w:rsidRPr="00096A14" w14:paraId="569130E9" w14:textId="77777777" w:rsidTr="0081287C">
        <w:trPr>
          <w:trHeight w:val="300"/>
        </w:trPr>
        <w:tc>
          <w:tcPr>
            <w:tcW w:w="7386" w:type="dxa"/>
            <w:gridSpan w:val="8"/>
            <w:tcBorders>
              <w:top w:val="nil"/>
              <w:left w:val="nil"/>
              <w:bottom w:val="nil"/>
              <w:right w:val="nil"/>
            </w:tcBorders>
            <w:shd w:val="clear" w:color="auto" w:fill="auto"/>
            <w:vAlign w:val="bottom"/>
            <w:hideMark/>
          </w:tcPr>
          <w:p w14:paraId="5CAF2AF8" w14:textId="77777777" w:rsidR="0081287C" w:rsidRPr="00096A14" w:rsidRDefault="0081287C" w:rsidP="002B0543">
            <w:pPr>
              <w:jc w:val="center"/>
              <w:rPr>
                <w:b/>
                <w:bCs/>
                <w:color w:val="000000"/>
                <w:sz w:val="22"/>
                <w:szCs w:val="22"/>
              </w:rPr>
            </w:pPr>
            <w:r w:rsidRPr="00096A14">
              <w:rPr>
                <w:b/>
                <w:bCs/>
                <w:color w:val="000000"/>
                <w:sz w:val="22"/>
                <w:szCs w:val="22"/>
              </w:rPr>
              <w:t xml:space="preserve">Rata-rata ROA, </w:t>
            </w:r>
            <w:r w:rsidRPr="00096A14">
              <w:rPr>
                <w:b/>
                <w:bCs/>
                <w:i/>
                <w:color w:val="000000"/>
                <w:sz w:val="22"/>
                <w:szCs w:val="22"/>
              </w:rPr>
              <w:t>Size</w:t>
            </w:r>
            <w:r w:rsidRPr="00096A14">
              <w:rPr>
                <w:b/>
                <w:bCs/>
                <w:color w:val="000000"/>
                <w:sz w:val="22"/>
                <w:szCs w:val="22"/>
              </w:rPr>
              <w:t xml:space="preserve">, </w:t>
            </w:r>
            <w:r w:rsidRPr="00096A14">
              <w:rPr>
                <w:b/>
                <w:bCs/>
                <w:i/>
                <w:color w:val="000000"/>
                <w:sz w:val="22"/>
                <w:szCs w:val="22"/>
              </w:rPr>
              <w:t>Sales Growth</w:t>
            </w:r>
            <w:r w:rsidRPr="00096A14">
              <w:rPr>
                <w:b/>
                <w:bCs/>
                <w:color w:val="000000"/>
                <w:sz w:val="22"/>
                <w:szCs w:val="22"/>
              </w:rPr>
              <w:t>, DPR, DER dan PBV</w:t>
            </w:r>
          </w:p>
          <w:p w14:paraId="4710476E" w14:textId="77777777" w:rsidR="0081287C" w:rsidRPr="00096A14" w:rsidRDefault="0081287C" w:rsidP="002B0543">
            <w:pPr>
              <w:jc w:val="center"/>
              <w:rPr>
                <w:b/>
                <w:bCs/>
                <w:color w:val="000000"/>
                <w:sz w:val="22"/>
                <w:szCs w:val="22"/>
              </w:rPr>
            </w:pPr>
            <w:r w:rsidRPr="00096A14">
              <w:rPr>
                <w:b/>
                <w:bCs/>
                <w:color w:val="000000"/>
                <w:sz w:val="22"/>
                <w:szCs w:val="22"/>
              </w:rPr>
              <w:t>pada Perusahaan Pertambangan yang Terdaftar di Bursa Efek Indonesia (BEI)</w:t>
            </w:r>
          </w:p>
        </w:tc>
      </w:tr>
      <w:tr w:rsidR="0081287C" w:rsidRPr="00096A14" w14:paraId="0A149554" w14:textId="77777777" w:rsidTr="0081287C">
        <w:trPr>
          <w:trHeight w:val="300"/>
        </w:trPr>
        <w:tc>
          <w:tcPr>
            <w:tcW w:w="7386" w:type="dxa"/>
            <w:gridSpan w:val="8"/>
            <w:tcBorders>
              <w:top w:val="nil"/>
              <w:left w:val="nil"/>
              <w:bottom w:val="nil"/>
              <w:right w:val="nil"/>
            </w:tcBorders>
            <w:shd w:val="clear" w:color="auto" w:fill="auto"/>
            <w:vAlign w:val="bottom"/>
            <w:hideMark/>
          </w:tcPr>
          <w:p w14:paraId="1B0E2E58" w14:textId="77777777" w:rsidR="0081287C" w:rsidRPr="00096A14" w:rsidRDefault="0081287C" w:rsidP="002B0543">
            <w:pPr>
              <w:jc w:val="center"/>
              <w:rPr>
                <w:b/>
                <w:bCs/>
                <w:color w:val="000000"/>
                <w:sz w:val="22"/>
                <w:szCs w:val="22"/>
              </w:rPr>
            </w:pPr>
            <w:r w:rsidRPr="00096A14">
              <w:rPr>
                <w:b/>
                <w:bCs/>
                <w:color w:val="000000"/>
                <w:sz w:val="22"/>
                <w:szCs w:val="22"/>
              </w:rPr>
              <w:t>Tahun 2010 - 2013</w:t>
            </w:r>
          </w:p>
        </w:tc>
      </w:tr>
      <w:tr w:rsidR="0081287C" w:rsidRPr="00096A14" w14:paraId="718DC5C5" w14:textId="77777777" w:rsidTr="0081287C">
        <w:trPr>
          <w:trHeight w:val="320"/>
        </w:trPr>
        <w:tc>
          <w:tcPr>
            <w:tcW w:w="1858" w:type="dxa"/>
            <w:tcBorders>
              <w:top w:val="nil"/>
              <w:left w:val="nil"/>
              <w:bottom w:val="nil"/>
              <w:right w:val="nil"/>
            </w:tcBorders>
            <w:shd w:val="clear" w:color="auto" w:fill="auto"/>
            <w:noWrap/>
            <w:vAlign w:val="bottom"/>
            <w:hideMark/>
          </w:tcPr>
          <w:p w14:paraId="52B16333" w14:textId="77777777" w:rsidR="0081287C" w:rsidRPr="00096A14" w:rsidRDefault="0081287C" w:rsidP="002B0543">
            <w:pPr>
              <w:rPr>
                <w:color w:val="000000"/>
              </w:rPr>
            </w:pPr>
          </w:p>
        </w:tc>
        <w:tc>
          <w:tcPr>
            <w:tcW w:w="295" w:type="dxa"/>
            <w:tcBorders>
              <w:top w:val="nil"/>
              <w:left w:val="nil"/>
              <w:bottom w:val="single" w:sz="4" w:space="0" w:color="auto"/>
              <w:right w:val="nil"/>
            </w:tcBorders>
            <w:shd w:val="clear" w:color="auto" w:fill="auto"/>
            <w:noWrap/>
            <w:vAlign w:val="bottom"/>
            <w:hideMark/>
          </w:tcPr>
          <w:p w14:paraId="7A377164" w14:textId="77777777" w:rsidR="0081287C" w:rsidRPr="00096A14" w:rsidRDefault="0081287C" w:rsidP="002B0543">
            <w:pPr>
              <w:rPr>
                <w:color w:val="000000"/>
              </w:rPr>
            </w:pPr>
          </w:p>
        </w:tc>
        <w:tc>
          <w:tcPr>
            <w:tcW w:w="829" w:type="dxa"/>
            <w:tcBorders>
              <w:top w:val="nil"/>
              <w:left w:val="nil"/>
              <w:bottom w:val="single" w:sz="4" w:space="0" w:color="auto"/>
              <w:right w:val="nil"/>
            </w:tcBorders>
            <w:shd w:val="clear" w:color="auto" w:fill="auto"/>
            <w:noWrap/>
            <w:vAlign w:val="bottom"/>
            <w:hideMark/>
          </w:tcPr>
          <w:p w14:paraId="3C060FAD" w14:textId="77777777" w:rsidR="0081287C" w:rsidRPr="00096A14" w:rsidRDefault="0081287C" w:rsidP="002B0543">
            <w:pPr>
              <w:rPr>
                <w:color w:val="000000"/>
              </w:rPr>
            </w:pPr>
          </w:p>
        </w:tc>
        <w:tc>
          <w:tcPr>
            <w:tcW w:w="2136" w:type="dxa"/>
            <w:gridSpan w:val="3"/>
            <w:tcBorders>
              <w:top w:val="nil"/>
              <w:left w:val="nil"/>
              <w:bottom w:val="single" w:sz="4" w:space="0" w:color="auto"/>
              <w:right w:val="nil"/>
            </w:tcBorders>
            <w:shd w:val="clear" w:color="auto" w:fill="auto"/>
            <w:noWrap/>
            <w:vAlign w:val="bottom"/>
            <w:hideMark/>
          </w:tcPr>
          <w:p w14:paraId="4F942D8C" w14:textId="77777777" w:rsidR="0081287C" w:rsidRPr="00096A14" w:rsidRDefault="0081287C" w:rsidP="002B0543">
            <w:pPr>
              <w:rPr>
                <w:color w:val="000000"/>
              </w:rPr>
            </w:pPr>
          </w:p>
        </w:tc>
        <w:tc>
          <w:tcPr>
            <w:tcW w:w="2268" w:type="dxa"/>
            <w:gridSpan w:val="2"/>
            <w:tcBorders>
              <w:top w:val="nil"/>
              <w:left w:val="nil"/>
              <w:bottom w:val="single" w:sz="4" w:space="0" w:color="auto"/>
              <w:right w:val="nil"/>
            </w:tcBorders>
            <w:shd w:val="clear" w:color="auto" w:fill="auto"/>
            <w:noWrap/>
            <w:vAlign w:val="bottom"/>
            <w:hideMark/>
          </w:tcPr>
          <w:p w14:paraId="02A43B90" w14:textId="77777777" w:rsidR="0081287C" w:rsidRPr="00096A14" w:rsidRDefault="0081287C" w:rsidP="002B0543">
            <w:pPr>
              <w:rPr>
                <w:color w:val="000000"/>
              </w:rPr>
            </w:pPr>
          </w:p>
        </w:tc>
      </w:tr>
      <w:tr w:rsidR="0081287C" w:rsidRPr="00096A14" w14:paraId="7C519E43" w14:textId="77777777" w:rsidTr="0081287C">
        <w:trPr>
          <w:trHeight w:val="300"/>
        </w:trPr>
        <w:tc>
          <w:tcPr>
            <w:tcW w:w="185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6E91B31" w14:textId="77777777" w:rsidR="0081287C" w:rsidRPr="00096A14" w:rsidRDefault="0081287C" w:rsidP="002B0543">
            <w:pPr>
              <w:jc w:val="center"/>
              <w:rPr>
                <w:b/>
                <w:bCs/>
                <w:color w:val="000000"/>
                <w:sz w:val="22"/>
                <w:szCs w:val="22"/>
              </w:rPr>
            </w:pPr>
            <w:r w:rsidRPr="00096A14">
              <w:rPr>
                <w:b/>
                <w:bCs/>
                <w:color w:val="000000"/>
                <w:sz w:val="22"/>
                <w:szCs w:val="22"/>
              </w:rPr>
              <w:t>Variabel</w:t>
            </w:r>
          </w:p>
        </w:tc>
        <w:tc>
          <w:tcPr>
            <w:tcW w:w="5528" w:type="dxa"/>
            <w:gridSpan w:val="7"/>
            <w:tcBorders>
              <w:top w:val="single" w:sz="4" w:space="0" w:color="auto"/>
              <w:left w:val="nil"/>
              <w:bottom w:val="single" w:sz="4" w:space="0" w:color="auto"/>
              <w:right w:val="single" w:sz="4" w:space="0" w:color="auto"/>
            </w:tcBorders>
            <w:shd w:val="clear" w:color="auto" w:fill="auto"/>
            <w:vAlign w:val="bottom"/>
            <w:hideMark/>
          </w:tcPr>
          <w:p w14:paraId="17C504B0" w14:textId="77777777" w:rsidR="0081287C" w:rsidRPr="00096A14" w:rsidRDefault="0081287C" w:rsidP="002B0543">
            <w:pPr>
              <w:jc w:val="center"/>
              <w:rPr>
                <w:b/>
                <w:bCs/>
                <w:color w:val="000000"/>
                <w:sz w:val="22"/>
                <w:szCs w:val="22"/>
              </w:rPr>
            </w:pPr>
            <w:r w:rsidRPr="00096A14">
              <w:rPr>
                <w:b/>
                <w:bCs/>
                <w:color w:val="000000"/>
                <w:sz w:val="22"/>
                <w:szCs w:val="22"/>
              </w:rPr>
              <w:t>Tahun</w:t>
            </w:r>
          </w:p>
        </w:tc>
      </w:tr>
      <w:tr w:rsidR="0081287C" w:rsidRPr="00096A14" w14:paraId="0A3E07F3" w14:textId="77777777" w:rsidTr="0081287C">
        <w:trPr>
          <w:trHeight w:val="320"/>
        </w:trPr>
        <w:tc>
          <w:tcPr>
            <w:tcW w:w="1858" w:type="dxa"/>
            <w:vMerge/>
            <w:tcBorders>
              <w:top w:val="single" w:sz="8" w:space="0" w:color="auto"/>
              <w:left w:val="single" w:sz="8" w:space="0" w:color="auto"/>
              <w:bottom w:val="single" w:sz="4" w:space="0" w:color="auto"/>
              <w:right w:val="single" w:sz="4" w:space="0" w:color="auto"/>
            </w:tcBorders>
            <w:vAlign w:val="center"/>
            <w:hideMark/>
          </w:tcPr>
          <w:p w14:paraId="623177BC" w14:textId="77777777" w:rsidR="0081287C" w:rsidRPr="00096A14" w:rsidRDefault="0081287C" w:rsidP="002B0543">
            <w:pPr>
              <w:rPr>
                <w:b/>
                <w:bCs/>
                <w:color w:val="000000"/>
                <w:sz w:val="22"/>
                <w:szCs w:val="22"/>
              </w:rPr>
            </w:pP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CB49D4" w14:textId="77777777" w:rsidR="0081287C" w:rsidRPr="00096A14" w:rsidRDefault="0081287C" w:rsidP="002B0543">
            <w:pPr>
              <w:jc w:val="center"/>
              <w:rPr>
                <w:b/>
                <w:bCs/>
                <w:color w:val="000000"/>
                <w:sz w:val="22"/>
                <w:szCs w:val="22"/>
              </w:rPr>
            </w:pPr>
            <w:r w:rsidRPr="00096A14">
              <w:rPr>
                <w:b/>
                <w:bCs/>
                <w:color w:val="000000"/>
                <w:sz w:val="22"/>
                <w:szCs w:val="22"/>
              </w:rPr>
              <w:t>2010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DC1E62" w14:textId="77777777" w:rsidR="0081287C" w:rsidRPr="00096A14" w:rsidRDefault="0081287C" w:rsidP="002B0543">
            <w:pPr>
              <w:jc w:val="center"/>
              <w:rPr>
                <w:b/>
                <w:bCs/>
                <w:color w:val="000000"/>
                <w:sz w:val="22"/>
                <w:szCs w:val="22"/>
              </w:rPr>
            </w:pPr>
            <w:r w:rsidRPr="00096A14">
              <w:rPr>
                <w:b/>
                <w:bCs/>
                <w:color w:val="000000"/>
                <w:sz w:val="22"/>
                <w:szCs w:val="22"/>
              </w:rPr>
              <w:t>2011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8683AC" w14:textId="77777777" w:rsidR="0081287C" w:rsidRPr="00096A14" w:rsidRDefault="0081287C" w:rsidP="002B0543">
            <w:pPr>
              <w:jc w:val="center"/>
              <w:rPr>
                <w:b/>
                <w:bCs/>
                <w:color w:val="000000"/>
                <w:sz w:val="22"/>
                <w:szCs w:val="22"/>
              </w:rPr>
            </w:pPr>
            <w:r w:rsidRPr="00096A14">
              <w:rPr>
                <w:b/>
                <w:bCs/>
                <w:color w:val="000000"/>
                <w:sz w:val="22"/>
                <w:szCs w:val="22"/>
              </w:rPr>
              <w:t>2012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7630E2" w14:textId="77777777" w:rsidR="0081287C" w:rsidRPr="00096A14" w:rsidRDefault="0081287C" w:rsidP="002B0543">
            <w:pPr>
              <w:jc w:val="center"/>
              <w:rPr>
                <w:b/>
                <w:bCs/>
                <w:color w:val="000000"/>
                <w:sz w:val="22"/>
                <w:szCs w:val="22"/>
              </w:rPr>
            </w:pPr>
            <w:r w:rsidRPr="00096A14">
              <w:rPr>
                <w:b/>
                <w:bCs/>
                <w:color w:val="000000"/>
                <w:sz w:val="22"/>
                <w:szCs w:val="22"/>
              </w:rPr>
              <w:t>2013</w:t>
            </w:r>
          </w:p>
        </w:tc>
      </w:tr>
      <w:tr w:rsidR="0081287C" w:rsidRPr="00096A14" w14:paraId="2CF13CE7" w14:textId="77777777" w:rsidTr="0081287C">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08C3B173" w14:textId="77777777" w:rsidR="0081287C" w:rsidRPr="00096A14" w:rsidRDefault="0081287C" w:rsidP="002B0543">
            <w:pPr>
              <w:rPr>
                <w:color w:val="000000"/>
                <w:sz w:val="22"/>
                <w:szCs w:val="22"/>
              </w:rPr>
            </w:pPr>
            <w:r w:rsidRPr="00096A14">
              <w:rPr>
                <w:color w:val="000000"/>
                <w:sz w:val="22"/>
                <w:szCs w:val="22"/>
              </w:rPr>
              <w:t>ROA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14:paraId="567B36C8" w14:textId="77777777" w:rsidR="0081287C" w:rsidRPr="00096A14" w:rsidRDefault="0081287C" w:rsidP="002B0543">
            <w:pPr>
              <w:jc w:val="right"/>
              <w:rPr>
                <w:color w:val="000000"/>
                <w:sz w:val="22"/>
                <w:szCs w:val="22"/>
              </w:rPr>
            </w:pPr>
            <w:r w:rsidRPr="00096A14">
              <w:rPr>
                <w:color w:val="000000"/>
                <w:sz w:val="22"/>
                <w:szCs w:val="22"/>
              </w:rPr>
              <w:t>7,34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F184BA" w14:textId="77777777" w:rsidR="0081287C" w:rsidRPr="00096A14" w:rsidRDefault="0081287C" w:rsidP="002B0543">
            <w:pPr>
              <w:jc w:val="right"/>
              <w:rPr>
                <w:color w:val="000000"/>
                <w:sz w:val="22"/>
                <w:szCs w:val="22"/>
              </w:rPr>
            </w:pPr>
            <w:r w:rsidRPr="00096A14">
              <w:rPr>
                <w:color w:val="000000"/>
                <w:sz w:val="22"/>
                <w:szCs w:val="22"/>
              </w:rPr>
              <w:t>9,00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7DA6E3" w14:textId="77777777" w:rsidR="0081287C" w:rsidRPr="00096A14" w:rsidRDefault="0081287C" w:rsidP="002B0543">
            <w:pPr>
              <w:jc w:val="right"/>
              <w:rPr>
                <w:color w:val="000000"/>
                <w:sz w:val="22"/>
                <w:szCs w:val="22"/>
              </w:rPr>
            </w:pPr>
            <w:r w:rsidRPr="00096A14">
              <w:rPr>
                <w:color w:val="000000"/>
                <w:sz w:val="22"/>
                <w:szCs w:val="22"/>
              </w:rPr>
              <w:t>5,26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785212" w14:textId="77777777" w:rsidR="0081287C" w:rsidRPr="00096A14" w:rsidRDefault="0081287C" w:rsidP="002B0543">
            <w:pPr>
              <w:jc w:val="right"/>
              <w:rPr>
                <w:color w:val="000000"/>
                <w:sz w:val="22"/>
                <w:szCs w:val="22"/>
              </w:rPr>
            </w:pPr>
            <w:r w:rsidRPr="00096A14">
              <w:rPr>
                <w:color w:val="000000"/>
                <w:sz w:val="22"/>
                <w:szCs w:val="22"/>
              </w:rPr>
              <w:t>2,60</w:t>
            </w:r>
          </w:p>
        </w:tc>
      </w:tr>
      <w:tr w:rsidR="0081287C" w:rsidRPr="00096A14" w14:paraId="5A691334" w14:textId="77777777" w:rsidTr="0081287C">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tcPr>
          <w:p w14:paraId="3DBA44E2" w14:textId="77777777" w:rsidR="0081287C" w:rsidRPr="00096A14" w:rsidRDefault="0081287C" w:rsidP="002B0543">
            <w:pPr>
              <w:rPr>
                <w:color w:val="000000"/>
                <w:sz w:val="22"/>
                <w:szCs w:val="22"/>
              </w:rPr>
            </w:pPr>
            <w:r w:rsidRPr="00096A14">
              <w:rPr>
                <w:i/>
                <w:color w:val="000000"/>
                <w:sz w:val="22"/>
                <w:szCs w:val="22"/>
              </w:rPr>
              <w:t>Size</w:t>
            </w:r>
            <w:r w:rsidRPr="00096A14">
              <w:rPr>
                <w:color w:val="000000"/>
                <w:sz w:val="22"/>
                <w:szCs w:val="22"/>
              </w:rPr>
              <w:t xml:space="preserve"> (X)</w:t>
            </w:r>
          </w:p>
        </w:tc>
        <w:tc>
          <w:tcPr>
            <w:tcW w:w="1418" w:type="dxa"/>
            <w:gridSpan w:val="3"/>
            <w:tcBorders>
              <w:top w:val="nil"/>
              <w:left w:val="nil"/>
              <w:bottom w:val="single" w:sz="4" w:space="0" w:color="auto"/>
              <w:right w:val="single" w:sz="4" w:space="0" w:color="auto"/>
            </w:tcBorders>
            <w:shd w:val="clear" w:color="auto" w:fill="auto"/>
            <w:noWrap/>
            <w:vAlign w:val="bottom"/>
          </w:tcPr>
          <w:p w14:paraId="2DF15936" w14:textId="77777777" w:rsidR="0081287C" w:rsidRPr="00096A14" w:rsidRDefault="0081287C" w:rsidP="002B0543">
            <w:pPr>
              <w:jc w:val="right"/>
              <w:rPr>
                <w:color w:val="000000"/>
                <w:sz w:val="22"/>
                <w:szCs w:val="22"/>
              </w:rPr>
            </w:pPr>
            <w:r w:rsidRPr="00096A14">
              <w:rPr>
                <w:color w:val="000000"/>
                <w:sz w:val="22"/>
                <w:szCs w:val="22"/>
              </w:rPr>
              <w:t>15,17</w:t>
            </w:r>
          </w:p>
        </w:tc>
        <w:tc>
          <w:tcPr>
            <w:tcW w:w="1417" w:type="dxa"/>
            <w:tcBorders>
              <w:top w:val="nil"/>
              <w:left w:val="nil"/>
              <w:bottom w:val="single" w:sz="4" w:space="0" w:color="auto"/>
              <w:right w:val="single" w:sz="4" w:space="0" w:color="auto"/>
            </w:tcBorders>
            <w:shd w:val="clear" w:color="auto" w:fill="auto"/>
            <w:noWrap/>
            <w:vAlign w:val="bottom"/>
          </w:tcPr>
          <w:p w14:paraId="1EF82E8E" w14:textId="77777777" w:rsidR="0081287C" w:rsidRPr="00096A14" w:rsidRDefault="0081287C" w:rsidP="002B0543">
            <w:pPr>
              <w:jc w:val="right"/>
              <w:rPr>
                <w:color w:val="000000"/>
                <w:sz w:val="22"/>
                <w:szCs w:val="22"/>
              </w:rPr>
            </w:pPr>
            <w:r w:rsidRPr="00096A14">
              <w:rPr>
                <w:color w:val="000000"/>
                <w:sz w:val="22"/>
                <w:szCs w:val="22"/>
              </w:rPr>
              <w:t>15,29</w:t>
            </w:r>
          </w:p>
        </w:tc>
        <w:tc>
          <w:tcPr>
            <w:tcW w:w="1276" w:type="dxa"/>
            <w:gridSpan w:val="2"/>
            <w:tcBorders>
              <w:top w:val="nil"/>
              <w:left w:val="nil"/>
              <w:bottom w:val="single" w:sz="4" w:space="0" w:color="auto"/>
              <w:right w:val="single" w:sz="4" w:space="0" w:color="auto"/>
            </w:tcBorders>
            <w:shd w:val="clear" w:color="auto" w:fill="auto"/>
            <w:noWrap/>
            <w:vAlign w:val="bottom"/>
          </w:tcPr>
          <w:p w14:paraId="321ED16F" w14:textId="77777777" w:rsidR="0081287C" w:rsidRPr="00096A14" w:rsidRDefault="0081287C" w:rsidP="002B0543">
            <w:pPr>
              <w:jc w:val="right"/>
              <w:rPr>
                <w:color w:val="000000"/>
                <w:sz w:val="22"/>
                <w:szCs w:val="22"/>
              </w:rPr>
            </w:pPr>
            <w:r w:rsidRPr="00096A14">
              <w:rPr>
                <w:color w:val="000000"/>
                <w:sz w:val="22"/>
                <w:szCs w:val="22"/>
              </w:rPr>
              <w:t>15,64</w:t>
            </w:r>
          </w:p>
        </w:tc>
        <w:tc>
          <w:tcPr>
            <w:tcW w:w="1417" w:type="dxa"/>
            <w:tcBorders>
              <w:top w:val="nil"/>
              <w:left w:val="nil"/>
              <w:bottom w:val="single" w:sz="4" w:space="0" w:color="auto"/>
              <w:right w:val="single" w:sz="4" w:space="0" w:color="auto"/>
            </w:tcBorders>
            <w:shd w:val="clear" w:color="auto" w:fill="auto"/>
            <w:noWrap/>
            <w:vAlign w:val="bottom"/>
          </w:tcPr>
          <w:p w14:paraId="63554C9D" w14:textId="77777777" w:rsidR="0081287C" w:rsidRPr="00096A14" w:rsidRDefault="0081287C" w:rsidP="002B0543">
            <w:pPr>
              <w:jc w:val="right"/>
              <w:rPr>
                <w:color w:val="000000"/>
                <w:sz w:val="22"/>
                <w:szCs w:val="22"/>
              </w:rPr>
            </w:pPr>
            <w:r w:rsidRPr="00096A14">
              <w:rPr>
                <w:color w:val="000000"/>
                <w:sz w:val="22"/>
                <w:szCs w:val="22"/>
              </w:rPr>
              <w:t>15,93</w:t>
            </w:r>
          </w:p>
        </w:tc>
      </w:tr>
      <w:tr w:rsidR="0081287C" w:rsidRPr="00096A14" w14:paraId="74116825" w14:textId="77777777" w:rsidTr="0081287C">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tcPr>
          <w:p w14:paraId="0C128883" w14:textId="77777777" w:rsidR="0081287C" w:rsidRPr="00096A14" w:rsidRDefault="0081287C" w:rsidP="002B0543">
            <w:pPr>
              <w:rPr>
                <w:color w:val="000000"/>
                <w:sz w:val="22"/>
                <w:szCs w:val="22"/>
              </w:rPr>
            </w:pPr>
            <w:r w:rsidRPr="00096A14">
              <w:rPr>
                <w:i/>
                <w:color w:val="000000"/>
                <w:sz w:val="22"/>
                <w:szCs w:val="22"/>
              </w:rPr>
              <w:t>Sales Growth</w:t>
            </w:r>
            <w:r w:rsidRPr="00096A14">
              <w:rPr>
                <w:color w:val="000000"/>
                <w:sz w:val="22"/>
                <w:szCs w:val="22"/>
              </w:rPr>
              <w:t xml:space="preserve"> (X)</w:t>
            </w:r>
          </w:p>
        </w:tc>
        <w:tc>
          <w:tcPr>
            <w:tcW w:w="1418" w:type="dxa"/>
            <w:gridSpan w:val="3"/>
            <w:tcBorders>
              <w:top w:val="nil"/>
              <w:left w:val="nil"/>
              <w:bottom w:val="single" w:sz="4" w:space="0" w:color="auto"/>
              <w:right w:val="single" w:sz="4" w:space="0" w:color="auto"/>
            </w:tcBorders>
            <w:shd w:val="clear" w:color="auto" w:fill="auto"/>
            <w:noWrap/>
            <w:vAlign w:val="bottom"/>
          </w:tcPr>
          <w:p w14:paraId="3E0BBC2B" w14:textId="77777777" w:rsidR="0081287C" w:rsidRPr="00096A14" w:rsidRDefault="0081287C" w:rsidP="002B0543">
            <w:pPr>
              <w:jc w:val="right"/>
              <w:rPr>
                <w:color w:val="000000"/>
                <w:sz w:val="22"/>
                <w:szCs w:val="22"/>
              </w:rPr>
            </w:pPr>
            <w:r w:rsidRPr="00096A14">
              <w:rPr>
                <w:color w:val="000000"/>
                <w:sz w:val="22"/>
                <w:szCs w:val="22"/>
              </w:rPr>
              <w:t>(1,32)</w:t>
            </w:r>
          </w:p>
        </w:tc>
        <w:tc>
          <w:tcPr>
            <w:tcW w:w="1417" w:type="dxa"/>
            <w:tcBorders>
              <w:top w:val="nil"/>
              <w:left w:val="nil"/>
              <w:bottom w:val="single" w:sz="4" w:space="0" w:color="auto"/>
              <w:right w:val="single" w:sz="4" w:space="0" w:color="auto"/>
            </w:tcBorders>
            <w:shd w:val="clear" w:color="auto" w:fill="auto"/>
            <w:noWrap/>
            <w:vAlign w:val="bottom"/>
          </w:tcPr>
          <w:p w14:paraId="633E8866" w14:textId="77777777" w:rsidR="0081287C" w:rsidRPr="00096A14" w:rsidRDefault="0081287C" w:rsidP="002B0543">
            <w:pPr>
              <w:jc w:val="right"/>
              <w:rPr>
                <w:color w:val="000000"/>
                <w:sz w:val="22"/>
                <w:szCs w:val="22"/>
              </w:rPr>
            </w:pPr>
            <w:r w:rsidRPr="00096A14">
              <w:rPr>
                <w:color w:val="000000"/>
                <w:sz w:val="22"/>
                <w:szCs w:val="22"/>
              </w:rPr>
              <w:t>(5,42)</w:t>
            </w:r>
          </w:p>
        </w:tc>
        <w:tc>
          <w:tcPr>
            <w:tcW w:w="1276" w:type="dxa"/>
            <w:gridSpan w:val="2"/>
            <w:tcBorders>
              <w:top w:val="nil"/>
              <w:left w:val="nil"/>
              <w:bottom w:val="single" w:sz="4" w:space="0" w:color="auto"/>
              <w:right w:val="single" w:sz="4" w:space="0" w:color="auto"/>
            </w:tcBorders>
            <w:shd w:val="clear" w:color="auto" w:fill="auto"/>
            <w:noWrap/>
            <w:vAlign w:val="bottom"/>
          </w:tcPr>
          <w:p w14:paraId="71039588" w14:textId="77777777" w:rsidR="0081287C" w:rsidRPr="00096A14" w:rsidRDefault="0081287C" w:rsidP="002B0543">
            <w:pPr>
              <w:jc w:val="right"/>
              <w:rPr>
                <w:color w:val="000000"/>
                <w:sz w:val="22"/>
                <w:szCs w:val="22"/>
              </w:rPr>
            </w:pPr>
            <w:r w:rsidRPr="00096A14">
              <w:rPr>
                <w:color w:val="000000"/>
                <w:sz w:val="22"/>
                <w:szCs w:val="22"/>
              </w:rPr>
              <w:t>0,12</w:t>
            </w:r>
          </w:p>
        </w:tc>
        <w:tc>
          <w:tcPr>
            <w:tcW w:w="1417" w:type="dxa"/>
            <w:tcBorders>
              <w:top w:val="nil"/>
              <w:left w:val="nil"/>
              <w:bottom w:val="single" w:sz="4" w:space="0" w:color="auto"/>
              <w:right w:val="single" w:sz="4" w:space="0" w:color="auto"/>
            </w:tcBorders>
            <w:shd w:val="clear" w:color="auto" w:fill="auto"/>
            <w:noWrap/>
            <w:vAlign w:val="bottom"/>
          </w:tcPr>
          <w:p w14:paraId="318C7280" w14:textId="77777777" w:rsidR="0081287C" w:rsidRPr="00096A14" w:rsidRDefault="0081287C" w:rsidP="002B0543">
            <w:pPr>
              <w:jc w:val="right"/>
              <w:rPr>
                <w:color w:val="000000"/>
                <w:sz w:val="22"/>
                <w:szCs w:val="22"/>
              </w:rPr>
            </w:pPr>
            <w:r w:rsidRPr="00096A14">
              <w:rPr>
                <w:color w:val="000000"/>
                <w:sz w:val="22"/>
                <w:szCs w:val="22"/>
              </w:rPr>
              <w:t>(0,14)</w:t>
            </w:r>
          </w:p>
        </w:tc>
      </w:tr>
      <w:tr w:rsidR="0081287C" w:rsidRPr="00096A14" w14:paraId="13DC7C7A" w14:textId="77777777" w:rsidTr="0081287C">
        <w:trPr>
          <w:trHeight w:val="300"/>
        </w:trPr>
        <w:tc>
          <w:tcPr>
            <w:tcW w:w="18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AD556DD" w14:textId="77777777" w:rsidR="0081287C" w:rsidRPr="00096A14" w:rsidRDefault="0081287C" w:rsidP="002B0543">
            <w:pPr>
              <w:rPr>
                <w:color w:val="000000"/>
                <w:sz w:val="22"/>
                <w:szCs w:val="22"/>
              </w:rPr>
            </w:pPr>
            <w:r w:rsidRPr="00096A14">
              <w:rPr>
                <w:color w:val="000000"/>
                <w:sz w:val="22"/>
                <w:szCs w:val="22"/>
              </w:rPr>
              <w:t>DER (X)</w:t>
            </w:r>
          </w:p>
        </w:tc>
        <w:tc>
          <w:tcPr>
            <w:tcW w:w="1418" w:type="dxa"/>
            <w:gridSpan w:val="3"/>
            <w:tcBorders>
              <w:top w:val="single" w:sz="8" w:space="0" w:color="auto"/>
              <w:left w:val="nil"/>
              <w:bottom w:val="single" w:sz="4" w:space="0" w:color="auto"/>
              <w:right w:val="single" w:sz="4" w:space="0" w:color="auto"/>
            </w:tcBorders>
            <w:shd w:val="clear" w:color="auto" w:fill="auto"/>
            <w:noWrap/>
            <w:vAlign w:val="bottom"/>
            <w:hideMark/>
          </w:tcPr>
          <w:p w14:paraId="45724D34" w14:textId="77777777" w:rsidR="0081287C" w:rsidRPr="00096A14" w:rsidRDefault="0081287C" w:rsidP="002B0543">
            <w:pPr>
              <w:jc w:val="right"/>
              <w:rPr>
                <w:color w:val="000000"/>
                <w:sz w:val="22"/>
                <w:szCs w:val="22"/>
              </w:rPr>
            </w:pPr>
            <w:r w:rsidRPr="00096A14">
              <w:rPr>
                <w:color w:val="000000"/>
                <w:sz w:val="22"/>
                <w:szCs w:val="22"/>
              </w:rPr>
              <w:t>3,31</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4D089377" w14:textId="77777777" w:rsidR="0081287C" w:rsidRPr="00096A14" w:rsidRDefault="0081287C" w:rsidP="002B0543">
            <w:pPr>
              <w:jc w:val="right"/>
              <w:rPr>
                <w:color w:val="000000"/>
                <w:sz w:val="22"/>
                <w:szCs w:val="22"/>
              </w:rPr>
            </w:pPr>
            <w:r w:rsidRPr="00096A14">
              <w:rPr>
                <w:color w:val="000000"/>
                <w:sz w:val="22"/>
                <w:szCs w:val="22"/>
              </w:rPr>
              <w:t>1,39</w:t>
            </w:r>
          </w:p>
        </w:tc>
        <w:tc>
          <w:tcPr>
            <w:tcW w:w="1276" w:type="dxa"/>
            <w:gridSpan w:val="2"/>
            <w:tcBorders>
              <w:top w:val="single" w:sz="8" w:space="0" w:color="auto"/>
              <w:left w:val="nil"/>
              <w:bottom w:val="single" w:sz="4" w:space="0" w:color="auto"/>
              <w:right w:val="single" w:sz="4" w:space="0" w:color="auto"/>
            </w:tcBorders>
            <w:shd w:val="clear" w:color="auto" w:fill="auto"/>
            <w:noWrap/>
            <w:vAlign w:val="bottom"/>
            <w:hideMark/>
          </w:tcPr>
          <w:p w14:paraId="5D0E1252" w14:textId="77777777" w:rsidR="0081287C" w:rsidRPr="00096A14" w:rsidRDefault="0081287C" w:rsidP="002B0543">
            <w:pPr>
              <w:jc w:val="right"/>
              <w:rPr>
                <w:color w:val="000000"/>
                <w:sz w:val="22"/>
                <w:szCs w:val="22"/>
              </w:rPr>
            </w:pPr>
            <w:r w:rsidRPr="00096A14">
              <w:rPr>
                <w:color w:val="000000"/>
                <w:sz w:val="22"/>
                <w:szCs w:val="22"/>
              </w:rPr>
              <w:t>1,89</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7FE1C8AC" w14:textId="77777777" w:rsidR="0081287C" w:rsidRPr="00096A14" w:rsidRDefault="0081287C" w:rsidP="002B0543">
            <w:pPr>
              <w:jc w:val="right"/>
              <w:rPr>
                <w:color w:val="000000"/>
                <w:sz w:val="22"/>
                <w:szCs w:val="22"/>
              </w:rPr>
            </w:pPr>
            <w:r w:rsidRPr="00096A14">
              <w:rPr>
                <w:color w:val="000000"/>
                <w:sz w:val="22"/>
                <w:szCs w:val="22"/>
              </w:rPr>
              <w:t>2,19</w:t>
            </w:r>
          </w:p>
        </w:tc>
      </w:tr>
    </w:tbl>
    <w:p w14:paraId="0CA00FE4" w14:textId="77777777" w:rsidR="0081287C" w:rsidRPr="00096A14" w:rsidRDefault="0081287C" w:rsidP="002B0543">
      <w:pPr>
        <w:ind w:left="720" w:firstLine="720"/>
        <w:jc w:val="both"/>
        <w:rPr>
          <w:sz w:val="22"/>
          <w:szCs w:val="22"/>
        </w:rPr>
      </w:pPr>
      <w:r w:rsidRPr="00096A14">
        <w:rPr>
          <w:sz w:val="22"/>
          <w:szCs w:val="22"/>
        </w:rPr>
        <w:t xml:space="preserve">Sumber </w:t>
      </w:r>
      <w:proofErr w:type="gramStart"/>
      <w:r w:rsidRPr="00096A14">
        <w:rPr>
          <w:sz w:val="22"/>
          <w:szCs w:val="22"/>
        </w:rPr>
        <w:t>ICMD :</w:t>
      </w:r>
      <w:proofErr w:type="gramEnd"/>
      <w:r w:rsidRPr="00096A14">
        <w:rPr>
          <w:sz w:val="22"/>
          <w:szCs w:val="22"/>
        </w:rPr>
        <w:t xml:space="preserve"> 2011 – 2014, diolah</w:t>
      </w:r>
    </w:p>
    <w:p w14:paraId="738E60D0" w14:textId="77777777" w:rsidR="0081287C" w:rsidRPr="0081287C" w:rsidRDefault="0081287C" w:rsidP="002B0543">
      <w:pPr>
        <w:jc w:val="both"/>
      </w:pPr>
    </w:p>
    <w:p w14:paraId="3824F43D" w14:textId="77777777" w:rsidR="002B0543" w:rsidRPr="00096A14" w:rsidRDefault="0081287C" w:rsidP="002B0543">
      <w:pPr>
        <w:ind w:firstLine="720"/>
        <w:jc w:val="both"/>
      </w:pPr>
      <w:proofErr w:type="gramStart"/>
      <w:r w:rsidRPr="00096A14">
        <w:t>Dari tabel diatas, diperoleh hasil yang fluktuatif dari tahun ke tahun.</w:t>
      </w:r>
      <w:proofErr w:type="gramEnd"/>
      <w:r w:rsidRPr="00096A14">
        <w:t xml:space="preserve"> Hal ini menunjukkan adanya </w:t>
      </w:r>
      <w:r w:rsidRPr="00096A14">
        <w:rPr>
          <w:i/>
        </w:rPr>
        <w:t>fenomena gap</w:t>
      </w:r>
      <w:r w:rsidRPr="00096A14">
        <w:t xml:space="preserve">, yang terlihat dari inkonsistensi data untuk tahun 2010 – 2011 dimana berdasarkan tabel dinyatakan bahwa rata-rata variabel ROA meningkat pada tahun tersebut sedangkan variabel DER mengalami penurunan sehingga arah pengaruh ROA negatif terhadap DER dan untuk tahun 2011 – 2012 terjadi pengaruh sebaliknya. Hal ini tidak sesuai dengan </w:t>
      </w:r>
      <w:r w:rsidRPr="00096A14">
        <w:rPr>
          <w:i/>
        </w:rPr>
        <w:t>trade off theory</w:t>
      </w:r>
      <w:r w:rsidRPr="00096A14">
        <w:t xml:space="preserve"> yang menyatakan bahwa ROA berpengaruh positif terhadap DER. Pada tahun 2012 – 2013  rata-rata variabel PBV menurun sedangkan variabel DER mengalami kenaikan sehingga arah pengaruh DER negatif terhadap PBV. </w:t>
      </w:r>
      <w:proofErr w:type="gramStart"/>
      <w:r w:rsidRPr="00096A14">
        <w:t xml:space="preserve">Hal ini tidak sesuai dengan </w:t>
      </w:r>
      <w:r w:rsidRPr="00096A14">
        <w:rPr>
          <w:i/>
        </w:rPr>
        <w:t>signalling theory</w:t>
      </w:r>
      <w:r w:rsidRPr="00096A14">
        <w:t xml:space="preserve"> yang menyatakan bahwa DER berpengaruh positif terhadap PBV.</w:t>
      </w:r>
      <w:proofErr w:type="gramEnd"/>
      <w:r w:rsidRPr="00096A14">
        <w:t xml:space="preserve"> Berdasarkan penelitian Dewi dan Wirajaya (2013) hubungan </w:t>
      </w:r>
      <w:r w:rsidRPr="00096A14">
        <w:rPr>
          <w:i/>
        </w:rPr>
        <w:t>size</w:t>
      </w:r>
      <w:r w:rsidRPr="00096A14">
        <w:t xml:space="preserve"> terhadap PBV adalah positif namun pada periode tahun 2010 – 2011 dan 2012 - 2013, rata-rata </w:t>
      </w:r>
      <w:r w:rsidRPr="00096A14">
        <w:rPr>
          <w:i/>
        </w:rPr>
        <w:t xml:space="preserve">size </w:t>
      </w:r>
      <w:r w:rsidRPr="00096A14">
        <w:t xml:space="preserve">meningkat, tetapi untuk PBV mengalami penurunan sehingga arah hubungannya adalah negatif. </w:t>
      </w:r>
    </w:p>
    <w:p w14:paraId="7CBA988E" w14:textId="77777777" w:rsidR="00E54BF8" w:rsidRPr="00096A14" w:rsidRDefault="00E54BF8" w:rsidP="002B0543">
      <w:pPr>
        <w:ind w:firstLine="720"/>
        <w:jc w:val="both"/>
      </w:pPr>
      <w:r w:rsidRPr="00096A14">
        <w:t xml:space="preserve">Berdasarkan penjelasan diatas, dapat dilihat </w:t>
      </w:r>
      <w:proofErr w:type="gramStart"/>
      <w:r w:rsidRPr="00096A14">
        <w:t xml:space="preserve">adanya  </w:t>
      </w:r>
      <w:r w:rsidRPr="00096A14">
        <w:rPr>
          <w:i/>
        </w:rPr>
        <w:t>research</w:t>
      </w:r>
      <w:proofErr w:type="gramEnd"/>
      <w:r w:rsidRPr="00096A14">
        <w:rPr>
          <w:i/>
        </w:rPr>
        <w:t xml:space="preserve"> gap</w:t>
      </w:r>
      <w:r w:rsidRPr="00096A14">
        <w:t xml:space="preserve"> </w:t>
      </w:r>
      <w:r w:rsidRPr="00096A14">
        <w:rPr>
          <w:i/>
        </w:rPr>
        <w:t>dan fenomena gap</w:t>
      </w:r>
      <w:r w:rsidRPr="00096A14">
        <w:t xml:space="preserve"> yang terjadi sehingga perlu dilakukan pengujian pengaruh dari profitabilitas (ROA), ukuran perusahaan (</w:t>
      </w:r>
      <w:r w:rsidRPr="00096A14">
        <w:rPr>
          <w:i/>
        </w:rPr>
        <w:t>Size</w:t>
      </w:r>
      <w:r w:rsidRPr="00096A14">
        <w:t>), pertumbuhan penjualan (</w:t>
      </w:r>
      <w:r w:rsidRPr="00096A14">
        <w:rPr>
          <w:i/>
        </w:rPr>
        <w:t>Sales Growth</w:t>
      </w:r>
      <w:r w:rsidRPr="00096A14">
        <w:t>) terhadap nilai perusahaan (PBV) dengan struktur modal (DER) sebagai variabel intervening pada perusahaan pertambangan yang terdaftar di Bursa Efek Indonesia.</w:t>
      </w:r>
    </w:p>
    <w:p w14:paraId="1D7B7BF8" w14:textId="77777777" w:rsidR="00D97805" w:rsidRDefault="00E54BF8" w:rsidP="002B0543">
      <w:pPr>
        <w:ind w:firstLine="720"/>
        <w:jc w:val="both"/>
      </w:pPr>
      <w:r w:rsidRPr="00096A14">
        <w:t>Penelitian ini dilakukan untuk menguji kembali variabel-variabel yang mempengaruhi nilai perusahaan dimana variabel yang digunakan adalah variabel profitabilitas (ROA), ukuran perusahaan (</w:t>
      </w:r>
      <w:r w:rsidRPr="00096A14">
        <w:rPr>
          <w:i/>
        </w:rPr>
        <w:t>Size</w:t>
      </w:r>
      <w:r w:rsidRPr="00096A14">
        <w:t>), pertumbuhan penjualan (</w:t>
      </w:r>
      <w:r w:rsidRPr="00096A14">
        <w:rPr>
          <w:i/>
        </w:rPr>
        <w:t>Sales Growth</w:t>
      </w:r>
      <w:r w:rsidRPr="00096A14">
        <w:t>), struktur modal (DER) dan nilai perusahaan (PBV). Perbedaaan penelitian ini dibandingkan dengan penelitian sebelumnya adalah penggunaan variabel struktur modal (DER) sebagai variabel intervening yang dimaksudkan untuk menganalisis apakah struktur modal mampu memediasi pengaruh profitabilitas (ROA), ukuran perusahaan (</w:t>
      </w:r>
      <w:r w:rsidRPr="00096A14">
        <w:rPr>
          <w:i/>
        </w:rPr>
        <w:t>Size</w:t>
      </w:r>
      <w:r w:rsidRPr="00096A14">
        <w:t>), pertumbuhan penjualan (</w:t>
      </w:r>
      <w:r w:rsidRPr="00096A14">
        <w:rPr>
          <w:i/>
        </w:rPr>
        <w:t>Sales Growth</w:t>
      </w:r>
      <w:r w:rsidRPr="00096A14">
        <w:t>) terhadap nilai perusahaan.</w:t>
      </w:r>
    </w:p>
    <w:p w14:paraId="254FA0A7" w14:textId="77777777" w:rsidR="00C47253" w:rsidRDefault="00C47253" w:rsidP="002B0543">
      <w:pPr>
        <w:ind w:firstLine="720"/>
        <w:jc w:val="both"/>
      </w:pPr>
    </w:p>
    <w:p w14:paraId="7AD2EC0C" w14:textId="77777777" w:rsidR="00C47253" w:rsidRDefault="00C47253" w:rsidP="002B0543">
      <w:pPr>
        <w:ind w:firstLine="720"/>
        <w:jc w:val="both"/>
      </w:pPr>
    </w:p>
    <w:p w14:paraId="08B69035" w14:textId="77777777" w:rsidR="00D97805" w:rsidRDefault="00D97805" w:rsidP="002B0543">
      <w:pPr>
        <w:ind w:firstLine="720"/>
        <w:jc w:val="both"/>
      </w:pPr>
    </w:p>
    <w:p w14:paraId="5EC700DE" w14:textId="77777777" w:rsidR="00D97805" w:rsidRDefault="00D97805" w:rsidP="002B0543">
      <w:pPr>
        <w:jc w:val="both"/>
        <w:rPr>
          <w:b/>
        </w:rPr>
      </w:pPr>
      <w:r w:rsidRPr="00D97805">
        <w:rPr>
          <w:b/>
        </w:rPr>
        <w:lastRenderedPageBreak/>
        <w:t>LANDASAN TEORI, HIPOTESIS DAN KERANGKA PEMIKIRAN</w:t>
      </w:r>
    </w:p>
    <w:p w14:paraId="200274C7" w14:textId="77777777" w:rsidR="00720958" w:rsidRPr="00D97805" w:rsidRDefault="00720958" w:rsidP="002B0543">
      <w:pPr>
        <w:jc w:val="both"/>
        <w:rPr>
          <w:b/>
        </w:rPr>
      </w:pPr>
    </w:p>
    <w:p w14:paraId="137926A8" w14:textId="77777777" w:rsidR="00D97805" w:rsidRPr="002B0543" w:rsidRDefault="00D97805" w:rsidP="002B0543">
      <w:pPr>
        <w:pStyle w:val="ListParagraph"/>
        <w:numPr>
          <w:ilvl w:val="0"/>
          <w:numId w:val="1"/>
        </w:numPr>
        <w:ind w:left="426"/>
        <w:jc w:val="both"/>
        <w:rPr>
          <w:b/>
        </w:rPr>
      </w:pPr>
      <w:r w:rsidRPr="002B0543">
        <w:rPr>
          <w:b/>
        </w:rPr>
        <w:t>Hubungan antara</w:t>
      </w:r>
      <w:r w:rsidR="002B0543" w:rsidRPr="002B0543">
        <w:rPr>
          <w:b/>
        </w:rPr>
        <w:t xml:space="preserve"> Profitabilitas (ROA), Struktur Modal (DER) dan Nilai Perusahaan (PBV)</w:t>
      </w:r>
    </w:p>
    <w:p w14:paraId="29CCC4FD" w14:textId="77777777" w:rsidR="002B0543" w:rsidRPr="00096A14" w:rsidRDefault="002B0543" w:rsidP="002B0543">
      <w:pPr>
        <w:jc w:val="both"/>
        <w:rPr>
          <w:lang w:val="id-ID"/>
        </w:rPr>
      </w:pPr>
      <w:r>
        <w:tab/>
      </w:r>
      <w:r w:rsidRPr="00096A14">
        <w:rPr>
          <w:i/>
          <w:lang w:val="id-ID"/>
        </w:rPr>
        <w:t>Pecking Order Theory</w:t>
      </w:r>
      <w:r w:rsidRPr="00096A14">
        <w:rPr>
          <w:lang w:val="id-ID"/>
        </w:rPr>
        <w:t xml:space="preserve"> bisa menjelaskan mengapa perusahaan yang mempunyai tingkat keuntungan yang tinggi justru mempunyai tingkat hutang yang lebih kecil karena perusahaan-perusahaan dengan kondisi seperti itu memiliki banyak surplus </w:t>
      </w:r>
      <w:r w:rsidRPr="00096A14">
        <w:rPr>
          <w:i/>
          <w:lang w:val="id-ID"/>
        </w:rPr>
        <w:t>cash flow</w:t>
      </w:r>
      <w:r w:rsidRPr="00096A14">
        <w:rPr>
          <w:lang w:val="id-ID"/>
        </w:rPr>
        <w:t xml:space="preserve"> internal yang dapat dipakai sebagai sumber pendanaan di kemudian hari.</w:t>
      </w:r>
    </w:p>
    <w:p w14:paraId="2FADDC1A" w14:textId="77777777" w:rsidR="002B0543" w:rsidRDefault="002B0543" w:rsidP="002B0543">
      <w:pPr>
        <w:ind w:left="66"/>
        <w:jc w:val="both"/>
      </w:pPr>
      <w:r>
        <w:tab/>
      </w:r>
      <w:proofErr w:type="gramStart"/>
      <w:r w:rsidRPr="00096A14">
        <w:t>Hal ini sejalan dengan hasil penelitian yang dilakukan oleh Cekrezi (2013) yang menyatakan bahwa profitabilitas mempunyai pengaruh negatif terhadap struktur modal.</w:t>
      </w:r>
      <w:proofErr w:type="gramEnd"/>
      <w:r w:rsidRPr="00096A14">
        <w:rPr>
          <w:rStyle w:val="fullpost"/>
          <w:color w:val="333333"/>
          <w:shd w:val="clear" w:color="auto" w:fill="FFFFFF"/>
        </w:rPr>
        <w:t xml:space="preserve"> </w:t>
      </w:r>
      <w:proofErr w:type="gramStart"/>
      <w:r w:rsidRPr="00096A14">
        <w:t xml:space="preserve">Pengaruh profitabilitas terhadap DER didukung teori </w:t>
      </w:r>
      <w:r w:rsidRPr="00096A14">
        <w:rPr>
          <w:i/>
        </w:rPr>
        <w:t>balancing</w:t>
      </w:r>
      <w:r w:rsidRPr="00096A14">
        <w:t>, dimana hutang diperbolehkan selama tingkat keuntungannya melebihi biaya hutangnya.</w:t>
      </w:r>
      <w:proofErr w:type="gramEnd"/>
    </w:p>
    <w:p w14:paraId="3BE1A225" w14:textId="77777777" w:rsidR="00C47253" w:rsidRPr="00096A14" w:rsidRDefault="00C47253" w:rsidP="002B0543">
      <w:pPr>
        <w:ind w:left="66"/>
        <w:jc w:val="both"/>
      </w:pPr>
    </w:p>
    <w:p w14:paraId="5A1630F8" w14:textId="239A2665" w:rsidR="002B0543" w:rsidRDefault="002B0543" w:rsidP="002B0543">
      <w:pPr>
        <w:rPr>
          <w:rStyle w:val="fullpost"/>
          <w:b/>
          <w:color w:val="333333"/>
          <w:shd w:val="clear" w:color="auto" w:fill="FFFFFF"/>
        </w:rPr>
      </w:pPr>
      <w:r w:rsidRPr="002B0543">
        <w:rPr>
          <w:rStyle w:val="fullpost"/>
          <w:b/>
          <w:color w:val="333333"/>
          <w:shd w:val="clear" w:color="auto" w:fill="FFFFFF"/>
        </w:rPr>
        <w:t>H1:</w:t>
      </w:r>
      <w:r w:rsidRPr="002B0543">
        <w:rPr>
          <w:rStyle w:val="fullpost"/>
          <w:b/>
          <w:color w:val="333333"/>
          <w:shd w:val="clear" w:color="auto" w:fill="FFFFFF"/>
        </w:rPr>
        <w:tab/>
        <w:t>Profitabilitas berpengaruh negatif</w:t>
      </w:r>
      <w:r>
        <w:rPr>
          <w:rStyle w:val="fullpost"/>
          <w:b/>
          <w:color w:val="333333"/>
          <w:shd w:val="clear" w:color="auto" w:fill="FFFFFF"/>
        </w:rPr>
        <w:t xml:space="preserve"> terhadap Struktur </w:t>
      </w:r>
      <w:r w:rsidRPr="002B0543">
        <w:rPr>
          <w:rStyle w:val="fullpost"/>
          <w:b/>
          <w:color w:val="333333"/>
          <w:shd w:val="clear" w:color="auto" w:fill="FFFFFF"/>
        </w:rPr>
        <w:t>Modal</w:t>
      </w:r>
      <w:r w:rsidRPr="002B0543">
        <w:rPr>
          <w:rStyle w:val="fullpost"/>
          <w:b/>
          <w:i/>
          <w:color w:val="333333"/>
          <w:shd w:val="clear" w:color="auto" w:fill="FFFFFF"/>
        </w:rPr>
        <w:t xml:space="preserve"> </w:t>
      </w:r>
    </w:p>
    <w:p w14:paraId="20617788" w14:textId="77777777" w:rsidR="002B0543" w:rsidRPr="002B0543" w:rsidRDefault="002B0543" w:rsidP="002B0543">
      <w:pPr>
        <w:rPr>
          <w:rStyle w:val="fullpost"/>
          <w:b/>
          <w:color w:val="333333"/>
          <w:shd w:val="clear" w:color="auto" w:fill="FFFFFF"/>
        </w:rPr>
      </w:pPr>
    </w:p>
    <w:p w14:paraId="5633634A" w14:textId="77777777" w:rsidR="002B0543" w:rsidRDefault="002B0543" w:rsidP="002B0543">
      <w:pPr>
        <w:jc w:val="both"/>
      </w:pPr>
      <w:r>
        <w:tab/>
      </w:r>
      <w:r w:rsidRPr="00096A14">
        <w:t xml:space="preserve">Profitabilitas menunjukkan kemampuan perusahaan dalam menghasilkan laba dengan memanfaatkan total asset yang dimilikinya. Sinyal positif yang ditunjukkan perusahaan melalui tingkat profitabilitas yang tinggi akan memberikan nilai bagi perusahaan, dimana </w:t>
      </w:r>
      <w:r w:rsidRPr="00096A14">
        <w:rPr>
          <w:lang w:val="pt-BR"/>
        </w:rPr>
        <w:t xml:space="preserve">perusahaan yang </w:t>
      </w:r>
      <w:r w:rsidRPr="00096A14">
        <w:rPr>
          <w:i/>
          <w:lang w:val="pt-BR"/>
        </w:rPr>
        <w:t>profitable</w:t>
      </w:r>
      <w:r w:rsidRPr="00096A14">
        <w:rPr>
          <w:lang w:val="pt-BR"/>
        </w:rPr>
        <w:t xml:space="preserve"> dengan sengaja akan memberikan sinyal pada pasar yang berupa informasi agar sinyal tersebut efektif, maka harus dapat ditangkap pasar dan dipersepsikan baik, serta tidak mudah ditiru oleh perusahaan yang berkualitas buruk (Husnan, 1998).</w:t>
      </w:r>
    </w:p>
    <w:p w14:paraId="0C74E148" w14:textId="77777777" w:rsidR="002B0543" w:rsidRDefault="002B0543" w:rsidP="002B0543">
      <w:pPr>
        <w:ind w:firstLine="720"/>
        <w:jc w:val="both"/>
      </w:pPr>
      <w:r w:rsidRPr="00096A14">
        <w:t>Profitabilitas yang tinggi menunjukkan prospek perusahaan baik, sehingga investor akan merespon positif sinyal tersebut dan nilai perusahaan akan meningkat, adanya pengaruh positif profitabilitas terhadap nilai perusahaan dapat dimungkinkan terjadinya sentimen positif pada para investor, sehingga harga saham meningkat, meningkatnya harga saham akan membuat nilai perusahaan juga meningkat (Ayuningtias dan Kurnia, 2013).</w:t>
      </w:r>
    </w:p>
    <w:p w14:paraId="7AF340FF" w14:textId="77777777" w:rsidR="00C47253" w:rsidRPr="00096A14" w:rsidRDefault="00C47253" w:rsidP="002B0543">
      <w:pPr>
        <w:ind w:firstLine="720"/>
        <w:jc w:val="both"/>
      </w:pPr>
    </w:p>
    <w:p w14:paraId="61117F87" w14:textId="5FE01F13" w:rsidR="002B0543" w:rsidRDefault="002B0543" w:rsidP="002B0543">
      <w:pPr>
        <w:rPr>
          <w:rStyle w:val="fullpost"/>
          <w:b/>
          <w:color w:val="333333"/>
          <w:shd w:val="clear" w:color="auto" w:fill="FFFFFF"/>
        </w:rPr>
      </w:pPr>
      <w:r w:rsidRPr="002B0543">
        <w:rPr>
          <w:rStyle w:val="fullpost"/>
          <w:b/>
          <w:color w:val="333333"/>
          <w:shd w:val="clear" w:color="auto" w:fill="FFFFFF"/>
        </w:rPr>
        <w:t>H2:</w:t>
      </w:r>
      <w:r w:rsidRPr="002B0543">
        <w:rPr>
          <w:rStyle w:val="fullpost"/>
          <w:b/>
          <w:color w:val="333333"/>
          <w:shd w:val="clear" w:color="auto" w:fill="FFFFFF"/>
        </w:rPr>
        <w:tab/>
        <w:t>Profitabilitas berpengaruh pos</w:t>
      </w:r>
      <w:r w:rsidR="00EC3D54">
        <w:rPr>
          <w:rStyle w:val="fullpost"/>
          <w:b/>
          <w:color w:val="333333"/>
          <w:shd w:val="clear" w:color="auto" w:fill="FFFFFF"/>
        </w:rPr>
        <w:t xml:space="preserve">itif terhadap Nilai Perusahaan </w:t>
      </w:r>
    </w:p>
    <w:p w14:paraId="775658D9" w14:textId="77777777" w:rsidR="00C47253" w:rsidRDefault="00C47253" w:rsidP="002B0543">
      <w:pPr>
        <w:rPr>
          <w:rStyle w:val="fullpost"/>
          <w:b/>
          <w:color w:val="333333"/>
          <w:shd w:val="clear" w:color="auto" w:fill="FFFFFF"/>
        </w:rPr>
      </w:pPr>
    </w:p>
    <w:p w14:paraId="469B71DF" w14:textId="77777777" w:rsidR="00C47253" w:rsidRDefault="00C47253" w:rsidP="00C47253">
      <w:pPr>
        <w:jc w:val="both"/>
      </w:pPr>
      <w:r>
        <w:rPr>
          <w:rStyle w:val="fullpost"/>
          <w:color w:val="333333"/>
          <w:shd w:val="clear" w:color="auto" w:fill="FFFFFF"/>
        </w:rPr>
        <w:tab/>
      </w:r>
      <w:proofErr w:type="gramStart"/>
      <w:r w:rsidRPr="00096A14">
        <w:rPr>
          <w:rStyle w:val="fullpost"/>
          <w:color w:val="333333"/>
          <w:shd w:val="clear" w:color="auto" w:fill="FFFFFF"/>
        </w:rPr>
        <w:t xml:space="preserve">Penelitian </w:t>
      </w:r>
      <w:r w:rsidRPr="00096A14">
        <w:t>Chen dan Chen (2011) yang menggunakan variabel profitabilitas, nilai perusahaan, leverage, tipe industri dan ukuran perusahaan menunjukkan bahwa profitabilitas memiliki pengaruh positif signifikan terhadap nilai perusahaan dan memiliki pengaruh negatif terhadap leverage.</w:t>
      </w:r>
      <w:proofErr w:type="gramEnd"/>
      <w:r w:rsidRPr="00096A14">
        <w:t xml:space="preserve"> Di </w:t>
      </w:r>
      <w:proofErr w:type="gramStart"/>
      <w:r w:rsidRPr="00096A14">
        <w:t>lain</w:t>
      </w:r>
      <w:proofErr w:type="gramEnd"/>
      <w:r w:rsidRPr="00096A14">
        <w:t xml:space="preserve"> sisi, leverage memiliki pengaruh negatif terhadap nilai perusahaan dan profitabilitas serta memiliki pengaruh mediasi yang signifikan. Pada saat investor memandang adanya pengaruh dari profitabilitas terhadap nilai perusahaan, investor juga harus melihat adanya pengaruh negatif dari leverage terhadap nilai perusahaan karena tingkat hutang yang tinggi dapat mempengaruhi pengaruh positif antara profitabilitas dan nilai perusahaan.</w:t>
      </w:r>
    </w:p>
    <w:p w14:paraId="546C475C" w14:textId="77777777" w:rsidR="00C47253" w:rsidRPr="00096A14" w:rsidRDefault="00C47253" w:rsidP="00C47253">
      <w:pPr>
        <w:jc w:val="both"/>
        <w:rPr>
          <w:rStyle w:val="fullpost"/>
        </w:rPr>
      </w:pPr>
    </w:p>
    <w:p w14:paraId="58FA7BF9" w14:textId="77777777" w:rsidR="00C47253" w:rsidRDefault="00C47253" w:rsidP="00C47253">
      <w:pPr>
        <w:rPr>
          <w:rStyle w:val="fullpost"/>
          <w:b/>
          <w:color w:val="333333"/>
          <w:shd w:val="clear" w:color="auto" w:fill="FFFFFF"/>
        </w:rPr>
      </w:pPr>
      <w:r w:rsidRPr="00C47253">
        <w:rPr>
          <w:rStyle w:val="fullpost"/>
          <w:b/>
          <w:color w:val="333333"/>
          <w:shd w:val="clear" w:color="auto" w:fill="FFFFFF"/>
        </w:rPr>
        <w:t>H3:</w:t>
      </w:r>
      <w:r w:rsidRPr="00C47253">
        <w:rPr>
          <w:rStyle w:val="fullpost"/>
          <w:b/>
          <w:color w:val="333333"/>
          <w:shd w:val="clear" w:color="auto" w:fill="FFFFFF"/>
        </w:rPr>
        <w:tab/>
        <w:t>Struktur Modal memediasi pengaruh Profitabilitas terhadap Nilai Perusahaan</w:t>
      </w:r>
    </w:p>
    <w:p w14:paraId="1C72DA59" w14:textId="77777777" w:rsidR="00C47253" w:rsidRDefault="00C47253" w:rsidP="00C47253">
      <w:pPr>
        <w:rPr>
          <w:rStyle w:val="fullpost"/>
          <w:b/>
          <w:color w:val="333333"/>
          <w:shd w:val="clear" w:color="auto" w:fill="FFFFFF"/>
        </w:rPr>
      </w:pPr>
    </w:p>
    <w:p w14:paraId="7D2F4878" w14:textId="77777777" w:rsidR="00C47253" w:rsidRDefault="00C47253" w:rsidP="00C47253">
      <w:pPr>
        <w:rPr>
          <w:rStyle w:val="fullpost"/>
          <w:b/>
          <w:color w:val="333333"/>
          <w:shd w:val="clear" w:color="auto" w:fill="FFFFFF"/>
        </w:rPr>
      </w:pPr>
    </w:p>
    <w:p w14:paraId="3CD9F365" w14:textId="77777777" w:rsidR="00EC3D54" w:rsidRDefault="00C47253" w:rsidP="00EC3D54">
      <w:pPr>
        <w:pStyle w:val="ListParagraph"/>
        <w:numPr>
          <w:ilvl w:val="0"/>
          <w:numId w:val="1"/>
        </w:numPr>
        <w:ind w:left="284"/>
        <w:rPr>
          <w:rStyle w:val="fullpost"/>
          <w:b/>
          <w:color w:val="333333"/>
          <w:shd w:val="clear" w:color="auto" w:fill="FFFFFF"/>
        </w:rPr>
      </w:pPr>
      <w:r w:rsidRPr="00EC3D54">
        <w:rPr>
          <w:rStyle w:val="fullpost"/>
          <w:b/>
          <w:color w:val="333333"/>
          <w:shd w:val="clear" w:color="auto" w:fill="FFFFFF"/>
        </w:rPr>
        <w:t>Hubungan antara Ukuran Perusahaan (</w:t>
      </w:r>
      <w:r w:rsidRPr="00EC3D54">
        <w:rPr>
          <w:rStyle w:val="fullpost"/>
          <w:b/>
          <w:i/>
          <w:color w:val="333333"/>
          <w:shd w:val="clear" w:color="auto" w:fill="FFFFFF"/>
        </w:rPr>
        <w:t>Size</w:t>
      </w:r>
      <w:r w:rsidR="00EC3D54" w:rsidRPr="00EC3D54">
        <w:rPr>
          <w:rStyle w:val="fullpost"/>
          <w:b/>
          <w:color w:val="333333"/>
          <w:shd w:val="clear" w:color="auto" w:fill="FFFFFF"/>
        </w:rPr>
        <w:t>), Struktur Modal (DER) dan Nilai Perusahaan (PBV</w:t>
      </w:r>
    </w:p>
    <w:p w14:paraId="0AD2DF06" w14:textId="499D6C6D" w:rsidR="00EC3D54" w:rsidRDefault="00EC3D54" w:rsidP="00EC3D54">
      <w:pPr>
        <w:ind w:left="-76"/>
      </w:pPr>
      <w:r>
        <w:tab/>
      </w:r>
      <w:r>
        <w:tab/>
      </w:r>
      <w:r w:rsidRPr="00096A14">
        <w:t xml:space="preserve">Perusahaan kecil </w:t>
      </w:r>
      <w:proofErr w:type="gramStart"/>
      <w:r w:rsidRPr="00096A14">
        <w:t>akan</w:t>
      </w:r>
      <w:proofErr w:type="gramEnd"/>
      <w:r w:rsidRPr="00096A14">
        <w:t xml:space="preserve"> cenderung memiliki biaya modal sendiri dan menggunakan hutang jangka pendek yang lebih tinggi dari perusahaan besar karena biayanya lebih rendah. Namun perusahaan besar yang memiliki pendanaan kuat </w:t>
      </w:r>
      <w:proofErr w:type="gramStart"/>
      <w:r w:rsidRPr="00096A14">
        <w:t>akan</w:t>
      </w:r>
      <w:proofErr w:type="gramEnd"/>
      <w:r w:rsidRPr="00096A14">
        <w:t xml:space="preserve"> cenderung untuk memilih hutang jangka </w:t>
      </w:r>
      <w:r w:rsidRPr="00096A14">
        <w:lastRenderedPageBreak/>
        <w:t xml:space="preserve">panjang. </w:t>
      </w:r>
      <w:proofErr w:type="gramStart"/>
      <w:r w:rsidRPr="00096A14">
        <w:t>Semakin besar ukuran suatu perusahaan, maka kecenderungan menggunakan modal asing juga semakin besar.</w:t>
      </w:r>
      <w:proofErr w:type="gramEnd"/>
      <w:r w:rsidRPr="00096A14">
        <w:t xml:space="preserve"> Dengan demikian ukuran perusahaan </w:t>
      </w:r>
      <w:proofErr w:type="gramStart"/>
      <w:r w:rsidRPr="00096A14">
        <w:t>akan</w:t>
      </w:r>
      <w:proofErr w:type="gramEnd"/>
      <w:r w:rsidRPr="00096A14">
        <w:t xml:space="preserve"> memiliki pengaruh terhadap struktur modal. </w:t>
      </w:r>
      <w:proofErr w:type="gramStart"/>
      <w:r w:rsidRPr="00096A14">
        <w:t>Hal ini sejalan dengan hasil penelitian Damayanti (2013) dan Cekrezi (2013) yang menyatakan bahwa ukuran perusahaan mempunyai pengaruh positif signifikan terhadap struktur modal.</w:t>
      </w:r>
      <w:proofErr w:type="gramEnd"/>
    </w:p>
    <w:p w14:paraId="0BAEEDFA" w14:textId="77777777" w:rsidR="00EC3D54" w:rsidRDefault="00EC3D54" w:rsidP="00EC3D54">
      <w:pPr>
        <w:ind w:left="-76"/>
      </w:pPr>
    </w:p>
    <w:p w14:paraId="56C294F0" w14:textId="07816FE9" w:rsidR="00EC3D54" w:rsidRDefault="00EC3D54" w:rsidP="00EC3D54">
      <w:pPr>
        <w:jc w:val="both"/>
        <w:rPr>
          <w:rStyle w:val="fullpost"/>
          <w:b/>
          <w:color w:val="333333"/>
          <w:shd w:val="clear" w:color="auto" w:fill="FFFFFF"/>
        </w:rPr>
      </w:pPr>
      <w:r w:rsidRPr="00EC3D54">
        <w:rPr>
          <w:rStyle w:val="fullpost"/>
          <w:b/>
          <w:color w:val="333333"/>
          <w:shd w:val="clear" w:color="auto" w:fill="FFFFFF"/>
        </w:rPr>
        <w:t>H4:</w:t>
      </w:r>
      <w:r w:rsidRPr="00EC3D54">
        <w:rPr>
          <w:rStyle w:val="fullpost"/>
          <w:b/>
          <w:color w:val="333333"/>
          <w:shd w:val="clear" w:color="auto" w:fill="FFFFFF"/>
        </w:rPr>
        <w:tab/>
        <w:t>Ukuran perusahaan berpengaruh positif</w:t>
      </w:r>
      <w:r>
        <w:rPr>
          <w:rStyle w:val="fullpost"/>
          <w:b/>
          <w:color w:val="333333"/>
          <w:shd w:val="clear" w:color="auto" w:fill="FFFFFF"/>
        </w:rPr>
        <w:t xml:space="preserve"> terhadap Struktur Modal</w:t>
      </w:r>
    </w:p>
    <w:p w14:paraId="50EC495D" w14:textId="77777777" w:rsidR="00EC3D54" w:rsidRDefault="00EC3D54" w:rsidP="00EC3D54">
      <w:pPr>
        <w:jc w:val="both"/>
        <w:rPr>
          <w:rStyle w:val="fullpost"/>
          <w:b/>
          <w:color w:val="333333"/>
          <w:shd w:val="clear" w:color="auto" w:fill="FFFFFF"/>
        </w:rPr>
      </w:pPr>
    </w:p>
    <w:p w14:paraId="780BDD69" w14:textId="0385DEAB" w:rsidR="008401A0" w:rsidRPr="00096A14" w:rsidRDefault="008401A0" w:rsidP="008401A0">
      <w:pPr>
        <w:jc w:val="both"/>
      </w:pPr>
      <w:r>
        <w:tab/>
      </w:r>
      <w:r w:rsidRPr="00096A14">
        <w:t xml:space="preserve">Kemudahan akses ke pasar modal </w:t>
      </w:r>
      <w:proofErr w:type="gramStart"/>
      <w:r w:rsidRPr="00096A14">
        <w:t>akan</w:t>
      </w:r>
      <w:proofErr w:type="gramEnd"/>
      <w:r w:rsidRPr="00096A14">
        <w:t xml:space="preserve"> membantu fleksibilitas dan kemampuan perusahaan untuk memperoleh dana yang lebih besar sehingga perusahaan mempunyai kesempatan untuk memperoleh keuntungan yang lebih besar dimana hal ini akan meningkatkan nilai perusahaan. Penelitian yang dilakukan Rizqia et.al</w:t>
      </w:r>
      <w:proofErr w:type="gramStart"/>
      <w:r w:rsidRPr="00096A14">
        <w:t>.,</w:t>
      </w:r>
      <w:proofErr w:type="gramEnd"/>
      <w:r w:rsidRPr="00096A14">
        <w:t xml:space="preserve"> (2013) menemukan adanya pengaruh positif dan signifikan antara ukuran perusahaan dengan nilai perusahaan. </w:t>
      </w:r>
    </w:p>
    <w:p w14:paraId="7A39ECD8" w14:textId="77777777" w:rsidR="008401A0" w:rsidRPr="00096A14" w:rsidRDefault="008401A0" w:rsidP="008401A0">
      <w:pPr>
        <w:ind w:firstLine="720"/>
        <w:jc w:val="both"/>
      </w:pPr>
      <w:r w:rsidRPr="00096A14">
        <w:rPr>
          <w:color w:val="000000"/>
          <w:lang w:val="fi-FI"/>
        </w:rPr>
        <w:t xml:space="preserve">Besarnya aset perusahaan dapat memberikan kemudahan bagi </w:t>
      </w:r>
      <w:r w:rsidRPr="00096A14">
        <w:rPr>
          <w:color w:val="000000"/>
          <w:lang w:val="id-ID"/>
        </w:rPr>
        <w:t>investor</w:t>
      </w:r>
      <w:r w:rsidRPr="00096A14">
        <w:rPr>
          <w:color w:val="000000"/>
          <w:lang w:val="fi-FI"/>
        </w:rPr>
        <w:t xml:space="preserve"> untuk mendapatkan informasi-informasi yang penting </w:t>
      </w:r>
      <w:r w:rsidRPr="00096A14">
        <w:rPr>
          <w:color w:val="000000"/>
          <w:lang w:val="id-ID"/>
        </w:rPr>
        <w:t>tentang perusahaan</w:t>
      </w:r>
      <w:r w:rsidRPr="00096A14">
        <w:rPr>
          <w:color w:val="000000"/>
          <w:lang w:val="fi-FI"/>
        </w:rPr>
        <w:t xml:space="preserve">, dimana hal tersebut akan memberikan tingkat kepercayaan investor yang tinggi dan pada akhirnya akan meningkatkan </w:t>
      </w:r>
      <w:r w:rsidRPr="00096A14">
        <w:rPr>
          <w:color w:val="000000"/>
          <w:lang w:val="id-ID"/>
        </w:rPr>
        <w:t>nilai perusahaan</w:t>
      </w:r>
      <w:r w:rsidRPr="00096A14">
        <w:rPr>
          <w:color w:val="000000"/>
          <w:lang w:val="fi-FI"/>
        </w:rPr>
        <w:t>.</w:t>
      </w:r>
    </w:p>
    <w:p w14:paraId="01A9D182" w14:textId="77777777" w:rsidR="008401A0" w:rsidRDefault="008401A0" w:rsidP="008401A0">
      <w:pPr>
        <w:jc w:val="both"/>
        <w:rPr>
          <w:rStyle w:val="fullpost"/>
          <w:color w:val="333333"/>
          <w:shd w:val="clear" w:color="auto" w:fill="FFFFFF"/>
        </w:rPr>
      </w:pPr>
    </w:p>
    <w:p w14:paraId="13C761CF" w14:textId="184DF482" w:rsidR="00EC3D54" w:rsidRDefault="008401A0" w:rsidP="008401A0">
      <w:pPr>
        <w:jc w:val="both"/>
        <w:rPr>
          <w:rStyle w:val="fullpost"/>
          <w:b/>
          <w:color w:val="333333"/>
          <w:shd w:val="clear" w:color="auto" w:fill="FFFFFF"/>
        </w:rPr>
      </w:pPr>
      <w:r w:rsidRPr="008401A0">
        <w:rPr>
          <w:rStyle w:val="fullpost"/>
          <w:b/>
          <w:color w:val="333333"/>
          <w:shd w:val="clear" w:color="auto" w:fill="FFFFFF"/>
        </w:rPr>
        <w:t>H5</w:t>
      </w:r>
      <w:r>
        <w:rPr>
          <w:rStyle w:val="fullpost"/>
          <w:b/>
          <w:color w:val="333333"/>
          <w:shd w:val="clear" w:color="auto" w:fill="FFFFFF"/>
        </w:rPr>
        <w:t>:</w:t>
      </w:r>
      <w:r>
        <w:rPr>
          <w:rStyle w:val="fullpost"/>
          <w:b/>
          <w:color w:val="333333"/>
          <w:shd w:val="clear" w:color="auto" w:fill="FFFFFF"/>
        </w:rPr>
        <w:tab/>
        <w:t xml:space="preserve">Ukuran perusahaan </w:t>
      </w:r>
      <w:r w:rsidRPr="008401A0">
        <w:rPr>
          <w:rStyle w:val="fullpost"/>
          <w:b/>
          <w:color w:val="333333"/>
          <w:shd w:val="clear" w:color="auto" w:fill="FFFFFF"/>
        </w:rPr>
        <w:t>berpe</w:t>
      </w:r>
      <w:r>
        <w:rPr>
          <w:rStyle w:val="fullpost"/>
          <w:b/>
          <w:color w:val="333333"/>
          <w:shd w:val="clear" w:color="auto" w:fill="FFFFFF"/>
        </w:rPr>
        <w:t xml:space="preserve">ngaruh positif terhadap Nilai </w:t>
      </w:r>
      <w:r w:rsidRPr="008401A0">
        <w:rPr>
          <w:rStyle w:val="fullpost"/>
          <w:b/>
          <w:color w:val="333333"/>
          <w:shd w:val="clear" w:color="auto" w:fill="FFFFFF"/>
        </w:rPr>
        <w:t>Perusahaan</w:t>
      </w:r>
    </w:p>
    <w:p w14:paraId="6AD71721" w14:textId="77777777" w:rsidR="008401A0" w:rsidRDefault="008401A0" w:rsidP="008401A0">
      <w:pPr>
        <w:jc w:val="both"/>
        <w:rPr>
          <w:rStyle w:val="fullpost"/>
          <w:b/>
          <w:color w:val="333333"/>
          <w:shd w:val="clear" w:color="auto" w:fill="FFFFFF"/>
        </w:rPr>
      </w:pPr>
    </w:p>
    <w:p w14:paraId="152F57A9" w14:textId="77777777" w:rsidR="008401A0" w:rsidRDefault="008401A0" w:rsidP="008401A0">
      <w:pPr>
        <w:ind w:firstLine="720"/>
        <w:jc w:val="both"/>
      </w:pPr>
      <w:r w:rsidRPr="00096A14">
        <w:t xml:space="preserve">Perusahaan besar </w:t>
      </w:r>
      <w:proofErr w:type="gramStart"/>
      <w:r w:rsidRPr="00096A14">
        <w:t>akan</w:t>
      </w:r>
      <w:proofErr w:type="gramEnd"/>
      <w:r w:rsidRPr="00096A14">
        <w:t xml:space="preserve"> lebih mudah mendapatkan sumber dana dari investor sehingga akan meningkatkan nilai perusahaan. Selain itu, perusahaan besar dapat membiayai investasinya dengan mudah melalui pasar modal karena investor dapat memperoleh lebih banyak informasi dari perusahaan besar jika dibandingkan dengan perusahaan kecil, sehingga dengan mudahnya informasi yang diperoleh lebih besar, maka, dengan kata lain dapat dikatakan bahwa semakin besar ukuran suatu perusahaan maka nilai perusahaan semakin besar (Chen dan Chen, 2011). </w:t>
      </w:r>
    </w:p>
    <w:p w14:paraId="178A37B4" w14:textId="5200CF35" w:rsidR="008401A0" w:rsidRPr="00096A14" w:rsidRDefault="008401A0" w:rsidP="008401A0">
      <w:pPr>
        <w:jc w:val="both"/>
      </w:pPr>
      <w:r>
        <w:tab/>
      </w:r>
      <w:r w:rsidRPr="00096A14">
        <w:t xml:space="preserve"> </w:t>
      </w:r>
    </w:p>
    <w:p w14:paraId="2C87C551" w14:textId="0D02B386" w:rsidR="008401A0" w:rsidRDefault="008401A0" w:rsidP="008401A0">
      <w:pPr>
        <w:rPr>
          <w:rStyle w:val="fullpost"/>
          <w:b/>
          <w:color w:val="333333"/>
          <w:shd w:val="clear" w:color="auto" w:fill="FFFFFF"/>
        </w:rPr>
      </w:pPr>
      <w:r w:rsidRPr="008401A0">
        <w:rPr>
          <w:rStyle w:val="fullpost"/>
          <w:b/>
          <w:color w:val="333333"/>
          <w:shd w:val="clear" w:color="auto" w:fill="FFFFFF"/>
        </w:rPr>
        <w:t>H6:</w:t>
      </w:r>
      <w:r w:rsidRPr="008401A0">
        <w:rPr>
          <w:rStyle w:val="fullpost"/>
          <w:b/>
          <w:color w:val="333333"/>
          <w:shd w:val="clear" w:color="auto" w:fill="FFFFFF"/>
        </w:rPr>
        <w:tab/>
        <w:t>Struktur Modal (DER) memedia</w:t>
      </w:r>
      <w:r>
        <w:rPr>
          <w:rStyle w:val="fullpost"/>
          <w:b/>
          <w:color w:val="333333"/>
          <w:shd w:val="clear" w:color="auto" w:fill="FFFFFF"/>
        </w:rPr>
        <w:t xml:space="preserve">si pengaruh Ukuran Perusahaan terhadap Nilai </w:t>
      </w:r>
      <w:r>
        <w:rPr>
          <w:rStyle w:val="fullpost"/>
          <w:b/>
          <w:color w:val="333333"/>
          <w:shd w:val="clear" w:color="auto" w:fill="FFFFFF"/>
        </w:rPr>
        <w:tab/>
        <w:t>Perusahaan</w:t>
      </w:r>
    </w:p>
    <w:p w14:paraId="6470F04A" w14:textId="77777777" w:rsidR="00285923" w:rsidRDefault="00285923" w:rsidP="008401A0">
      <w:pPr>
        <w:rPr>
          <w:rStyle w:val="fullpost"/>
          <w:b/>
          <w:color w:val="333333"/>
          <w:shd w:val="clear" w:color="auto" w:fill="FFFFFF"/>
        </w:rPr>
      </w:pPr>
    </w:p>
    <w:p w14:paraId="0AAB84A1" w14:textId="77777777" w:rsidR="00285923" w:rsidRDefault="00285923" w:rsidP="008401A0">
      <w:pPr>
        <w:rPr>
          <w:rStyle w:val="fullpost"/>
          <w:b/>
          <w:color w:val="333333"/>
          <w:shd w:val="clear" w:color="auto" w:fill="FFFFFF"/>
        </w:rPr>
      </w:pPr>
    </w:p>
    <w:p w14:paraId="4738E1E3" w14:textId="77777777" w:rsidR="0011075E" w:rsidRDefault="00285923" w:rsidP="0011075E">
      <w:pPr>
        <w:pStyle w:val="ListParagraph"/>
        <w:numPr>
          <w:ilvl w:val="0"/>
          <w:numId w:val="1"/>
        </w:numPr>
        <w:ind w:left="426"/>
        <w:jc w:val="both"/>
        <w:rPr>
          <w:b/>
          <w:color w:val="333333"/>
          <w:shd w:val="clear" w:color="auto" w:fill="FFFFFF"/>
        </w:rPr>
      </w:pPr>
      <w:r>
        <w:rPr>
          <w:b/>
          <w:color w:val="333333"/>
          <w:shd w:val="clear" w:color="auto" w:fill="FFFFFF"/>
        </w:rPr>
        <w:t>Hubungan antara Pertumbuhan Penjualan (</w:t>
      </w:r>
      <w:r>
        <w:rPr>
          <w:b/>
          <w:i/>
          <w:color w:val="333333"/>
          <w:shd w:val="clear" w:color="auto" w:fill="FFFFFF"/>
        </w:rPr>
        <w:t>Sales</w:t>
      </w:r>
      <w:r w:rsidRPr="00285923">
        <w:rPr>
          <w:b/>
          <w:i/>
          <w:color w:val="333333"/>
          <w:shd w:val="clear" w:color="auto" w:fill="FFFFFF"/>
        </w:rPr>
        <w:t xml:space="preserve"> Growth</w:t>
      </w:r>
      <w:r>
        <w:rPr>
          <w:b/>
          <w:color w:val="333333"/>
          <w:shd w:val="clear" w:color="auto" w:fill="FFFFFF"/>
        </w:rPr>
        <w:t>), Struktur Modal (DER) dan Nilai Perusahaan</w:t>
      </w:r>
    </w:p>
    <w:p w14:paraId="7ABCF7E0" w14:textId="77777777" w:rsidR="0011075E" w:rsidRDefault="0011075E" w:rsidP="0011075E">
      <w:pPr>
        <w:jc w:val="both"/>
        <w:rPr>
          <w:rStyle w:val="fullpost"/>
          <w:b/>
          <w:color w:val="333333"/>
          <w:shd w:val="clear" w:color="auto" w:fill="FFFFFF"/>
        </w:rPr>
      </w:pPr>
      <w:r>
        <w:rPr>
          <w:rStyle w:val="fullpost"/>
          <w:color w:val="333333"/>
          <w:shd w:val="clear" w:color="auto" w:fill="FFFFFF"/>
        </w:rPr>
        <w:tab/>
      </w:r>
      <w:r w:rsidR="00285923" w:rsidRPr="0011075E">
        <w:rPr>
          <w:rStyle w:val="fullpost"/>
          <w:color w:val="333333"/>
          <w:shd w:val="clear" w:color="auto" w:fill="FFFFFF"/>
        </w:rPr>
        <w:t xml:space="preserve">Menurut Weston dan Copeland (1999:20), perusahaan dengan tingkat pertumbuhan penjualan dan laba yang tinggi cenderung menggunakan hutang sebagai sumber </w:t>
      </w:r>
      <w:proofErr w:type="gramStart"/>
      <w:r w:rsidR="00285923" w:rsidRPr="0011075E">
        <w:rPr>
          <w:rStyle w:val="fullpost"/>
          <w:color w:val="333333"/>
          <w:shd w:val="clear" w:color="auto" w:fill="FFFFFF"/>
        </w:rPr>
        <w:t>dana</w:t>
      </w:r>
      <w:proofErr w:type="gramEnd"/>
      <w:r w:rsidR="00285923" w:rsidRPr="0011075E">
        <w:rPr>
          <w:rStyle w:val="fullpost"/>
          <w:color w:val="333333"/>
          <w:shd w:val="clear" w:color="auto" w:fill="FFFFFF"/>
        </w:rPr>
        <w:t xml:space="preserve"> eksternal yang lebih besar dibandingkan dengan perusahaan yang tingkat pertumbuhan penjualannya rendah. </w:t>
      </w:r>
      <w:proofErr w:type="gramStart"/>
      <w:r w:rsidR="00285923" w:rsidRPr="0011075E">
        <w:rPr>
          <w:rStyle w:val="fullpost"/>
          <w:color w:val="333333"/>
          <w:shd w:val="clear" w:color="auto" w:fill="FFFFFF"/>
        </w:rPr>
        <w:t>Hal ini konsisten dengan hasil penelitian Kariuki dan Kamau (2014) yang menyatakan bahwa pertumbuhan penjualan mempunyai pengaruh positif dan signifikan terhadap struktur modal.</w:t>
      </w:r>
      <w:proofErr w:type="gramEnd"/>
    </w:p>
    <w:p w14:paraId="0D44276A" w14:textId="77777777" w:rsidR="0011075E" w:rsidRDefault="0011075E" w:rsidP="0011075E">
      <w:pPr>
        <w:jc w:val="both"/>
        <w:rPr>
          <w:rStyle w:val="fullpost"/>
          <w:b/>
          <w:color w:val="333333"/>
          <w:shd w:val="clear" w:color="auto" w:fill="FFFFFF"/>
        </w:rPr>
      </w:pPr>
    </w:p>
    <w:p w14:paraId="2201E252" w14:textId="2A35F766" w:rsidR="00285923" w:rsidRDefault="00285923" w:rsidP="0011075E">
      <w:pPr>
        <w:jc w:val="both"/>
        <w:rPr>
          <w:rStyle w:val="fullpost"/>
          <w:b/>
          <w:color w:val="333333"/>
          <w:shd w:val="clear" w:color="auto" w:fill="FFFFFF"/>
        </w:rPr>
      </w:pPr>
      <w:r w:rsidRPr="0011075E">
        <w:rPr>
          <w:rStyle w:val="fullpost"/>
          <w:b/>
          <w:color w:val="333333"/>
          <w:shd w:val="clear" w:color="auto" w:fill="FFFFFF"/>
        </w:rPr>
        <w:t>H7:</w:t>
      </w:r>
      <w:r w:rsidRPr="0011075E">
        <w:rPr>
          <w:rStyle w:val="fullpost"/>
          <w:b/>
          <w:color w:val="333333"/>
          <w:shd w:val="clear" w:color="auto" w:fill="FFFFFF"/>
        </w:rPr>
        <w:tab/>
        <w:t>Pertumbuhan Penjualan</w:t>
      </w:r>
      <w:r w:rsidR="0011075E" w:rsidRPr="0011075E">
        <w:rPr>
          <w:rStyle w:val="fullpost"/>
          <w:b/>
          <w:color w:val="333333"/>
          <w:shd w:val="clear" w:color="auto" w:fill="FFFFFF"/>
        </w:rPr>
        <w:t xml:space="preserve"> berpengaruh positif </w:t>
      </w:r>
      <w:r w:rsidRPr="0011075E">
        <w:rPr>
          <w:rStyle w:val="fullpost"/>
          <w:b/>
          <w:color w:val="333333"/>
          <w:shd w:val="clear" w:color="auto" w:fill="FFFFFF"/>
        </w:rPr>
        <w:t>terhadap Struktur Modal</w:t>
      </w:r>
    </w:p>
    <w:p w14:paraId="7360BCC6" w14:textId="77777777" w:rsidR="003E1AFE" w:rsidRDefault="003E1AFE" w:rsidP="0011075E">
      <w:pPr>
        <w:jc w:val="both"/>
        <w:rPr>
          <w:rStyle w:val="fullpost"/>
          <w:b/>
          <w:color w:val="333333"/>
          <w:shd w:val="clear" w:color="auto" w:fill="FFFFFF"/>
        </w:rPr>
      </w:pPr>
    </w:p>
    <w:p w14:paraId="011CC090" w14:textId="66B7FF57" w:rsidR="003E1AFE" w:rsidRDefault="003E1AFE" w:rsidP="003E1AFE">
      <w:pPr>
        <w:jc w:val="both"/>
        <w:rPr>
          <w:rStyle w:val="fullpost"/>
          <w:color w:val="333333"/>
          <w:shd w:val="clear" w:color="auto" w:fill="FFFFFF"/>
        </w:rPr>
      </w:pPr>
      <w:r>
        <w:rPr>
          <w:rStyle w:val="fullpost"/>
          <w:color w:val="333333"/>
          <w:shd w:val="clear" w:color="auto" w:fill="FFFFFF"/>
        </w:rPr>
        <w:tab/>
      </w:r>
      <w:proofErr w:type="gramStart"/>
      <w:r w:rsidRPr="00096A14">
        <w:rPr>
          <w:rStyle w:val="fullpost"/>
          <w:color w:val="333333"/>
          <w:shd w:val="clear" w:color="auto" w:fill="FFFFFF"/>
        </w:rPr>
        <w:t>Pertumbuhan perusahaan mengindikasikan kemajuan perusahaan, sehingga menimbulkan prospek yang baik bagi perusahaan.</w:t>
      </w:r>
      <w:proofErr w:type="gramEnd"/>
      <w:r w:rsidRPr="00096A14">
        <w:rPr>
          <w:rStyle w:val="fullpost"/>
          <w:color w:val="333333"/>
          <w:shd w:val="clear" w:color="auto" w:fill="FFFFFF"/>
        </w:rPr>
        <w:t xml:space="preserve"> Dengan prospek yang baik di masa datang, </w:t>
      </w:r>
      <w:proofErr w:type="gramStart"/>
      <w:r w:rsidRPr="00096A14">
        <w:rPr>
          <w:rStyle w:val="fullpost"/>
          <w:color w:val="333333"/>
          <w:shd w:val="clear" w:color="auto" w:fill="FFFFFF"/>
        </w:rPr>
        <w:t>akan</w:t>
      </w:r>
      <w:proofErr w:type="gramEnd"/>
      <w:r w:rsidRPr="00096A14">
        <w:rPr>
          <w:rStyle w:val="fullpost"/>
          <w:color w:val="333333"/>
          <w:shd w:val="clear" w:color="auto" w:fill="FFFFFF"/>
        </w:rPr>
        <w:t xml:space="preserve"> meningkatkan nilai perusahaan dan menarik lebih banyak investor. </w:t>
      </w:r>
      <w:proofErr w:type="gramStart"/>
      <w:r w:rsidRPr="00096A14">
        <w:rPr>
          <w:rStyle w:val="fullpost"/>
          <w:color w:val="333333"/>
          <w:shd w:val="clear" w:color="auto" w:fill="FFFFFF"/>
        </w:rPr>
        <w:t xml:space="preserve">Tingkat penjualan bagi perusahaan adalah suatu ukuran untuk mengukur kemampuan perusahaan dalam meningkatkan </w:t>
      </w:r>
      <w:r w:rsidRPr="00096A14">
        <w:rPr>
          <w:rStyle w:val="fullpost"/>
          <w:color w:val="333333"/>
          <w:shd w:val="clear" w:color="auto" w:fill="FFFFFF"/>
        </w:rPr>
        <w:lastRenderedPageBreak/>
        <w:t>nilai perusahaan.</w:t>
      </w:r>
      <w:proofErr w:type="gramEnd"/>
      <w:r w:rsidRPr="00096A14">
        <w:rPr>
          <w:rStyle w:val="fullpost"/>
          <w:color w:val="333333"/>
          <w:shd w:val="clear" w:color="auto" w:fill="FFFFFF"/>
        </w:rPr>
        <w:t xml:space="preserve"> Perusahaan yang mempunyai tingkat pertumbuhan penjualan yang tinggi </w:t>
      </w:r>
      <w:proofErr w:type="gramStart"/>
      <w:r w:rsidRPr="00096A14">
        <w:rPr>
          <w:rStyle w:val="fullpost"/>
          <w:color w:val="333333"/>
          <w:shd w:val="clear" w:color="auto" w:fill="FFFFFF"/>
        </w:rPr>
        <w:t>akan</w:t>
      </w:r>
      <w:proofErr w:type="gramEnd"/>
      <w:r w:rsidRPr="00096A14">
        <w:rPr>
          <w:rStyle w:val="fullpost"/>
          <w:color w:val="333333"/>
          <w:shd w:val="clear" w:color="auto" w:fill="FFFFFF"/>
        </w:rPr>
        <w:t xml:space="preserve"> cenderung memiliki nilai perusahaan yang lebih besar dibandingkan dengan perusahaan yang tingkat pertumbuhan penjualannya rendah. </w:t>
      </w:r>
      <w:proofErr w:type="gramStart"/>
      <w:r w:rsidRPr="00096A14">
        <w:rPr>
          <w:rStyle w:val="fullpost"/>
          <w:color w:val="333333"/>
          <w:shd w:val="clear" w:color="auto" w:fill="FFFFFF"/>
        </w:rPr>
        <w:t>Penelitian yang dilakukan Setiabudi dan Agustia (2012) menemukan adanya pengaruh positif antara pertumbuhan penjualan dengan nilai perusahaan.</w:t>
      </w:r>
      <w:proofErr w:type="gramEnd"/>
      <w:r w:rsidRPr="00096A14">
        <w:rPr>
          <w:rStyle w:val="fullpost"/>
          <w:color w:val="333333"/>
          <w:shd w:val="clear" w:color="auto" w:fill="FFFFFF"/>
        </w:rPr>
        <w:t xml:space="preserve"> </w:t>
      </w:r>
    </w:p>
    <w:p w14:paraId="3BCB87A5" w14:textId="77777777" w:rsidR="003E1AFE" w:rsidRPr="00096A14" w:rsidRDefault="003E1AFE" w:rsidP="003E1AFE">
      <w:pPr>
        <w:jc w:val="both"/>
        <w:rPr>
          <w:rStyle w:val="fullpost"/>
          <w:color w:val="333333"/>
          <w:shd w:val="clear" w:color="auto" w:fill="FFFFFF"/>
        </w:rPr>
      </w:pPr>
    </w:p>
    <w:p w14:paraId="3077B2AB" w14:textId="6E435F9F" w:rsidR="003E1AFE" w:rsidRDefault="003E1AFE" w:rsidP="003E1AFE">
      <w:pPr>
        <w:jc w:val="both"/>
        <w:rPr>
          <w:rStyle w:val="fullpost"/>
          <w:b/>
          <w:color w:val="333333"/>
          <w:shd w:val="clear" w:color="auto" w:fill="FFFFFF"/>
        </w:rPr>
      </w:pPr>
      <w:r w:rsidRPr="003E1AFE">
        <w:rPr>
          <w:rStyle w:val="fullpost"/>
          <w:b/>
          <w:color w:val="333333"/>
          <w:shd w:val="clear" w:color="auto" w:fill="FFFFFF"/>
        </w:rPr>
        <w:t>H8:</w:t>
      </w:r>
      <w:r w:rsidRPr="003E1AFE">
        <w:rPr>
          <w:rStyle w:val="fullpost"/>
          <w:b/>
          <w:color w:val="333333"/>
          <w:shd w:val="clear" w:color="auto" w:fill="FFFFFF"/>
        </w:rPr>
        <w:tab/>
        <w:t xml:space="preserve">Pertumbuhan Penjualan </w:t>
      </w:r>
      <w:r>
        <w:rPr>
          <w:rStyle w:val="fullpost"/>
          <w:b/>
          <w:color w:val="333333"/>
          <w:shd w:val="clear" w:color="auto" w:fill="FFFFFF"/>
        </w:rPr>
        <w:t>berpengaruh positif terhadap Nilai Perusahaan</w:t>
      </w:r>
    </w:p>
    <w:p w14:paraId="4C6232CA" w14:textId="77777777" w:rsidR="003E1AFE" w:rsidRDefault="003E1AFE" w:rsidP="003E1AFE">
      <w:pPr>
        <w:jc w:val="both"/>
        <w:rPr>
          <w:rStyle w:val="fullpost"/>
          <w:b/>
          <w:color w:val="333333"/>
          <w:shd w:val="clear" w:color="auto" w:fill="FFFFFF"/>
        </w:rPr>
      </w:pPr>
    </w:p>
    <w:p w14:paraId="6ED1BE35" w14:textId="7F7AFA73" w:rsidR="003E1AFE" w:rsidRDefault="003E1AFE" w:rsidP="003E1AFE">
      <w:pPr>
        <w:pStyle w:val="HTMLPreformatted"/>
        <w:shd w:val="clear" w:color="auto" w:fill="FFFFFF"/>
        <w:jc w:val="both"/>
        <w:rPr>
          <w:rStyle w:val="fullpost"/>
          <w:rFonts w:ascii="Times New Roman" w:eastAsia="Times New Roman" w:hAnsi="Times New Roman" w:cs="Times New Roman"/>
          <w:color w:val="333333"/>
          <w:sz w:val="24"/>
          <w:szCs w:val="24"/>
          <w:shd w:val="clear" w:color="auto" w:fill="FFFFFF"/>
        </w:rPr>
      </w:pPr>
      <w:r>
        <w:rPr>
          <w:rStyle w:val="fullpost"/>
          <w:rFonts w:ascii="Times New Roman" w:eastAsia="Times New Roman" w:hAnsi="Times New Roman" w:cs="Times New Roman"/>
          <w:color w:val="333333"/>
          <w:sz w:val="24"/>
          <w:szCs w:val="24"/>
          <w:shd w:val="clear" w:color="auto" w:fill="FFFFFF"/>
        </w:rPr>
        <w:tab/>
      </w:r>
      <w:r w:rsidRPr="00096A14">
        <w:rPr>
          <w:rStyle w:val="fullpost"/>
          <w:rFonts w:ascii="Times New Roman" w:eastAsia="Times New Roman" w:hAnsi="Times New Roman" w:cs="Times New Roman"/>
          <w:color w:val="333333"/>
          <w:sz w:val="24"/>
          <w:szCs w:val="24"/>
          <w:shd w:val="clear" w:color="auto" w:fill="FFFFFF"/>
        </w:rPr>
        <w:t xml:space="preserve">Pada dasarnya, peluang pertumbuhan mencerminkan produktivitas perusahaan dan harapan kesempatan untuk internal perusahaan, investor dan kreditur. Di lain sisi, biaya untuk mengeluarkan saham akan lebih mahal dari obligasi sehingga hal ini menjadi alasan bagi perusahaan yang memiliki pertumbuhan tinggi untuk lebih bergantung pada komposisi struktur modal. Brigham dan Houston (2001), menyatakan bahwa perusahaan dengan pertumbuhan yang tinggi cenderung bergantung pada modal eksternal. </w:t>
      </w:r>
    </w:p>
    <w:p w14:paraId="22E8906F" w14:textId="5528C1A5" w:rsidR="003E1AFE" w:rsidRDefault="003E1AFE" w:rsidP="003E1AFE">
      <w:pPr>
        <w:pStyle w:val="HTMLPreformatted"/>
        <w:shd w:val="clear" w:color="auto" w:fill="FFFFFF"/>
        <w:jc w:val="both"/>
        <w:rPr>
          <w:rFonts w:ascii="Times New Roman" w:hAnsi="Times New Roman" w:cs="Times New Roman"/>
          <w:sz w:val="24"/>
          <w:szCs w:val="24"/>
        </w:rPr>
      </w:pPr>
      <w:r>
        <w:rPr>
          <w:rStyle w:val="fullpost"/>
          <w:rFonts w:ascii="Times New Roman" w:eastAsia="Times New Roman" w:hAnsi="Times New Roman" w:cs="Times New Roman"/>
          <w:color w:val="333333"/>
          <w:sz w:val="24"/>
          <w:szCs w:val="24"/>
          <w:shd w:val="clear" w:color="auto" w:fill="FFFFFF"/>
        </w:rPr>
        <w:tab/>
      </w:r>
      <w:r w:rsidRPr="00096A14">
        <w:rPr>
          <w:rStyle w:val="fullpost"/>
          <w:rFonts w:ascii="Times New Roman" w:eastAsia="Times New Roman" w:hAnsi="Times New Roman" w:cs="Times New Roman"/>
          <w:color w:val="333333"/>
          <w:sz w:val="24"/>
          <w:szCs w:val="24"/>
          <w:shd w:val="clear" w:color="auto" w:fill="FFFFFF"/>
        </w:rPr>
        <w:t>Penelitian yang dilakukan Hermuningsih (2013), menyatakan bahwa struktur modal mem</w:t>
      </w:r>
      <w:r>
        <w:rPr>
          <w:rStyle w:val="fullpost"/>
          <w:rFonts w:ascii="Times New Roman" w:eastAsia="Times New Roman" w:hAnsi="Times New Roman" w:cs="Times New Roman"/>
          <w:color w:val="333333"/>
          <w:sz w:val="24"/>
          <w:szCs w:val="24"/>
          <w:shd w:val="clear" w:color="auto" w:fill="FFFFFF"/>
        </w:rPr>
        <w:t>e</w:t>
      </w:r>
      <w:r w:rsidRPr="00096A14">
        <w:rPr>
          <w:rStyle w:val="fullpost"/>
          <w:rFonts w:ascii="Times New Roman" w:eastAsia="Times New Roman" w:hAnsi="Times New Roman" w:cs="Times New Roman"/>
          <w:color w:val="333333"/>
          <w:sz w:val="24"/>
          <w:szCs w:val="24"/>
          <w:shd w:val="clear" w:color="auto" w:fill="FFFFFF"/>
        </w:rPr>
        <w:t>diasi pengaruh pertumbuhan penjualan terhadap nilai perusahaan.</w:t>
      </w:r>
      <w:r>
        <w:rPr>
          <w:rStyle w:val="fullpost"/>
          <w:rFonts w:ascii="Times New Roman" w:eastAsia="Times New Roman" w:hAnsi="Times New Roman" w:cs="Times New Roman"/>
          <w:color w:val="333333"/>
          <w:sz w:val="24"/>
          <w:szCs w:val="24"/>
          <w:shd w:val="clear" w:color="auto" w:fill="FFFFFF"/>
        </w:rPr>
        <w:t xml:space="preserve"> </w:t>
      </w:r>
      <w:r>
        <w:rPr>
          <w:rFonts w:ascii="inherit" w:hAnsi="inherit"/>
          <w:color w:val="212121"/>
          <w:sz w:val="24"/>
          <w:szCs w:val="24"/>
        </w:rPr>
        <w:t>V</w:t>
      </w:r>
      <w:r w:rsidRPr="00096A14">
        <w:rPr>
          <w:rFonts w:ascii="inherit" w:hAnsi="inherit"/>
          <w:color w:val="212121"/>
          <w:sz w:val="24"/>
          <w:szCs w:val="24"/>
        </w:rPr>
        <w:t xml:space="preserve">ariabel struktur modal berperan sebagai variabel intervening untuk peluang pertumbuhan tetapi tidak untuk variabel </w:t>
      </w:r>
      <w:r>
        <w:rPr>
          <w:rFonts w:ascii="inherit" w:hAnsi="inherit"/>
          <w:color w:val="212121"/>
          <w:sz w:val="24"/>
          <w:szCs w:val="24"/>
        </w:rPr>
        <w:t>profitabilitas. Kondisi ini</w:t>
      </w:r>
      <w:r w:rsidRPr="00096A14">
        <w:rPr>
          <w:rFonts w:ascii="inherit" w:hAnsi="inherit"/>
          <w:color w:val="212121"/>
          <w:sz w:val="24"/>
          <w:szCs w:val="24"/>
        </w:rPr>
        <w:t xml:space="preserve"> terjadi karena profitabilitas memiliki pengaruh kontras terhadap struktur modal . Ini berarti bahwa struktur modal akan meningkatkan efek positif dari profitabilitas perusahaan terhadap nilai perusahaan. </w:t>
      </w:r>
      <w:r w:rsidRPr="00096A14">
        <w:rPr>
          <w:rFonts w:ascii="Times New Roman" w:hAnsi="Times New Roman" w:cs="Times New Roman"/>
          <w:sz w:val="24"/>
          <w:szCs w:val="24"/>
        </w:rPr>
        <w:t xml:space="preserve">Berdasarkan hal tersebut diatas, maka dapat dirumuskan hipotesis sebagai berikut : </w:t>
      </w:r>
    </w:p>
    <w:p w14:paraId="1799C696" w14:textId="77777777" w:rsidR="003E1AFE" w:rsidRPr="00096A14" w:rsidRDefault="003E1AFE" w:rsidP="003E1AFE">
      <w:pPr>
        <w:pStyle w:val="HTMLPreformatted"/>
        <w:shd w:val="clear" w:color="auto" w:fill="FFFFFF"/>
        <w:jc w:val="both"/>
        <w:rPr>
          <w:rFonts w:ascii="inherit" w:hAnsi="inherit" w:hint="eastAsia"/>
          <w:color w:val="212121"/>
          <w:sz w:val="24"/>
          <w:szCs w:val="24"/>
        </w:rPr>
      </w:pPr>
    </w:p>
    <w:p w14:paraId="4EF9C38C" w14:textId="69CAD85C" w:rsidR="003E1AFE" w:rsidRPr="003E1AFE" w:rsidRDefault="003E1AFE" w:rsidP="003E1AFE">
      <w:pPr>
        <w:jc w:val="both"/>
        <w:rPr>
          <w:b/>
          <w:color w:val="333333"/>
          <w:shd w:val="clear" w:color="auto" w:fill="FFFFFF"/>
        </w:rPr>
      </w:pPr>
      <w:r w:rsidRPr="003E1AFE">
        <w:rPr>
          <w:rStyle w:val="fullpost"/>
          <w:b/>
          <w:color w:val="333333"/>
          <w:shd w:val="clear" w:color="auto" w:fill="FFFFFF"/>
        </w:rPr>
        <w:t>H9</w:t>
      </w:r>
      <w:r>
        <w:rPr>
          <w:rStyle w:val="fullpost"/>
          <w:b/>
          <w:color w:val="333333"/>
          <w:shd w:val="clear" w:color="auto" w:fill="FFFFFF"/>
        </w:rPr>
        <w:t>:</w:t>
      </w:r>
      <w:r>
        <w:rPr>
          <w:rStyle w:val="fullpost"/>
          <w:b/>
          <w:color w:val="333333"/>
          <w:shd w:val="clear" w:color="auto" w:fill="FFFFFF"/>
        </w:rPr>
        <w:tab/>
        <w:t xml:space="preserve">Struktur Modal </w:t>
      </w:r>
      <w:r w:rsidRPr="003E1AFE">
        <w:rPr>
          <w:rStyle w:val="fullpost"/>
          <w:b/>
          <w:color w:val="333333"/>
          <w:shd w:val="clear" w:color="auto" w:fill="FFFFFF"/>
        </w:rPr>
        <w:t>me</w:t>
      </w:r>
      <w:r>
        <w:rPr>
          <w:rStyle w:val="fullpost"/>
          <w:b/>
          <w:color w:val="333333"/>
          <w:shd w:val="clear" w:color="auto" w:fill="FFFFFF"/>
        </w:rPr>
        <w:t xml:space="preserve">mediasi pengaruh Pertumbuhan </w:t>
      </w:r>
      <w:r w:rsidRPr="003E1AFE">
        <w:rPr>
          <w:rStyle w:val="fullpost"/>
          <w:b/>
          <w:color w:val="333333"/>
          <w:shd w:val="clear" w:color="auto" w:fill="FFFFFF"/>
        </w:rPr>
        <w:t>Penjualan</w:t>
      </w:r>
      <w:r>
        <w:rPr>
          <w:rStyle w:val="fullpost"/>
          <w:b/>
          <w:color w:val="333333"/>
          <w:shd w:val="clear" w:color="auto" w:fill="FFFFFF"/>
        </w:rPr>
        <w:t xml:space="preserve"> </w:t>
      </w:r>
      <w:r w:rsidRPr="003E1AFE">
        <w:rPr>
          <w:rStyle w:val="fullpost"/>
          <w:b/>
          <w:color w:val="333333"/>
          <w:shd w:val="clear" w:color="auto" w:fill="FFFFFF"/>
        </w:rPr>
        <w:t xml:space="preserve">terhadap Nilai </w:t>
      </w:r>
      <w:r>
        <w:rPr>
          <w:rStyle w:val="fullpost"/>
          <w:b/>
          <w:color w:val="333333"/>
          <w:shd w:val="clear" w:color="auto" w:fill="FFFFFF"/>
        </w:rPr>
        <w:tab/>
      </w:r>
      <w:r w:rsidRPr="003E1AFE">
        <w:rPr>
          <w:rStyle w:val="fullpost"/>
          <w:b/>
          <w:color w:val="333333"/>
          <w:shd w:val="clear" w:color="auto" w:fill="FFFFFF"/>
        </w:rPr>
        <w:t xml:space="preserve">Perusahaan </w:t>
      </w:r>
    </w:p>
    <w:p w14:paraId="5A60A44F" w14:textId="228351DF" w:rsidR="003E1AFE" w:rsidRPr="003E1AFE" w:rsidRDefault="003E1AFE" w:rsidP="003E1AFE">
      <w:pPr>
        <w:pStyle w:val="HTMLPreformatted"/>
        <w:shd w:val="clear" w:color="auto" w:fill="FFFFFF"/>
        <w:jc w:val="both"/>
        <w:rPr>
          <w:rStyle w:val="fullpost"/>
          <w:rFonts w:ascii="Times New Roman" w:eastAsia="Times New Roman" w:hAnsi="Times New Roman" w:cs="Times New Roman"/>
          <w:b/>
          <w:color w:val="333333"/>
          <w:sz w:val="24"/>
          <w:szCs w:val="24"/>
          <w:shd w:val="clear" w:color="auto" w:fill="FFFFFF"/>
        </w:rPr>
      </w:pPr>
    </w:p>
    <w:p w14:paraId="29B85AB6" w14:textId="77777777" w:rsidR="003E1AFE" w:rsidRPr="003E1AFE" w:rsidRDefault="003E1AFE" w:rsidP="003E1AFE">
      <w:pPr>
        <w:jc w:val="both"/>
        <w:rPr>
          <w:rStyle w:val="fullpost"/>
          <w:b/>
          <w:color w:val="333333"/>
          <w:shd w:val="clear" w:color="auto" w:fill="FFFFFF"/>
        </w:rPr>
      </w:pPr>
    </w:p>
    <w:p w14:paraId="6136E506" w14:textId="716A4E8C" w:rsidR="003E1AFE" w:rsidRDefault="0008314E" w:rsidP="0008314E">
      <w:pPr>
        <w:pStyle w:val="ListParagraph"/>
        <w:numPr>
          <w:ilvl w:val="0"/>
          <w:numId w:val="1"/>
        </w:numPr>
        <w:ind w:left="426"/>
        <w:jc w:val="both"/>
        <w:rPr>
          <w:b/>
          <w:color w:val="333333"/>
          <w:shd w:val="clear" w:color="auto" w:fill="FFFFFF"/>
        </w:rPr>
      </w:pPr>
      <w:r>
        <w:rPr>
          <w:b/>
          <w:color w:val="333333"/>
          <w:shd w:val="clear" w:color="auto" w:fill="FFFFFF"/>
        </w:rPr>
        <w:t>Hubungan Struktur Modal (DER) dengan Nilai Perusahaan (PBV)</w:t>
      </w:r>
    </w:p>
    <w:p w14:paraId="41BF0A23" w14:textId="77777777" w:rsidR="0008314E" w:rsidRPr="00096A14" w:rsidRDefault="0008314E" w:rsidP="0008314E">
      <w:pPr>
        <w:jc w:val="both"/>
      </w:pPr>
      <w:r>
        <w:rPr>
          <w:b/>
          <w:color w:val="333333"/>
          <w:shd w:val="clear" w:color="auto" w:fill="FFFFFF"/>
        </w:rPr>
        <w:tab/>
      </w:r>
      <w:r w:rsidRPr="00096A14">
        <w:rPr>
          <w:i/>
        </w:rPr>
        <w:t xml:space="preserve">Signalling theory </w:t>
      </w:r>
      <w:r w:rsidRPr="00096A14">
        <w:t xml:space="preserve">memberikan penekanan pada pentingnya informasi yang dikeluarkan perusahaan terhadap keputusan invesatsi dari pihak luar perusahaan. Teori ini dibangun berdasarkan asumsi adanya </w:t>
      </w:r>
      <w:r w:rsidRPr="00096A14">
        <w:rPr>
          <w:i/>
        </w:rPr>
        <w:t>asymetric information</w:t>
      </w:r>
      <w:r w:rsidRPr="00096A14">
        <w:t xml:space="preserve"> yang menyebabkan para manajer </w:t>
      </w:r>
      <w:proofErr w:type="gramStart"/>
      <w:r w:rsidRPr="00096A14">
        <w:t>akan</w:t>
      </w:r>
      <w:proofErr w:type="gramEnd"/>
      <w:r w:rsidRPr="00096A14">
        <w:t xml:space="preserve"> berusaha memberikan sinyal kepada investor bahwa perusahaan memiliki kinerja yang handal. </w:t>
      </w:r>
      <w:proofErr w:type="gramStart"/>
      <w:r w:rsidRPr="00096A14">
        <w:t>Sinyal yang diberikan yaitu dengan penggunaan porsi hutang yang lebih besar di perusahaan.</w:t>
      </w:r>
      <w:proofErr w:type="gramEnd"/>
      <w:r w:rsidRPr="00096A14">
        <w:t xml:space="preserve"> </w:t>
      </w:r>
      <w:proofErr w:type="gramStart"/>
      <w:r w:rsidRPr="00096A14">
        <w:t>hal</w:t>
      </w:r>
      <w:proofErr w:type="gramEnd"/>
      <w:r w:rsidRPr="00096A14">
        <w:t xml:space="preserve"> ini dimaksudkan karena hanya perusahaan yang kuat yang berani menangung risiko kesulitan keuangan ketika porsi hutang relatif tinggi.</w:t>
      </w:r>
    </w:p>
    <w:p w14:paraId="58F4C724" w14:textId="59D27270" w:rsidR="0008314E" w:rsidRDefault="0008314E" w:rsidP="0008314E">
      <w:pPr>
        <w:jc w:val="both"/>
      </w:pPr>
      <w:r w:rsidRPr="00096A14">
        <w:tab/>
        <w:t>Penelitian Hoque, Hossain dan Hossain (2014) serta Bukit (2012</w:t>
      </w:r>
      <w:proofErr w:type="gramStart"/>
      <w:r w:rsidRPr="00096A14">
        <w:t>)  menemukan</w:t>
      </w:r>
      <w:proofErr w:type="gramEnd"/>
      <w:r w:rsidRPr="00096A14">
        <w:t xml:space="preserve"> bahwa struktur modal dapat meningkatkan nilai perusahaan. </w:t>
      </w:r>
      <w:proofErr w:type="gramStart"/>
      <w:r w:rsidRPr="00096A14">
        <w:t>Hal ini menunjukkan bahwa kebijakan penggunaan hutang dalam struktur modal memberikan suatu sinyal positif kepada pasar bahwa kebijakan pendanaan dengan hutang dapat meningkatkan nilai perusahaan.</w:t>
      </w:r>
      <w:proofErr w:type="gramEnd"/>
      <w:r w:rsidRPr="00096A14">
        <w:t xml:space="preserve"> </w:t>
      </w:r>
      <w:proofErr w:type="gramStart"/>
      <w:r w:rsidRPr="00096A14">
        <w:t>Hal tersebut sesuai dengan teori sinyal dan menunjukkan bahwa struktur modal berpengaruh positif terhadap nilai perusahaan.</w:t>
      </w:r>
      <w:proofErr w:type="gramEnd"/>
      <w:r w:rsidRPr="00096A14">
        <w:t xml:space="preserve"> </w:t>
      </w:r>
    </w:p>
    <w:p w14:paraId="2FDD5A00" w14:textId="77777777" w:rsidR="0008314E" w:rsidRPr="00096A14" w:rsidRDefault="0008314E" w:rsidP="0008314E">
      <w:pPr>
        <w:jc w:val="both"/>
      </w:pPr>
    </w:p>
    <w:p w14:paraId="41889588" w14:textId="743FC0E0" w:rsidR="0008314E" w:rsidRDefault="0008314E" w:rsidP="00C85263">
      <w:pPr>
        <w:jc w:val="both"/>
        <w:rPr>
          <w:rStyle w:val="fullpost"/>
          <w:b/>
          <w:color w:val="333333"/>
          <w:shd w:val="clear" w:color="auto" w:fill="FFFFFF"/>
        </w:rPr>
      </w:pPr>
      <w:r w:rsidRPr="0008314E">
        <w:rPr>
          <w:rStyle w:val="fullpost"/>
          <w:b/>
          <w:color w:val="333333"/>
          <w:shd w:val="clear" w:color="auto" w:fill="FFFFFF"/>
        </w:rPr>
        <w:t>H10:</w:t>
      </w:r>
      <w:r w:rsidRPr="0008314E">
        <w:rPr>
          <w:rStyle w:val="fullpost"/>
          <w:b/>
          <w:color w:val="333333"/>
          <w:shd w:val="clear" w:color="auto" w:fill="FFFFFF"/>
        </w:rPr>
        <w:tab/>
        <w:t xml:space="preserve">Struktur Modal berpengaruh positif terhadap Nilai Perusahaan </w:t>
      </w:r>
    </w:p>
    <w:p w14:paraId="26C4F717" w14:textId="77777777" w:rsidR="00E75E0A" w:rsidRDefault="00E75E0A" w:rsidP="00C85263">
      <w:pPr>
        <w:jc w:val="both"/>
        <w:rPr>
          <w:rStyle w:val="fullpost"/>
          <w:b/>
          <w:color w:val="333333"/>
          <w:shd w:val="clear" w:color="auto" w:fill="FFFFFF"/>
        </w:rPr>
      </w:pPr>
    </w:p>
    <w:p w14:paraId="6D48010C" w14:textId="77777777" w:rsidR="00E75E0A" w:rsidRDefault="00E75E0A" w:rsidP="00C85263">
      <w:pPr>
        <w:jc w:val="both"/>
        <w:rPr>
          <w:rStyle w:val="fullpost"/>
          <w:b/>
          <w:color w:val="333333"/>
          <w:shd w:val="clear" w:color="auto" w:fill="FFFFFF"/>
        </w:rPr>
      </w:pPr>
    </w:p>
    <w:p w14:paraId="7E5D2570" w14:textId="77777777" w:rsidR="00E75E0A" w:rsidRPr="0008314E" w:rsidRDefault="00E75E0A" w:rsidP="00C85263">
      <w:pPr>
        <w:jc w:val="both"/>
        <w:rPr>
          <w:rStyle w:val="fullpost"/>
          <w:b/>
          <w:color w:val="333333"/>
          <w:shd w:val="clear" w:color="auto" w:fill="FFFFFF"/>
        </w:rPr>
      </w:pPr>
    </w:p>
    <w:p w14:paraId="209E3082" w14:textId="77777777" w:rsidR="00C85263" w:rsidRPr="00C85263" w:rsidRDefault="00C85263" w:rsidP="00C85263">
      <w:pPr>
        <w:jc w:val="both"/>
      </w:pPr>
    </w:p>
    <w:p w14:paraId="589F41F4" w14:textId="77777777" w:rsidR="008401A0" w:rsidRPr="008401A0" w:rsidRDefault="008401A0" w:rsidP="00C85263">
      <w:pPr>
        <w:jc w:val="both"/>
        <w:rPr>
          <w:rStyle w:val="fullpost"/>
          <w:b/>
          <w:color w:val="333333"/>
          <w:shd w:val="clear" w:color="auto" w:fill="FFFFFF"/>
        </w:rPr>
      </w:pPr>
    </w:p>
    <w:p w14:paraId="65B809F9" w14:textId="77777777" w:rsidR="00E75E0A" w:rsidRPr="00096A14" w:rsidRDefault="00E75E0A" w:rsidP="00E75E0A">
      <w:pPr>
        <w:spacing w:line="480" w:lineRule="auto"/>
        <w:jc w:val="both"/>
      </w:pPr>
      <w:r w:rsidRPr="00096A14">
        <w:t xml:space="preserve">Dari uraian tersebut diatas maka dapat dibuat suatu kerangka pemikiran sebagai </w:t>
      </w:r>
      <w:proofErr w:type="gramStart"/>
      <w:r w:rsidRPr="00096A14">
        <w:t>berikut :</w:t>
      </w:r>
      <w:proofErr w:type="gramEnd"/>
      <w:r w:rsidRPr="00096A14">
        <w:tab/>
      </w:r>
    </w:p>
    <w:p w14:paraId="606374D7" w14:textId="41D45202" w:rsidR="00E75E0A" w:rsidRDefault="00E75E0A" w:rsidP="00E75E0A">
      <w:pPr>
        <w:spacing w:line="480" w:lineRule="auto"/>
        <w:ind w:firstLine="426"/>
        <w:jc w:val="both"/>
      </w:pPr>
      <w:r w:rsidRPr="00096A14">
        <w:rPr>
          <w:b/>
          <w:noProof/>
        </w:rPr>
        <w:drawing>
          <wp:inline distT="0" distB="0" distL="0" distR="0" wp14:anchorId="095ADF69" wp14:editId="7E3979F6">
            <wp:extent cx="4951095" cy="266907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1095" cy="2669076"/>
                    </a:xfrm>
                    <a:prstGeom prst="rect">
                      <a:avLst/>
                    </a:prstGeom>
                    <a:noFill/>
                    <a:ln>
                      <a:noFill/>
                    </a:ln>
                  </pic:spPr>
                </pic:pic>
              </a:graphicData>
            </a:graphic>
          </wp:inline>
        </w:drawing>
      </w:r>
    </w:p>
    <w:p w14:paraId="5AF55E33" w14:textId="77777777" w:rsidR="00E75E0A" w:rsidRDefault="00E75E0A" w:rsidP="00E75E0A">
      <w:pPr>
        <w:spacing w:line="480" w:lineRule="auto"/>
        <w:ind w:firstLine="426"/>
        <w:jc w:val="both"/>
      </w:pPr>
    </w:p>
    <w:p w14:paraId="60D99CF1" w14:textId="361531AA" w:rsidR="00E75E0A" w:rsidRDefault="00D8312C" w:rsidP="00E75E0A">
      <w:pPr>
        <w:spacing w:line="480" w:lineRule="auto"/>
        <w:jc w:val="both"/>
        <w:rPr>
          <w:b/>
        </w:rPr>
      </w:pPr>
      <w:r>
        <w:rPr>
          <w:b/>
        </w:rPr>
        <w:t xml:space="preserve">METODE </w:t>
      </w:r>
      <w:r w:rsidR="00E75E0A" w:rsidRPr="00E75E0A">
        <w:rPr>
          <w:b/>
        </w:rPr>
        <w:t>PENELITIAN</w:t>
      </w:r>
    </w:p>
    <w:p w14:paraId="661F1B20" w14:textId="39287E0A" w:rsidR="00D8312C" w:rsidRDefault="0070531E" w:rsidP="0070531E">
      <w:pPr>
        <w:jc w:val="both"/>
        <w:rPr>
          <w:b/>
        </w:rPr>
      </w:pPr>
      <w:r>
        <w:rPr>
          <w:b/>
        </w:rPr>
        <w:t>Desa</w:t>
      </w:r>
      <w:r w:rsidR="0098599D">
        <w:rPr>
          <w:b/>
        </w:rPr>
        <w:t>in Penelitian</w:t>
      </w:r>
    </w:p>
    <w:p w14:paraId="54D2D568" w14:textId="3751C8AE" w:rsidR="0098599D" w:rsidRPr="00096A14" w:rsidRDefault="0098599D" w:rsidP="0070531E">
      <w:pPr>
        <w:jc w:val="both"/>
      </w:pPr>
      <w:r>
        <w:tab/>
      </w:r>
      <w:r w:rsidRPr="00096A14">
        <w:t xml:space="preserve">Dalam penelitian ini, metode analisis data panel digunakan untuk menguji pengaruh mediasi sturktur modal dan kebijakan dividen pada hubungan antara profitabilitas dan nilai perusahaan. Data panel terdiri dari data </w:t>
      </w:r>
      <w:r w:rsidRPr="00096A14">
        <w:rPr>
          <w:i/>
        </w:rPr>
        <w:t>cross sectional</w:t>
      </w:r>
      <w:r w:rsidRPr="00096A14">
        <w:t xml:space="preserve"> dan data </w:t>
      </w:r>
      <w:r w:rsidRPr="00096A14">
        <w:rPr>
          <w:i/>
        </w:rPr>
        <w:t>time series</w:t>
      </w:r>
      <w:r w:rsidRPr="00096A14">
        <w:t xml:space="preserve">. Analisis data panel penting untuk mengurangi masalah </w:t>
      </w:r>
      <w:r w:rsidRPr="00096A14">
        <w:rPr>
          <w:i/>
        </w:rPr>
        <w:t>unobserved heterogeneity</w:t>
      </w:r>
      <w:r w:rsidRPr="00096A14">
        <w:t xml:space="preserve"> yaitu masalah kewujudan variabel lain yang sukar diamati dan tidak diuji dalam penelitian ini seperti faktor karakteristik, gaya kepemimpinan maupun budaya yang melekat pada setiap perusahaan (Himmelberg et.al</w:t>
      </w:r>
      <w:proofErr w:type="gramStart"/>
      <w:r w:rsidRPr="00096A14">
        <w:t>.,</w:t>
      </w:r>
      <w:proofErr w:type="gramEnd"/>
      <w:r w:rsidRPr="00096A14">
        <w:t xml:space="preserve"> 1999).</w:t>
      </w:r>
    </w:p>
    <w:p w14:paraId="62863EB6" w14:textId="41D66C65" w:rsidR="00E75E0A" w:rsidRDefault="0098599D" w:rsidP="0098599D">
      <w:pPr>
        <w:jc w:val="both"/>
        <w:rPr>
          <w:b/>
        </w:rPr>
      </w:pPr>
      <w:r>
        <w:rPr>
          <w:b/>
        </w:rPr>
        <w:tab/>
      </w:r>
      <w:r w:rsidRPr="00096A14">
        <w:t xml:space="preserve">Metode analisis data panel memiliki kekuatan metodologi antara lain dapat meningkatkan ukuran sampel penelitian dan mengurangi masalah </w:t>
      </w:r>
      <w:r w:rsidRPr="00096A14">
        <w:rPr>
          <w:i/>
        </w:rPr>
        <w:t xml:space="preserve">unobserved </w:t>
      </w:r>
      <w:proofErr w:type="gramStart"/>
      <w:r w:rsidRPr="00096A14">
        <w:rPr>
          <w:i/>
        </w:rPr>
        <w:t>heterogeneity</w:t>
      </w:r>
      <w:r w:rsidRPr="00096A14">
        <w:t xml:space="preserve">  yang</w:t>
      </w:r>
      <w:proofErr w:type="gramEnd"/>
      <w:r w:rsidRPr="00096A14">
        <w:t xml:space="preserve"> dapat menyebabkan hasil penelitian menjadi bias dan tidak tepat (Gujarati, 2003).</w:t>
      </w:r>
    </w:p>
    <w:p w14:paraId="5A09281F" w14:textId="77777777" w:rsidR="0098599D" w:rsidRDefault="0098599D" w:rsidP="0098599D">
      <w:pPr>
        <w:jc w:val="both"/>
        <w:rPr>
          <w:b/>
        </w:rPr>
      </w:pPr>
    </w:p>
    <w:p w14:paraId="2C550767" w14:textId="7254F9D9" w:rsidR="0098599D" w:rsidRDefault="0098599D" w:rsidP="0098599D">
      <w:pPr>
        <w:jc w:val="both"/>
        <w:rPr>
          <w:b/>
        </w:rPr>
      </w:pPr>
      <w:r>
        <w:rPr>
          <w:b/>
        </w:rPr>
        <w:t>Jenis dan Sumber Data</w:t>
      </w:r>
    </w:p>
    <w:p w14:paraId="6ABADA67" w14:textId="77777777" w:rsidR="0098599D" w:rsidRPr="00096A14" w:rsidRDefault="0098599D" w:rsidP="00720958">
      <w:pPr>
        <w:jc w:val="both"/>
      </w:pPr>
      <w:r>
        <w:rPr>
          <w:b/>
        </w:rPr>
        <w:tab/>
      </w:r>
      <w:r w:rsidRPr="00096A14">
        <w:t xml:space="preserve">Dalam penelitian ini jenis data yang </w:t>
      </w:r>
      <w:proofErr w:type="gramStart"/>
      <w:r w:rsidRPr="00096A14">
        <w:t>akan</w:t>
      </w:r>
      <w:proofErr w:type="gramEnd"/>
      <w:r w:rsidRPr="00096A14">
        <w:t xml:space="preserve"> digunakan adalah data sekunder, dimana data sekunder merupakan data-data yang diambil dari catatan atau sumber lain yang telah ada sebelumnya. </w:t>
      </w:r>
    </w:p>
    <w:p w14:paraId="1946B3A9" w14:textId="48672B2B" w:rsidR="00720958" w:rsidRDefault="0098599D" w:rsidP="00720958">
      <w:pPr>
        <w:jc w:val="both"/>
        <w:rPr>
          <w:i/>
        </w:rPr>
      </w:pPr>
      <w:r w:rsidRPr="00096A14">
        <w:tab/>
        <w:t>Data yang digunakan dalam penelitian ini adalah data laporan keuangan perusahaan-perusahaan pertambangan yang terdaftar di Bursa Efek Indonesia (BEI) dengan pengambilan data dari ICMD (</w:t>
      </w:r>
      <w:r w:rsidRPr="00096A14">
        <w:rPr>
          <w:i/>
        </w:rPr>
        <w:t>Indonesian Capital Market Directory)</w:t>
      </w:r>
      <w:r w:rsidRPr="00096A14">
        <w:t xml:space="preserve"> tahun 2011 – 2014 melalui situs internet </w:t>
      </w:r>
      <w:hyperlink r:id="rId7" w:history="1">
        <w:r w:rsidRPr="00096A14">
          <w:rPr>
            <w:rStyle w:val="Hyperlink"/>
            <w:i/>
          </w:rPr>
          <w:t>www.idx.co.id</w:t>
        </w:r>
      </w:hyperlink>
      <w:r w:rsidRPr="00096A14">
        <w:rPr>
          <w:i/>
        </w:rPr>
        <w:t>.</w:t>
      </w:r>
    </w:p>
    <w:p w14:paraId="38EFE31E" w14:textId="77777777" w:rsidR="00720958" w:rsidRDefault="00720958" w:rsidP="00720958">
      <w:pPr>
        <w:jc w:val="both"/>
      </w:pPr>
    </w:p>
    <w:p w14:paraId="33B5C0E0" w14:textId="77777777" w:rsidR="00720958" w:rsidRDefault="00720958" w:rsidP="00720958">
      <w:pPr>
        <w:jc w:val="both"/>
      </w:pPr>
    </w:p>
    <w:p w14:paraId="61781821" w14:textId="77777777" w:rsidR="0070531E" w:rsidRDefault="0070531E" w:rsidP="00720958">
      <w:pPr>
        <w:jc w:val="both"/>
      </w:pPr>
    </w:p>
    <w:p w14:paraId="5EB50F6A" w14:textId="77777777" w:rsidR="00720958" w:rsidRDefault="00720958" w:rsidP="00720958">
      <w:pPr>
        <w:jc w:val="both"/>
      </w:pPr>
    </w:p>
    <w:p w14:paraId="28A5AF6F" w14:textId="06398349" w:rsidR="00720958" w:rsidRPr="00720958" w:rsidRDefault="00720958" w:rsidP="00720958">
      <w:pPr>
        <w:jc w:val="both"/>
        <w:rPr>
          <w:b/>
        </w:rPr>
      </w:pPr>
      <w:r w:rsidRPr="00720958">
        <w:rPr>
          <w:b/>
        </w:rPr>
        <w:lastRenderedPageBreak/>
        <w:t>Populasi dan Sampel</w:t>
      </w:r>
    </w:p>
    <w:p w14:paraId="7567E133" w14:textId="77777777" w:rsidR="00720958" w:rsidRPr="00096A14" w:rsidRDefault="00720958" w:rsidP="00720958">
      <w:pPr>
        <w:jc w:val="both"/>
      </w:pPr>
      <w:r>
        <w:tab/>
      </w:r>
      <w:r w:rsidRPr="00096A14">
        <w:t xml:space="preserve">Populasi yang digunakan dalam penelitian ini adalah perusahaan-perusahaan pertambangan yang terdaftar di Bursa Efek Indonesia (BEI) periode 2010 – 2013 yang berjumlah 39 perusahaan. </w:t>
      </w:r>
    </w:p>
    <w:p w14:paraId="2D3767A7" w14:textId="77777777" w:rsidR="00720958" w:rsidRPr="00096A14" w:rsidRDefault="00720958" w:rsidP="00720958">
      <w:pPr>
        <w:jc w:val="both"/>
      </w:pPr>
      <w:r w:rsidRPr="00096A14">
        <w:tab/>
      </w:r>
      <w:proofErr w:type="gramStart"/>
      <w:r w:rsidRPr="00096A14">
        <w:t xml:space="preserve">Teknik pengambilan sampel yang digunakan adalah </w:t>
      </w:r>
      <w:r w:rsidRPr="00096A14">
        <w:rPr>
          <w:i/>
        </w:rPr>
        <w:t>purposive sampling</w:t>
      </w:r>
      <w:r w:rsidRPr="00096A14">
        <w:t xml:space="preserve"> jenis </w:t>
      </w:r>
      <w:r w:rsidRPr="00096A14">
        <w:rPr>
          <w:i/>
        </w:rPr>
        <w:t>judgement sampling</w:t>
      </w:r>
      <w:r w:rsidRPr="00096A14">
        <w:t xml:space="preserve"> yaitu sampel dipilih dengan menggunakan pertimbangan tertentu disesuaikan dengan tujuan penelitian (Ferdinand, 2006).</w:t>
      </w:r>
      <w:proofErr w:type="gramEnd"/>
      <w:r w:rsidRPr="00096A14">
        <w:t xml:space="preserve"> Adapun kriteria yang digunakan untuk teknik pengambilan sampel dalam penelitian ini </w:t>
      </w:r>
      <w:proofErr w:type="gramStart"/>
      <w:r w:rsidRPr="00096A14">
        <w:t>adalah :</w:t>
      </w:r>
      <w:proofErr w:type="gramEnd"/>
    </w:p>
    <w:p w14:paraId="419035EE" w14:textId="77777777" w:rsidR="00720958" w:rsidRPr="00096A14" w:rsidRDefault="00720958" w:rsidP="00720958">
      <w:pPr>
        <w:pStyle w:val="ListParagraph"/>
        <w:numPr>
          <w:ilvl w:val="0"/>
          <w:numId w:val="2"/>
        </w:numPr>
        <w:ind w:left="426"/>
        <w:jc w:val="both"/>
      </w:pPr>
      <w:r w:rsidRPr="00096A14">
        <w:t xml:space="preserve">Perusahaan pertambangan yang terdaftar di Bursa Efek Indonesia berdasarkan klasifikasi dari </w:t>
      </w:r>
      <w:r w:rsidRPr="00096A14">
        <w:rPr>
          <w:i/>
        </w:rPr>
        <w:t>Indonesian Capital Market Directory</w:t>
      </w:r>
      <w:r w:rsidRPr="00096A14">
        <w:t xml:space="preserve"> (ICMD) tahun 2010 – 2013.</w:t>
      </w:r>
    </w:p>
    <w:p w14:paraId="5471B125" w14:textId="77777777" w:rsidR="00720958" w:rsidRDefault="00720958" w:rsidP="00720958">
      <w:pPr>
        <w:pStyle w:val="ListParagraph"/>
        <w:numPr>
          <w:ilvl w:val="0"/>
          <w:numId w:val="2"/>
        </w:numPr>
        <w:ind w:left="426"/>
        <w:jc w:val="both"/>
      </w:pPr>
      <w:r w:rsidRPr="00096A14">
        <w:t xml:space="preserve">Perusahaan pertambangan tersebut menerbitkan laporan keuangan secara lengkap dari tahun 2010 – 2013 secara berturut-turut dan tersedia data laporan keuangan secara lengkap yaitu data ROA, DER, Total Asset, </w:t>
      </w:r>
      <w:r w:rsidRPr="00096A14">
        <w:rPr>
          <w:i/>
        </w:rPr>
        <w:t>Net Sales</w:t>
      </w:r>
      <w:r w:rsidRPr="00096A14">
        <w:t>, DPR dan PBV.</w:t>
      </w:r>
    </w:p>
    <w:p w14:paraId="786D9EEC" w14:textId="77777777" w:rsidR="00720958" w:rsidRDefault="00720958" w:rsidP="00720958">
      <w:pPr>
        <w:jc w:val="both"/>
      </w:pPr>
      <w:r>
        <w:tab/>
      </w:r>
      <w:r w:rsidRPr="00096A14">
        <w:t xml:space="preserve">Berdasarkan batasan-batasan tersebut diatas, maka jumlah sampel dalam penelitian ini dapat dijelaskan sebagai </w:t>
      </w:r>
      <w:proofErr w:type="gramStart"/>
      <w:r w:rsidRPr="00096A14">
        <w:t>berikut :</w:t>
      </w:r>
      <w:proofErr w:type="gramEnd"/>
    </w:p>
    <w:p w14:paraId="2C770B22" w14:textId="77777777" w:rsidR="00720958" w:rsidRDefault="00720958" w:rsidP="00720958">
      <w:pPr>
        <w:jc w:val="both"/>
      </w:pPr>
    </w:p>
    <w:p w14:paraId="71559A96" w14:textId="77777777" w:rsidR="00720958" w:rsidRPr="00096A14" w:rsidRDefault="00720958" w:rsidP="00720958">
      <w:pPr>
        <w:jc w:val="center"/>
        <w:rPr>
          <w:b/>
          <w:sz w:val="22"/>
          <w:szCs w:val="22"/>
        </w:rPr>
      </w:pPr>
      <w:r w:rsidRPr="00096A14">
        <w:rPr>
          <w:b/>
          <w:sz w:val="22"/>
          <w:szCs w:val="22"/>
        </w:rPr>
        <w:t>Jumlah Sampel Penelitian</w:t>
      </w:r>
    </w:p>
    <w:tbl>
      <w:tblPr>
        <w:tblStyle w:val="TableGrid"/>
        <w:tblW w:w="0" w:type="auto"/>
        <w:tblInd w:w="108" w:type="dxa"/>
        <w:tblLook w:val="04A0" w:firstRow="1" w:lastRow="0" w:firstColumn="1" w:lastColumn="0" w:noHBand="0" w:noVBand="1"/>
      </w:tblPr>
      <w:tblGrid>
        <w:gridCol w:w="7088"/>
        <w:gridCol w:w="2268"/>
      </w:tblGrid>
      <w:tr w:rsidR="00720958" w:rsidRPr="00096A14" w14:paraId="2B9D3B06" w14:textId="77777777" w:rsidTr="00720958">
        <w:tc>
          <w:tcPr>
            <w:tcW w:w="7088" w:type="dxa"/>
          </w:tcPr>
          <w:p w14:paraId="7C184FB2" w14:textId="77777777" w:rsidR="00720958" w:rsidRPr="00096A14" w:rsidRDefault="00720958" w:rsidP="003351CB">
            <w:pPr>
              <w:jc w:val="center"/>
              <w:rPr>
                <w:sz w:val="22"/>
                <w:szCs w:val="22"/>
              </w:rPr>
            </w:pPr>
            <w:r w:rsidRPr="00096A14">
              <w:rPr>
                <w:sz w:val="22"/>
                <w:szCs w:val="22"/>
              </w:rPr>
              <w:t>Kriteria</w:t>
            </w:r>
          </w:p>
        </w:tc>
        <w:tc>
          <w:tcPr>
            <w:tcW w:w="2268" w:type="dxa"/>
          </w:tcPr>
          <w:p w14:paraId="4BB64C62" w14:textId="77777777" w:rsidR="00720958" w:rsidRPr="00096A14" w:rsidRDefault="00720958" w:rsidP="003351CB">
            <w:pPr>
              <w:jc w:val="center"/>
              <w:rPr>
                <w:sz w:val="22"/>
                <w:szCs w:val="22"/>
              </w:rPr>
            </w:pPr>
            <w:r w:rsidRPr="00096A14">
              <w:rPr>
                <w:sz w:val="22"/>
                <w:szCs w:val="22"/>
              </w:rPr>
              <w:t>Jumlah Sampel</w:t>
            </w:r>
          </w:p>
        </w:tc>
      </w:tr>
      <w:tr w:rsidR="00720958" w:rsidRPr="00096A14" w14:paraId="537C7934" w14:textId="77777777" w:rsidTr="00720958">
        <w:tc>
          <w:tcPr>
            <w:tcW w:w="7088" w:type="dxa"/>
          </w:tcPr>
          <w:p w14:paraId="49EE0C7A" w14:textId="77777777" w:rsidR="00720958" w:rsidRPr="00096A14" w:rsidRDefault="00720958" w:rsidP="003351CB">
            <w:pPr>
              <w:rPr>
                <w:sz w:val="22"/>
                <w:szCs w:val="22"/>
              </w:rPr>
            </w:pPr>
            <w:r w:rsidRPr="00096A14">
              <w:rPr>
                <w:sz w:val="22"/>
                <w:szCs w:val="22"/>
              </w:rPr>
              <w:t>Perusahaan pertambangan yang terdaftar di BEI periode 2010 - 2013</w:t>
            </w:r>
          </w:p>
        </w:tc>
        <w:tc>
          <w:tcPr>
            <w:tcW w:w="2268" w:type="dxa"/>
          </w:tcPr>
          <w:p w14:paraId="4C61801B" w14:textId="77777777" w:rsidR="00720958" w:rsidRPr="00096A14" w:rsidRDefault="00720958" w:rsidP="003351CB">
            <w:pPr>
              <w:jc w:val="right"/>
              <w:rPr>
                <w:sz w:val="22"/>
                <w:szCs w:val="22"/>
              </w:rPr>
            </w:pPr>
            <w:r w:rsidRPr="00096A14">
              <w:rPr>
                <w:sz w:val="22"/>
                <w:szCs w:val="22"/>
              </w:rPr>
              <w:t>39</w:t>
            </w:r>
          </w:p>
        </w:tc>
      </w:tr>
      <w:tr w:rsidR="00720958" w:rsidRPr="00096A14" w14:paraId="13A4ACC4" w14:textId="77777777" w:rsidTr="00720958">
        <w:tc>
          <w:tcPr>
            <w:tcW w:w="7088" w:type="dxa"/>
          </w:tcPr>
          <w:p w14:paraId="6942A138" w14:textId="77777777" w:rsidR="00720958" w:rsidRPr="00096A14" w:rsidRDefault="00720958" w:rsidP="003351CB">
            <w:pPr>
              <w:rPr>
                <w:sz w:val="22"/>
                <w:szCs w:val="22"/>
              </w:rPr>
            </w:pPr>
            <w:r w:rsidRPr="00096A14">
              <w:rPr>
                <w:sz w:val="22"/>
                <w:szCs w:val="22"/>
              </w:rPr>
              <w:t>Perusahaan dengan data yang tidak tersedia secara lengkap</w:t>
            </w:r>
          </w:p>
        </w:tc>
        <w:tc>
          <w:tcPr>
            <w:tcW w:w="2268" w:type="dxa"/>
          </w:tcPr>
          <w:p w14:paraId="3C2FDFAC" w14:textId="77777777" w:rsidR="00720958" w:rsidRPr="00096A14" w:rsidRDefault="00720958" w:rsidP="003351CB">
            <w:pPr>
              <w:jc w:val="right"/>
              <w:rPr>
                <w:sz w:val="22"/>
                <w:szCs w:val="22"/>
              </w:rPr>
            </w:pPr>
            <w:r w:rsidRPr="00096A14">
              <w:rPr>
                <w:sz w:val="22"/>
                <w:szCs w:val="22"/>
              </w:rPr>
              <w:t>14</w:t>
            </w:r>
          </w:p>
        </w:tc>
      </w:tr>
      <w:tr w:rsidR="00720958" w:rsidRPr="00096A14" w14:paraId="78F5BDC4" w14:textId="77777777" w:rsidTr="00720958">
        <w:tc>
          <w:tcPr>
            <w:tcW w:w="7088" w:type="dxa"/>
          </w:tcPr>
          <w:p w14:paraId="2F84A888" w14:textId="77777777" w:rsidR="00720958" w:rsidRPr="00096A14" w:rsidRDefault="00720958" w:rsidP="003351CB">
            <w:pPr>
              <w:rPr>
                <w:sz w:val="22"/>
                <w:szCs w:val="22"/>
              </w:rPr>
            </w:pPr>
            <w:r w:rsidRPr="00096A14">
              <w:rPr>
                <w:sz w:val="22"/>
                <w:szCs w:val="22"/>
              </w:rPr>
              <w:t>Jumlah sampel perusahaan</w:t>
            </w:r>
          </w:p>
        </w:tc>
        <w:tc>
          <w:tcPr>
            <w:tcW w:w="2268" w:type="dxa"/>
          </w:tcPr>
          <w:p w14:paraId="0F422E45" w14:textId="77777777" w:rsidR="00720958" w:rsidRPr="00096A14" w:rsidRDefault="00720958" w:rsidP="003351CB">
            <w:pPr>
              <w:jc w:val="right"/>
              <w:rPr>
                <w:sz w:val="22"/>
                <w:szCs w:val="22"/>
              </w:rPr>
            </w:pPr>
            <w:r w:rsidRPr="00096A14">
              <w:rPr>
                <w:sz w:val="22"/>
                <w:szCs w:val="22"/>
              </w:rPr>
              <w:t>25</w:t>
            </w:r>
          </w:p>
        </w:tc>
      </w:tr>
    </w:tbl>
    <w:p w14:paraId="067E0AF5" w14:textId="77777777" w:rsidR="00720958" w:rsidRPr="00096A14" w:rsidRDefault="00720958" w:rsidP="00720958">
      <w:pPr>
        <w:rPr>
          <w:sz w:val="22"/>
          <w:szCs w:val="22"/>
        </w:rPr>
      </w:pPr>
      <w:proofErr w:type="gramStart"/>
      <w:r w:rsidRPr="00096A14">
        <w:rPr>
          <w:sz w:val="22"/>
          <w:szCs w:val="22"/>
        </w:rPr>
        <w:t>Sumber :</w:t>
      </w:r>
      <w:proofErr w:type="gramEnd"/>
      <w:r w:rsidRPr="00096A14">
        <w:rPr>
          <w:sz w:val="22"/>
          <w:szCs w:val="22"/>
        </w:rPr>
        <w:t xml:space="preserve"> ICMD, 2011 - 2014</w:t>
      </w:r>
    </w:p>
    <w:p w14:paraId="5B3A943C" w14:textId="77777777" w:rsidR="00720958" w:rsidRDefault="00720958" w:rsidP="00720958">
      <w:pPr>
        <w:jc w:val="both"/>
      </w:pPr>
    </w:p>
    <w:p w14:paraId="6C94D740" w14:textId="5742834D" w:rsidR="00720958" w:rsidRPr="00720958" w:rsidRDefault="00720958" w:rsidP="00720958">
      <w:pPr>
        <w:jc w:val="both"/>
        <w:rPr>
          <w:b/>
        </w:rPr>
      </w:pPr>
      <w:r w:rsidRPr="00720958">
        <w:rPr>
          <w:b/>
        </w:rPr>
        <w:t>Definisi Operasional Variabel</w:t>
      </w:r>
    </w:p>
    <w:p w14:paraId="026C8C74" w14:textId="1954FDAF" w:rsidR="00720958" w:rsidRPr="00096A14" w:rsidRDefault="00720958" w:rsidP="00720958">
      <w:pPr>
        <w:spacing w:line="480" w:lineRule="auto"/>
        <w:jc w:val="both"/>
      </w:pPr>
      <w:r>
        <w:tab/>
      </w:r>
      <w:r w:rsidRPr="00096A14">
        <w:t xml:space="preserve">Variabel-variabel yang digunakan dalam penelitian ini adalah sebagai </w:t>
      </w:r>
      <w:proofErr w:type="gramStart"/>
      <w:r w:rsidRPr="00096A14">
        <w:t>berikut :</w:t>
      </w:r>
      <w:proofErr w:type="gramEnd"/>
      <w:r w:rsidRPr="00096A14">
        <w:t xml:space="preserve"> </w:t>
      </w:r>
    </w:p>
    <w:p w14:paraId="6C11C1D0" w14:textId="77777777" w:rsidR="00720958" w:rsidRPr="00096A14" w:rsidRDefault="00720958" w:rsidP="00720958">
      <w:pPr>
        <w:jc w:val="center"/>
        <w:rPr>
          <w:b/>
        </w:rPr>
      </w:pPr>
      <w:r w:rsidRPr="00096A14">
        <w:rPr>
          <w:b/>
          <w:sz w:val="22"/>
          <w:szCs w:val="22"/>
        </w:rPr>
        <w:t>Definisi Operasional Variabe</w:t>
      </w:r>
      <w:r w:rsidRPr="00096A14">
        <w:rPr>
          <w:b/>
        </w:rPr>
        <w:t>l</w:t>
      </w:r>
    </w:p>
    <w:tbl>
      <w:tblPr>
        <w:tblStyle w:val="TableGrid"/>
        <w:tblW w:w="9356" w:type="dxa"/>
        <w:tblInd w:w="108" w:type="dxa"/>
        <w:tblLook w:val="04A0" w:firstRow="1" w:lastRow="0" w:firstColumn="1" w:lastColumn="0" w:noHBand="0" w:noVBand="1"/>
      </w:tblPr>
      <w:tblGrid>
        <w:gridCol w:w="2127"/>
        <w:gridCol w:w="2639"/>
        <w:gridCol w:w="904"/>
        <w:gridCol w:w="3686"/>
      </w:tblGrid>
      <w:tr w:rsidR="00720958" w:rsidRPr="00096A14" w14:paraId="63922DBD" w14:textId="77777777" w:rsidTr="00720958">
        <w:tc>
          <w:tcPr>
            <w:tcW w:w="2127" w:type="dxa"/>
          </w:tcPr>
          <w:p w14:paraId="00453836" w14:textId="77777777" w:rsidR="00720958" w:rsidRPr="00096A14" w:rsidRDefault="00720958" w:rsidP="003351CB">
            <w:pPr>
              <w:jc w:val="center"/>
              <w:rPr>
                <w:b/>
                <w:sz w:val="22"/>
                <w:szCs w:val="22"/>
              </w:rPr>
            </w:pPr>
            <w:r w:rsidRPr="00096A14">
              <w:rPr>
                <w:b/>
                <w:sz w:val="22"/>
                <w:szCs w:val="22"/>
              </w:rPr>
              <w:t>Variabel</w:t>
            </w:r>
          </w:p>
        </w:tc>
        <w:tc>
          <w:tcPr>
            <w:tcW w:w="2639" w:type="dxa"/>
          </w:tcPr>
          <w:p w14:paraId="7A8A159A" w14:textId="77777777" w:rsidR="00720958" w:rsidRPr="00096A14" w:rsidRDefault="00720958" w:rsidP="003351CB">
            <w:pPr>
              <w:jc w:val="center"/>
              <w:rPr>
                <w:b/>
                <w:sz w:val="22"/>
                <w:szCs w:val="22"/>
              </w:rPr>
            </w:pPr>
            <w:r w:rsidRPr="00096A14">
              <w:rPr>
                <w:b/>
                <w:sz w:val="22"/>
                <w:szCs w:val="22"/>
              </w:rPr>
              <w:t>Definisi</w:t>
            </w:r>
          </w:p>
        </w:tc>
        <w:tc>
          <w:tcPr>
            <w:tcW w:w="904" w:type="dxa"/>
          </w:tcPr>
          <w:p w14:paraId="1E6BB8AC" w14:textId="77777777" w:rsidR="00720958" w:rsidRPr="00096A14" w:rsidRDefault="00720958" w:rsidP="003351CB">
            <w:pPr>
              <w:jc w:val="center"/>
              <w:rPr>
                <w:b/>
                <w:sz w:val="22"/>
                <w:szCs w:val="22"/>
              </w:rPr>
            </w:pPr>
            <w:r w:rsidRPr="00096A14">
              <w:rPr>
                <w:b/>
                <w:sz w:val="22"/>
                <w:szCs w:val="22"/>
              </w:rPr>
              <w:t>Skala</w:t>
            </w:r>
          </w:p>
        </w:tc>
        <w:tc>
          <w:tcPr>
            <w:tcW w:w="3686" w:type="dxa"/>
          </w:tcPr>
          <w:p w14:paraId="25986CC9" w14:textId="77777777" w:rsidR="00720958" w:rsidRPr="00096A14" w:rsidRDefault="00720958" w:rsidP="003351CB">
            <w:pPr>
              <w:jc w:val="center"/>
              <w:rPr>
                <w:b/>
                <w:sz w:val="22"/>
                <w:szCs w:val="22"/>
              </w:rPr>
            </w:pPr>
            <w:r w:rsidRPr="00096A14">
              <w:rPr>
                <w:b/>
                <w:sz w:val="22"/>
                <w:szCs w:val="22"/>
              </w:rPr>
              <w:t>Rumus</w:t>
            </w:r>
          </w:p>
        </w:tc>
      </w:tr>
      <w:tr w:rsidR="00720958" w:rsidRPr="00096A14" w14:paraId="503E4389" w14:textId="77777777" w:rsidTr="00720958">
        <w:trPr>
          <w:trHeight w:val="744"/>
        </w:trPr>
        <w:tc>
          <w:tcPr>
            <w:tcW w:w="2127" w:type="dxa"/>
          </w:tcPr>
          <w:p w14:paraId="79F199E0" w14:textId="77777777" w:rsidR="00720958" w:rsidRPr="00096A14" w:rsidRDefault="00720958" w:rsidP="003351CB">
            <w:pPr>
              <w:jc w:val="both"/>
              <w:rPr>
                <w:sz w:val="22"/>
                <w:szCs w:val="22"/>
              </w:rPr>
            </w:pPr>
            <w:r w:rsidRPr="00096A14">
              <w:rPr>
                <w:sz w:val="22"/>
                <w:szCs w:val="22"/>
              </w:rPr>
              <w:t>Nilai Perusahaan (x)</w:t>
            </w:r>
          </w:p>
        </w:tc>
        <w:tc>
          <w:tcPr>
            <w:tcW w:w="2639" w:type="dxa"/>
          </w:tcPr>
          <w:p w14:paraId="44A92DFF" w14:textId="77777777" w:rsidR="00720958" w:rsidRPr="00096A14" w:rsidRDefault="00720958" w:rsidP="00720958">
            <w:pPr>
              <w:jc w:val="both"/>
              <w:rPr>
                <w:sz w:val="22"/>
                <w:szCs w:val="22"/>
              </w:rPr>
            </w:pPr>
            <w:r w:rsidRPr="00096A14">
              <w:rPr>
                <w:sz w:val="22"/>
                <w:szCs w:val="22"/>
              </w:rPr>
              <w:t>Rasio dari harga saham terhadap nilai buku perusahaan</w:t>
            </w:r>
          </w:p>
        </w:tc>
        <w:tc>
          <w:tcPr>
            <w:tcW w:w="904" w:type="dxa"/>
          </w:tcPr>
          <w:p w14:paraId="295660C9" w14:textId="77777777" w:rsidR="00720958" w:rsidRPr="00096A14" w:rsidRDefault="00720958" w:rsidP="003351CB">
            <w:pPr>
              <w:jc w:val="both"/>
              <w:rPr>
                <w:sz w:val="22"/>
                <w:szCs w:val="22"/>
              </w:rPr>
            </w:pPr>
            <w:r w:rsidRPr="00096A14">
              <w:rPr>
                <w:sz w:val="22"/>
                <w:szCs w:val="22"/>
              </w:rPr>
              <w:t>Rasio</w:t>
            </w:r>
          </w:p>
        </w:tc>
        <w:tc>
          <w:tcPr>
            <w:tcW w:w="3686" w:type="dxa"/>
          </w:tcPr>
          <w:p w14:paraId="71CBCDFE" w14:textId="77777777" w:rsidR="00720958" w:rsidRPr="00096A14" w:rsidRDefault="00720958" w:rsidP="003351CB">
            <w:pPr>
              <w:rPr>
                <w:sz w:val="22"/>
                <w:szCs w:val="22"/>
              </w:rPr>
            </w:pPr>
            <w:r w:rsidRPr="00096A14">
              <w:rPr>
                <w:sz w:val="22"/>
                <w:szCs w:val="22"/>
              </w:rPr>
              <w:t>PBV = harga pasar per lembar saham/nilai buku per lembar saham</w:t>
            </w:r>
          </w:p>
          <w:p w14:paraId="32AA7459" w14:textId="77777777" w:rsidR="00720958" w:rsidRPr="00096A14" w:rsidRDefault="00720958" w:rsidP="003351CB">
            <w:pPr>
              <w:rPr>
                <w:sz w:val="22"/>
                <w:szCs w:val="22"/>
              </w:rPr>
            </w:pPr>
          </w:p>
        </w:tc>
      </w:tr>
      <w:tr w:rsidR="00720958" w:rsidRPr="00096A14" w14:paraId="3876AE75" w14:textId="77777777" w:rsidTr="00720958">
        <w:tc>
          <w:tcPr>
            <w:tcW w:w="2127" w:type="dxa"/>
          </w:tcPr>
          <w:p w14:paraId="7FB1CA5D" w14:textId="77777777" w:rsidR="00720958" w:rsidRPr="00096A14" w:rsidRDefault="00720958" w:rsidP="003351CB">
            <w:pPr>
              <w:rPr>
                <w:sz w:val="22"/>
                <w:szCs w:val="22"/>
              </w:rPr>
            </w:pPr>
            <w:r w:rsidRPr="00096A14">
              <w:rPr>
                <w:sz w:val="22"/>
                <w:szCs w:val="22"/>
              </w:rPr>
              <w:t>Profitabilitas (%)</w:t>
            </w:r>
          </w:p>
        </w:tc>
        <w:tc>
          <w:tcPr>
            <w:tcW w:w="2639" w:type="dxa"/>
          </w:tcPr>
          <w:p w14:paraId="62AD4BB1" w14:textId="77777777" w:rsidR="00720958" w:rsidRPr="00096A14" w:rsidRDefault="00720958" w:rsidP="00720958">
            <w:pPr>
              <w:jc w:val="both"/>
              <w:rPr>
                <w:sz w:val="22"/>
                <w:szCs w:val="22"/>
              </w:rPr>
            </w:pPr>
            <w:r w:rsidRPr="00096A14">
              <w:rPr>
                <w:sz w:val="22"/>
                <w:szCs w:val="22"/>
              </w:rPr>
              <w:t>Rasio laba bersih setelah pajak terhadap total aset</w:t>
            </w:r>
          </w:p>
        </w:tc>
        <w:tc>
          <w:tcPr>
            <w:tcW w:w="904" w:type="dxa"/>
          </w:tcPr>
          <w:p w14:paraId="2D3DB386" w14:textId="77777777" w:rsidR="00720958" w:rsidRPr="00096A14" w:rsidRDefault="00720958" w:rsidP="003351CB">
            <w:pPr>
              <w:rPr>
                <w:sz w:val="22"/>
                <w:szCs w:val="22"/>
              </w:rPr>
            </w:pPr>
            <w:r w:rsidRPr="00096A14">
              <w:rPr>
                <w:sz w:val="22"/>
                <w:szCs w:val="22"/>
              </w:rPr>
              <w:t>Rasio</w:t>
            </w:r>
          </w:p>
        </w:tc>
        <w:tc>
          <w:tcPr>
            <w:tcW w:w="3686" w:type="dxa"/>
          </w:tcPr>
          <w:p w14:paraId="331CD693" w14:textId="77777777" w:rsidR="00720958" w:rsidRPr="00096A14" w:rsidRDefault="00720958" w:rsidP="003351CB">
            <w:pPr>
              <w:rPr>
                <w:sz w:val="22"/>
                <w:szCs w:val="22"/>
              </w:rPr>
            </w:pPr>
            <w:proofErr w:type="gramStart"/>
            <w:r w:rsidRPr="00096A14">
              <w:rPr>
                <w:sz w:val="22"/>
                <w:szCs w:val="22"/>
              </w:rPr>
              <w:t>ROA</w:t>
            </w:r>
            <w:r w:rsidRPr="00096A14">
              <w:rPr>
                <w:vertAlign w:val="subscript"/>
              </w:rPr>
              <w:t>(</w:t>
            </w:r>
            <w:proofErr w:type="gramEnd"/>
            <w:r w:rsidRPr="00096A14">
              <w:rPr>
                <w:vertAlign w:val="subscript"/>
              </w:rPr>
              <w:t>t-1)</w:t>
            </w:r>
            <w:r w:rsidRPr="00096A14">
              <w:rPr>
                <w:sz w:val="22"/>
                <w:szCs w:val="22"/>
              </w:rPr>
              <w:t xml:space="preserve"> = EAT</w:t>
            </w:r>
            <w:r w:rsidRPr="00096A14">
              <w:rPr>
                <w:vertAlign w:val="subscript"/>
              </w:rPr>
              <w:t>(t-1)</w:t>
            </w:r>
            <w:r w:rsidRPr="00096A14">
              <w:rPr>
                <w:sz w:val="22"/>
                <w:szCs w:val="22"/>
              </w:rPr>
              <w:t>/ Total Aset</w:t>
            </w:r>
            <w:r w:rsidRPr="00096A14">
              <w:rPr>
                <w:vertAlign w:val="subscript"/>
              </w:rPr>
              <w:t>(t-1)</w:t>
            </w:r>
          </w:p>
          <w:p w14:paraId="74609666" w14:textId="77777777" w:rsidR="00720958" w:rsidRPr="00096A14" w:rsidRDefault="00720958" w:rsidP="003351CB">
            <w:pPr>
              <w:rPr>
                <w:sz w:val="22"/>
                <w:szCs w:val="22"/>
              </w:rPr>
            </w:pPr>
          </w:p>
        </w:tc>
      </w:tr>
      <w:tr w:rsidR="00720958" w:rsidRPr="00096A14" w14:paraId="2AC7AA91" w14:textId="77777777" w:rsidTr="00720958">
        <w:tc>
          <w:tcPr>
            <w:tcW w:w="2127" w:type="dxa"/>
          </w:tcPr>
          <w:p w14:paraId="3C0F8B75" w14:textId="77777777" w:rsidR="00720958" w:rsidRPr="00096A14" w:rsidRDefault="00720958" w:rsidP="003351CB">
            <w:pPr>
              <w:rPr>
                <w:sz w:val="22"/>
                <w:szCs w:val="22"/>
              </w:rPr>
            </w:pPr>
            <w:r w:rsidRPr="00096A14">
              <w:rPr>
                <w:sz w:val="22"/>
                <w:szCs w:val="22"/>
              </w:rPr>
              <w:t>Ukuran Perusahaan (%)</w:t>
            </w:r>
          </w:p>
          <w:p w14:paraId="3B65CFE3" w14:textId="77777777" w:rsidR="00720958" w:rsidRPr="00096A14" w:rsidRDefault="00720958" w:rsidP="003351CB">
            <w:pPr>
              <w:rPr>
                <w:sz w:val="22"/>
                <w:szCs w:val="22"/>
              </w:rPr>
            </w:pPr>
          </w:p>
        </w:tc>
        <w:tc>
          <w:tcPr>
            <w:tcW w:w="2639" w:type="dxa"/>
          </w:tcPr>
          <w:p w14:paraId="4BE4FCC6" w14:textId="77777777" w:rsidR="00720958" w:rsidRPr="00096A14" w:rsidRDefault="00720958" w:rsidP="00720958">
            <w:pPr>
              <w:jc w:val="both"/>
              <w:rPr>
                <w:sz w:val="22"/>
                <w:szCs w:val="22"/>
              </w:rPr>
            </w:pPr>
            <w:r w:rsidRPr="00096A14">
              <w:rPr>
                <w:sz w:val="22"/>
                <w:szCs w:val="22"/>
              </w:rPr>
              <w:t>Besarnya aset perusahaan</w:t>
            </w:r>
          </w:p>
        </w:tc>
        <w:tc>
          <w:tcPr>
            <w:tcW w:w="904" w:type="dxa"/>
          </w:tcPr>
          <w:p w14:paraId="2AC21272" w14:textId="77777777" w:rsidR="00720958" w:rsidRPr="00096A14" w:rsidRDefault="00720958" w:rsidP="003351CB">
            <w:pPr>
              <w:rPr>
                <w:sz w:val="22"/>
                <w:szCs w:val="22"/>
              </w:rPr>
            </w:pPr>
            <w:r w:rsidRPr="00096A14">
              <w:rPr>
                <w:sz w:val="22"/>
                <w:szCs w:val="22"/>
              </w:rPr>
              <w:t>Rasio</w:t>
            </w:r>
          </w:p>
        </w:tc>
        <w:tc>
          <w:tcPr>
            <w:tcW w:w="3686" w:type="dxa"/>
          </w:tcPr>
          <w:p w14:paraId="724A6312" w14:textId="77777777" w:rsidR="00720958" w:rsidRPr="00096A14" w:rsidRDefault="00720958" w:rsidP="003351CB">
            <w:pPr>
              <w:rPr>
                <w:sz w:val="22"/>
                <w:szCs w:val="22"/>
              </w:rPr>
            </w:pPr>
            <w:r w:rsidRPr="00096A14">
              <w:rPr>
                <w:noProof/>
                <w:sz w:val="22"/>
                <w:szCs w:val="22"/>
              </w:rPr>
              <w:t>Ln Total Asset</w:t>
            </w:r>
          </w:p>
        </w:tc>
      </w:tr>
      <w:tr w:rsidR="00720958" w:rsidRPr="00096A14" w14:paraId="681B648C" w14:textId="77777777" w:rsidTr="00720958">
        <w:tc>
          <w:tcPr>
            <w:tcW w:w="2127" w:type="dxa"/>
          </w:tcPr>
          <w:p w14:paraId="48E74E6C" w14:textId="77777777" w:rsidR="00720958" w:rsidRPr="00096A14" w:rsidRDefault="00720958" w:rsidP="003351CB">
            <w:pPr>
              <w:rPr>
                <w:sz w:val="22"/>
                <w:szCs w:val="22"/>
              </w:rPr>
            </w:pPr>
            <w:r w:rsidRPr="00096A14">
              <w:rPr>
                <w:sz w:val="22"/>
                <w:szCs w:val="22"/>
              </w:rPr>
              <w:t>Pertumbuhan Penjualan (%)</w:t>
            </w:r>
          </w:p>
        </w:tc>
        <w:tc>
          <w:tcPr>
            <w:tcW w:w="2639" w:type="dxa"/>
          </w:tcPr>
          <w:p w14:paraId="6CB86597" w14:textId="77777777" w:rsidR="00720958" w:rsidRPr="00096A14" w:rsidRDefault="00720958" w:rsidP="00720958">
            <w:pPr>
              <w:jc w:val="both"/>
              <w:rPr>
                <w:sz w:val="22"/>
                <w:szCs w:val="22"/>
              </w:rPr>
            </w:pPr>
            <w:r w:rsidRPr="00096A14">
              <w:rPr>
                <w:sz w:val="22"/>
                <w:szCs w:val="22"/>
              </w:rPr>
              <w:t>Pertumbuhan penjualan merupakan perbandingan dari selisih penjualan sekarang dan penjualan sebelumnya dengan penjualan sebelumnya</w:t>
            </w:r>
          </w:p>
          <w:p w14:paraId="791E4252" w14:textId="77777777" w:rsidR="00720958" w:rsidRPr="00096A14" w:rsidRDefault="00720958" w:rsidP="00720958">
            <w:pPr>
              <w:jc w:val="both"/>
              <w:rPr>
                <w:sz w:val="22"/>
                <w:szCs w:val="22"/>
              </w:rPr>
            </w:pPr>
          </w:p>
        </w:tc>
        <w:tc>
          <w:tcPr>
            <w:tcW w:w="904" w:type="dxa"/>
          </w:tcPr>
          <w:p w14:paraId="18E3365B" w14:textId="77777777" w:rsidR="00720958" w:rsidRPr="00096A14" w:rsidRDefault="00720958" w:rsidP="003351CB">
            <w:pPr>
              <w:rPr>
                <w:sz w:val="22"/>
                <w:szCs w:val="22"/>
              </w:rPr>
            </w:pPr>
            <w:r w:rsidRPr="00096A14">
              <w:rPr>
                <w:sz w:val="22"/>
                <w:szCs w:val="22"/>
              </w:rPr>
              <w:t>Rasio</w:t>
            </w:r>
          </w:p>
        </w:tc>
        <w:tc>
          <w:tcPr>
            <w:tcW w:w="3686" w:type="dxa"/>
          </w:tcPr>
          <w:p w14:paraId="5FA9108E" w14:textId="77777777" w:rsidR="00720958" w:rsidRPr="00096A14" w:rsidRDefault="00720958" w:rsidP="00720958">
            <w:pPr>
              <w:pStyle w:val="NoSpacing"/>
              <w:ind w:left="-1667"/>
              <w:jc w:val="center"/>
              <w:rPr>
                <w:sz w:val="22"/>
                <w:szCs w:val="22"/>
                <w:u w:val="single"/>
              </w:rPr>
            </w:pPr>
            <w:r w:rsidRPr="00096A14">
              <w:rPr>
                <w:i/>
                <w:sz w:val="22"/>
                <w:szCs w:val="22"/>
                <w:u w:val="single"/>
              </w:rPr>
              <w:t>Sales</w:t>
            </w:r>
            <w:r w:rsidRPr="00096A14">
              <w:rPr>
                <w:sz w:val="22"/>
                <w:szCs w:val="22"/>
                <w:u w:val="single"/>
              </w:rPr>
              <w:t xml:space="preserve"> (t) – </w:t>
            </w:r>
            <w:r w:rsidRPr="00096A14">
              <w:rPr>
                <w:i/>
                <w:sz w:val="22"/>
                <w:szCs w:val="22"/>
                <w:u w:val="single"/>
              </w:rPr>
              <w:t>Sales</w:t>
            </w:r>
            <w:r w:rsidRPr="00096A14">
              <w:rPr>
                <w:sz w:val="22"/>
                <w:szCs w:val="22"/>
                <w:u w:val="single"/>
              </w:rPr>
              <w:t xml:space="preserve"> (t-1)</w:t>
            </w:r>
          </w:p>
          <w:p w14:paraId="73ED0D12" w14:textId="77777777" w:rsidR="00720958" w:rsidRPr="00096A14" w:rsidRDefault="00720958" w:rsidP="00720958">
            <w:pPr>
              <w:ind w:left="-108"/>
              <w:rPr>
                <w:sz w:val="22"/>
                <w:szCs w:val="22"/>
              </w:rPr>
            </w:pPr>
            <w:r w:rsidRPr="00096A14">
              <w:rPr>
                <w:i/>
                <w:sz w:val="22"/>
                <w:szCs w:val="22"/>
              </w:rPr>
              <w:t xml:space="preserve">        Sales</w:t>
            </w:r>
            <w:r w:rsidRPr="00096A14">
              <w:rPr>
                <w:sz w:val="22"/>
                <w:szCs w:val="22"/>
              </w:rPr>
              <w:t xml:space="preserve"> (t-1)</w:t>
            </w:r>
          </w:p>
        </w:tc>
      </w:tr>
      <w:tr w:rsidR="00720958" w:rsidRPr="00096A14" w14:paraId="26F7C249" w14:textId="77777777" w:rsidTr="00720958">
        <w:tc>
          <w:tcPr>
            <w:tcW w:w="2127" w:type="dxa"/>
          </w:tcPr>
          <w:p w14:paraId="7DED362F" w14:textId="253E78EB" w:rsidR="00720958" w:rsidRPr="00096A14" w:rsidRDefault="00720958" w:rsidP="003351CB">
            <w:pPr>
              <w:rPr>
                <w:sz w:val="22"/>
                <w:szCs w:val="22"/>
              </w:rPr>
            </w:pPr>
            <w:r>
              <w:rPr>
                <w:sz w:val="22"/>
                <w:szCs w:val="22"/>
              </w:rPr>
              <w:t xml:space="preserve">  </w:t>
            </w:r>
          </w:p>
        </w:tc>
        <w:tc>
          <w:tcPr>
            <w:tcW w:w="2639" w:type="dxa"/>
          </w:tcPr>
          <w:p w14:paraId="1044956C" w14:textId="77777777" w:rsidR="00720958" w:rsidRPr="00096A14" w:rsidRDefault="00720958" w:rsidP="00720958">
            <w:pPr>
              <w:jc w:val="both"/>
              <w:rPr>
                <w:sz w:val="22"/>
                <w:szCs w:val="22"/>
              </w:rPr>
            </w:pPr>
            <w:r w:rsidRPr="00096A14">
              <w:rPr>
                <w:sz w:val="22"/>
                <w:szCs w:val="22"/>
              </w:rPr>
              <w:t>Rasio antara hutang dengan ekuitas</w:t>
            </w:r>
          </w:p>
        </w:tc>
        <w:tc>
          <w:tcPr>
            <w:tcW w:w="904" w:type="dxa"/>
          </w:tcPr>
          <w:p w14:paraId="32251CE3" w14:textId="77777777" w:rsidR="00720958" w:rsidRPr="00096A14" w:rsidRDefault="00720958" w:rsidP="003351CB">
            <w:pPr>
              <w:rPr>
                <w:sz w:val="22"/>
                <w:szCs w:val="22"/>
              </w:rPr>
            </w:pPr>
            <w:r w:rsidRPr="00096A14">
              <w:rPr>
                <w:sz w:val="22"/>
                <w:szCs w:val="22"/>
              </w:rPr>
              <w:t>Rasio</w:t>
            </w:r>
          </w:p>
        </w:tc>
        <w:tc>
          <w:tcPr>
            <w:tcW w:w="3686" w:type="dxa"/>
          </w:tcPr>
          <w:p w14:paraId="54D20356" w14:textId="77777777" w:rsidR="00720958" w:rsidRPr="00096A14" w:rsidRDefault="00720958" w:rsidP="003351CB">
            <w:pPr>
              <w:rPr>
                <w:i/>
                <w:sz w:val="22"/>
                <w:szCs w:val="22"/>
              </w:rPr>
            </w:pPr>
            <w:r w:rsidRPr="00096A14">
              <w:rPr>
                <w:sz w:val="22"/>
                <w:szCs w:val="22"/>
              </w:rPr>
              <w:t xml:space="preserve">DER = </w:t>
            </w:r>
            <w:r w:rsidRPr="00096A14">
              <w:rPr>
                <w:i/>
                <w:sz w:val="22"/>
                <w:szCs w:val="22"/>
              </w:rPr>
              <w:t>Total Debt</w:t>
            </w:r>
            <w:r w:rsidRPr="00096A14">
              <w:rPr>
                <w:sz w:val="22"/>
                <w:szCs w:val="22"/>
              </w:rPr>
              <w:t>/</w:t>
            </w:r>
            <w:r w:rsidRPr="00096A14">
              <w:rPr>
                <w:i/>
                <w:sz w:val="22"/>
                <w:szCs w:val="22"/>
              </w:rPr>
              <w:t>Total Equity</w:t>
            </w:r>
          </w:p>
          <w:p w14:paraId="17D6D00A" w14:textId="77777777" w:rsidR="00720958" w:rsidRPr="00096A14" w:rsidRDefault="00720958" w:rsidP="003351CB">
            <w:pPr>
              <w:rPr>
                <w:sz w:val="22"/>
                <w:szCs w:val="22"/>
              </w:rPr>
            </w:pPr>
          </w:p>
        </w:tc>
      </w:tr>
    </w:tbl>
    <w:p w14:paraId="09E53C45" w14:textId="77777777" w:rsidR="00720958" w:rsidRDefault="00720958" w:rsidP="00720958">
      <w:proofErr w:type="gramStart"/>
      <w:r w:rsidRPr="00096A14">
        <w:t>Sumber :</w:t>
      </w:r>
      <w:proofErr w:type="gramEnd"/>
      <w:r w:rsidRPr="00096A14">
        <w:t xml:space="preserve"> berbagai jurnal untuk penelitian</w:t>
      </w:r>
    </w:p>
    <w:p w14:paraId="676E342D" w14:textId="77777777" w:rsidR="0070531E" w:rsidRDefault="0070531E" w:rsidP="00720958"/>
    <w:p w14:paraId="2DB40E98" w14:textId="77777777" w:rsidR="0070531E" w:rsidRPr="00096A14" w:rsidRDefault="0070531E" w:rsidP="00720958"/>
    <w:p w14:paraId="0843EE6E" w14:textId="3B6CAC3B" w:rsidR="00720958" w:rsidRDefault="003351CB" w:rsidP="00720958">
      <w:pPr>
        <w:jc w:val="both"/>
        <w:rPr>
          <w:b/>
        </w:rPr>
      </w:pPr>
      <w:r w:rsidRPr="003351CB">
        <w:rPr>
          <w:b/>
        </w:rPr>
        <w:lastRenderedPageBreak/>
        <w:t>HASIL DAN PEMBAHASAN</w:t>
      </w:r>
    </w:p>
    <w:p w14:paraId="08FE4752" w14:textId="77777777" w:rsidR="00CD1D8D" w:rsidRDefault="00CD1D8D" w:rsidP="00720958">
      <w:pPr>
        <w:jc w:val="both"/>
        <w:rPr>
          <w:b/>
        </w:rPr>
      </w:pPr>
    </w:p>
    <w:p w14:paraId="5A935FF0" w14:textId="77777777" w:rsidR="00CD1D8D" w:rsidRPr="00E629DC" w:rsidRDefault="00CD1D8D" w:rsidP="00CD1D8D">
      <w:pPr>
        <w:ind w:firstLine="567"/>
        <w:jc w:val="both"/>
        <w:rPr>
          <w:lang w:val="id-ID"/>
        </w:rPr>
      </w:pPr>
      <w:r>
        <w:rPr>
          <w:b/>
        </w:rPr>
        <w:tab/>
      </w:r>
      <w:r w:rsidRPr="00E629DC">
        <w:rPr>
          <w:lang w:val="id-ID"/>
        </w:rPr>
        <w:t xml:space="preserve">Penelitian ini dilakukan dengan menggunakan data-data </w:t>
      </w:r>
      <w:r w:rsidRPr="00E629DC">
        <w:t xml:space="preserve">perusahaan-perusahaan pertambangan yang terdaftar di Bursa Efek Indonesia (BEI) periode </w:t>
      </w:r>
      <w:r w:rsidRPr="00E629DC">
        <w:rPr>
          <w:lang w:val="id-ID"/>
        </w:rPr>
        <w:t>2010</w:t>
      </w:r>
      <w:r w:rsidRPr="00E629DC">
        <w:t xml:space="preserve"> – 2013 yang berjumlah 39 perusahaan</w:t>
      </w:r>
      <w:r w:rsidRPr="00E629DC">
        <w:rPr>
          <w:lang w:val="id-ID"/>
        </w:rPr>
        <w:t>. Adapun kriteria pengambilan sampel adalah: p</w:t>
      </w:r>
      <w:r w:rsidRPr="00E629DC">
        <w:t xml:space="preserve">erusahaan pertambangan yang terdaftar di Bursa Efek Indonesia berdasarkan klasifikasi dari </w:t>
      </w:r>
      <w:r w:rsidRPr="00E629DC">
        <w:rPr>
          <w:i/>
        </w:rPr>
        <w:t>Indonesian Capital Market Directory</w:t>
      </w:r>
      <w:r w:rsidRPr="00E629DC">
        <w:t xml:space="preserve"> (ICMD) tahun 2010 – 2013</w:t>
      </w:r>
      <w:r w:rsidRPr="00E629DC">
        <w:rPr>
          <w:lang w:val="id-ID"/>
        </w:rPr>
        <w:t>, p</w:t>
      </w:r>
      <w:r w:rsidRPr="00E629DC">
        <w:t xml:space="preserve">erusahaan pertambangan tersebut menerbitkan laporan keuangan secara lengkap dari tahun 2010 – 2013 secara berturut-turut dan tersedia data laporan keuangan secara lengkap yaitu data ROA, DER, Total Asset, </w:t>
      </w:r>
      <w:r w:rsidRPr="00E629DC">
        <w:rPr>
          <w:i/>
        </w:rPr>
        <w:t>Net Sales</w:t>
      </w:r>
      <w:r w:rsidRPr="00E629DC">
        <w:t>, dan PBV</w:t>
      </w:r>
      <w:r w:rsidRPr="00E629DC">
        <w:rPr>
          <w:lang w:val="id-ID"/>
        </w:rPr>
        <w:t>. Mengacu pada kriteria-kriteria tersebut maka terdapat sampel sejumlah 25 perusahaan yang memenuhi kriteria dengan empat tahun pengamatan sehingga diperoleh sejumlah 100 data pengamatan.</w:t>
      </w:r>
    </w:p>
    <w:p w14:paraId="62D4639C" w14:textId="77777777" w:rsidR="00CD1D8D" w:rsidRPr="00E629DC" w:rsidRDefault="00CD1D8D" w:rsidP="00CD1D8D">
      <w:pPr>
        <w:ind w:firstLine="567"/>
        <w:jc w:val="both"/>
        <w:rPr>
          <w:lang w:val="id-ID"/>
        </w:rPr>
      </w:pPr>
      <w:r w:rsidRPr="00E629DC">
        <w:rPr>
          <w:color w:val="000000"/>
          <w:lang w:val="id-ID"/>
        </w:rPr>
        <w:t xml:space="preserve">Berdasarkan pertimbangan normalitas data maka dari 100 data pengamatan hanya terdapat 68 data pengamatan yang akan dianalisis sedangkan 32 sampel pengamatan lainnya dikeluarkan dari pengamatan karena merupakan </w:t>
      </w:r>
      <w:r w:rsidRPr="00E629DC">
        <w:rPr>
          <w:i/>
          <w:color w:val="000000"/>
          <w:lang w:val="id-ID"/>
        </w:rPr>
        <w:t>outliers</w:t>
      </w:r>
      <w:r w:rsidRPr="00E629DC">
        <w:rPr>
          <w:color w:val="000000"/>
          <w:lang w:val="id-ID"/>
        </w:rPr>
        <w:t>.</w:t>
      </w:r>
    </w:p>
    <w:p w14:paraId="53182089" w14:textId="6F6A42D9" w:rsidR="003351CB" w:rsidRPr="003351CB" w:rsidRDefault="003351CB" w:rsidP="00720958">
      <w:pPr>
        <w:jc w:val="both"/>
        <w:rPr>
          <w:b/>
        </w:rPr>
      </w:pPr>
    </w:p>
    <w:p w14:paraId="6CC90318" w14:textId="69BE81E9" w:rsidR="0081287C" w:rsidRPr="00CD1D8D" w:rsidRDefault="00CD1D8D" w:rsidP="00CD1D8D">
      <w:pPr>
        <w:jc w:val="both"/>
        <w:rPr>
          <w:b/>
        </w:rPr>
      </w:pPr>
      <w:r w:rsidRPr="00CD1D8D">
        <w:rPr>
          <w:b/>
        </w:rPr>
        <w:t>Statistik Deskriptif</w:t>
      </w:r>
    </w:p>
    <w:p w14:paraId="13540D0F" w14:textId="77777777" w:rsidR="00CD1D8D" w:rsidRPr="00E629DC" w:rsidRDefault="00CD1D8D" w:rsidP="00CD1D8D">
      <w:pPr>
        <w:ind w:firstLine="540"/>
        <w:jc w:val="both"/>
        <w:rPr>
          <w:lang w:val="id-ID"/>
        </w:rPr>
      </w:pPr>
      <w:proofErr w:type="gramStart"/>
      <w:r w:rsidRPr="00E629DC">
        <w:t>Analisis deskripsi dilakukan untuk memperoleh gambaran mengenai variabel-variabel penelitian.</w:t>
      </w:r>
      <w:proofErr w:type="gramEnd"/>
      <w:r w:rsidRPr="00E629DC">
        <w:t xml:space="preserve"> </w:t>
      </w:r>
      <w:proofErr w:type="gramStart"/>
      <w:r w:rsidRPr="00E629DC">
        <w:t>Adapun teknik analisis deskriptif yang digunakan dalam penelitian ini adalah dengan menganalisis nilai minimum, maksimum, dan rerata (</w:t>
      </w:r>
      <w:r w:rsidRPr="00E629DC">
        <w:rPr>
          <w:i/>
        </w:rPr>
        <w:t>mean</w:t>
      </w:r>
      <w:r w:rsidRPr="00E629DC">
        <w:t>) masing-masing variabel penelitian.</w:t>
      </w:r>
      <w:proofErr w:type="gramEnd"/>
    </w:p>
    <w:p w14:paraId="6D2758E6" w14:textId="1D9ACBC8" w:rsidR="00CD1D8D" w:rsidRPr="00E629DC" w:rsidRDefault="00CD1D8D" w:rsidP="00CD1D8D">
      <w:pPr>
        <w:jc w:val="center"/>
        <w:rPr>
          <w:lang w:val="id-ID"/>
        </w:rPr>
      </w:pP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992"/>
        <w:gridCol w:w="2126"/>
        <w:gridCol w:w="1134"/>
        <w:gridCol w:w="1418"/>
        <w:gridCol w:w="1701"/>
      </w:tblGrid>
      <w:tr w:rsidR="00CD1D8D" w:rsidRPr="004F0DF3" w14:paraId="6C6D33FC" w14:textId="77777777" w:rsidTr="00CD1D8D">
        <w:trPr>
          <w:cantSplit/>
        </w:trPr>
        <w:tc>
          <w:tcPr>
            <w:tcW w:w="9356" w:type="dxa"/>
            <w:gridSpan w:val="6"/>
            <w:tcBorders>
              <w:top w:val="nil"/>
              <w:left w:val="nil"/>
              <w:bottom w:val="nil"/>
              <w:right w:val="nil"/>
            </w:tcBorders>
            <w:shd w:val="clear" w:color="auto" w:fill="FFFFFF"/>
          </w:tcPr>
          <w:p w14:paraId="198A5F0D" w14:textId="77777777" w:rsidR="00CD1D8D" w:rsidRPr="004F0DF3" w:rsidRDefault="00CD1D8D" w:rsidP="00CD1D8D">
            <w:pPr>
              <w:jc w:val="center"/>
              <w:rPr>
                <w:sz w:val="20"/>
                <w:szCs w:val="20"/>
              </w:rPr>
            </w:pPr>
            <w:r w:rsidRPr="004F0DF3">
              <w:rPr>
                <w:b/>
                <w:bCs/>
                <w:sz w:val="20"/>
                <w:szCs w:val="20"/>
              </w:rPr>
              <w:t>Descriptive Statistics</w:t>
            </w:r>
          </w:p>
        </w:tc>
      </w:tr>
      <w:tr w:rsidR="00CD1D8D" w:rsidRPr="004F0DF3" w14:paraId="6AFF8038" w14:textId="77777777" w:rsidTr="00CD1D8D">
        <w:trPr>
          <w:cantSplit/>
        </w:trPr>
        <w:tc>
          <w:tcPr>
            <w:tcW w:w="1985" w:type="dxa"/>
            <w:tcBorders>
              <w:top w:val="single" w:sz="16" w:space="0" w:color="000000"/>
              <w:left w:val="single" w:sz="16" w:space="0" w:color="000000"/>
              <w:bottom w:val="single" w:sz="16" w:space="0" w:color="000000"/>
              <w:right w:val="single" w:sz="16" w:space="0" w:color="000000"/>
            </w:tcBorders>
            <w:shd w:val="clear" w:color="auto" w:fill="FFFFFF"/>
          </w:tcPr>
          <w:p w14:paraId="34704894" w14:textId="77777777" w:rsidR="00CD1D8D" w:rsidRPr="004F0DF3" w:rsidRDefault="00CD1D8D" w:rsidP="00CD1D8D">
            <w:pPr>
              <w:jc w:val="both"/>
              <w:rPr>
                <w:sz w:val="20"/>
                <w:szCs w:val="20"/>
              </w:rPr>
            </w:pPr>
          </w:p>
        </w:tc>
        <w:tc>
          <w:tcPr>
            <w:tcW w:w="992" w:type="dxa"/>
            <w:tcBorders>
              <w:top w:val="single" w:sz="16" w:space="0" w:color="000000"/>
              <w:left w:val="single" w:sz="16" w:space="0" w:color="000000"/>
              <w:bottom w:val="single" w:sz="16" w:space="0" w:color="000000"/>
            </w:tcBorders>
            <w:shd w:val="clear" w:color="auto" w:fill="FFFFFF"/>
          </w:tcPr>
          <w:p w14:paraId="529D1D52" w14:textId="77777777" w:rsidR="00CD1D8D" w:rsidRPr="004F0DF3" w:rsidRDefault="00CD1D8D" w:rsidP="00CD1D8D">
            <w:pPr>
              <w:jc w:val="center"/>
              <w:rPr>
                <w:sz w:val="20"/>
                <w:szCs w:val="20"/>
              </w:rPr>
            </w:pPr>
            <w:r w:rsidRPr="004F0DF3">
              <w:rPr>
                <w:sz w:val="20"/>
                <w:szCs w:val="20"/>
              </w:rPr>
              <w:t>N</w:t>
            </w:r>
          </w:p>
        </w:tc>
        <w:tc>
          <w:tcPr>
            <w:tcW w:w="2126" w:type="dxa"/>
            <w:tcBorders>
              <w:top w:val="single" w:sz="16" w:space="0" w:color="000000"/>
              <w:bottom w:val="single" w:sz="16" w:space="0" w:color="000000"/>
            </w:tcBorders>
            <w:shd w:val="clear" w:color="auto" w:fill="FFFFFF"/>
          </w:tcPr>
          <w:p w14:paraId="707ABE89" w14:textId="77777777" w:rsidR="00CD1D8D" w:rsidRPr="004F0DF3" w:rsidRDefault="00CD1D8D" w:rsidP="00CD1D8D">
            <w:pPr>
              <w:jc w:val="center"/>
              <w:rPr>
                <w:sz w:val="20"/>
                <w:szCs w:val="20"/>
              </w:rPr>
            </w:pPr>
            <w:r w:rsidRPr="004F0DF3">
              <w:rPr>
                <w:sz w:val="20"/>
                <w:szCs w:val="20"/>
              </w:rPr>
              <w:t>Minimum</w:t>
            </w:r>
          </w:p>
        </w:tc>
        <w:tc>
          <w:tcPr>
            <w:tcW w:w="1134" w:type="dxa"/>
            <w:tcBorders>
              <w:top w:val="single" w:sz="16" w:space="0" w:color="000000"/>
              <w:bottom w:val="single" w:sz="16" w:space="0" w:color="000000"/>
            </w:tcBorders>
            <w:shd w:val="clear" w:color="auto" w:fill="FFFFFF"/>
          </w:tcPr>
          <w:p w14:paraId="2FEC6F41" w14:textId="77777777" w:rsidR="00CD1D8D" w:rsidRPr="004F0DF3" w:rsidRDefault="00CD1D8D" w:rsidP="00CD1D8D">
            <w:pPr>
              <w:jc w:val="center"/>
              <w:rPr>
                <w:sz w:val="20"/>
                <w:szCs w:val="20"/>
              </w:rPr>
            </w:pPr>
            <w:r w:rsidRPr="004F0DF3">
              <w:rPr>
                <w:sz w:val="20"/>
                <w:szCs w:val="20"/>
              </w:rPr>
              <w:t>Maximum</w:t>
            </w:r>
          </w:p>
        </w:tc>
        <w:tc>
          <w:tcPr>
            <w:tcW w:w="1418" w:type="dxa"/>
            <w:tcBorders>
              <w:top w:val="single" w:sz="16" w:space="0" w:color="000000"/>
              <w:bottom w:val="single" w:sz="16" w:space="0" w:color="000000"/>
            </w:tcBorders>
            <w:shd w:val="clear" w:color="auto" w:fill="FFFFFF"/>
          </w:tcPr>
          <w:p w14:paraId="1C74D03B" w14:textId="77777777" w:rsidR="00CD1D8D" w:rsidRPr="004F0DF3" w:rsidRDefault="00CD1D8D" w:rsidP="00CD1D8D">
            <w:pPr>
              <w:jc w:val="center"/>
              <w:rPr>
                <w:sz w:val="20"/>
                <w:szCs w:val="20"/>
              </w:rPr>
            </w:pPr>
            <w:r w:rsidRPr="004F0DF3">
              <w:rPr>
                <w:sz w:val="20"/>
                <w:szCs w:val="20"/>
              </w:rPr>
              <w:t>Mean</w:t>
            </w:r>
          </w:p>
        </w:tc>
        <w:tc>
          <w:tcPr>
            <w:tcW w:w="1701" w:type="dxa"/>
            <w:tcBorders>
              <w:top w:val="single" w:sz="16" w:space="0" w:color="000000"/>
              <w:bottom w:val="single" w:sz="16" w:space="0" w:color="000000"/>
              <w:right w:val="single" w:sz="16" w:space="0" w:color="000000"/>
            </w:tcBorders>
            <w:shd w:val="clear" w:color="auto" w:fill="FFFFFF"/>
          </w:tcPr>
          <w:p w14:paraId="48652314" w14:textId="77777777" w:rsidR="00CD1D8D" w:rsidRPr="004F0DF3" w:rsidRDefault="00CD1D8D" w:rsidP="00CD1D8D">
            <w:pPr>
              <w:jc w:val="center"/>
              <w:rPr>
                <w:sz w:val="20"/>
                <w:szCs w:val="20"/>
              </w:rPr>
            </w:pPr>
            <w:r w:rsidRPr="004F0DF3">
              <w:rPr>
                <w:sz w:val="20"/>
                <w:szCs w:val="20"/>
              </w:rPr>
              <w:t>Std. Deviation</w:t>
            </w:r>
          </w:p>
        </w:tc>
      </w:tr>
      <w:tr w:rsidR="00CD1D8D" w:rsidRPr="004F0DF3" w14:paraId="46B0A6CF" w14:textId="77777777" w:rsidTr="00CD1D8D">
        <w:trPr>
          <w:cantSplit/>
        </w:trPr>
        <w:tc>
          <w:tcPr>
            <w:tcW w:w="1985" w:type="dxa"/>
            <w:tcBorders>
              <w:top w:val="single" w:sz="16" w:space="0" w:color="000000"/>
              <w:left w:val="single" w:sz="16" w:space="0" w:color="000000"/>
              <w:bottom w:val="nil"/>
              <w:right w:val="single" w:sz="16" w:space="0" w:color="000000"/>
            </w:tcBorders>
            <w:shd w:val="clear" w:color="auto" w:fill="FFFFFF"/>
            <w:vAlign w:val="center"/>
          </w:tcPr>
          <w:p w14:paraId="66E6C8E5" w14:textId="77777777" w:rsidR="00CD1D8D" w:rsidRPr="004F0DF3" w:rsidRDefault="00CD1D8D" w:rsidP="00CD1D8D">
            <w:pPr>
              <w:jc w:val="both"/>
              <w:rPr>
                <w:sz w:val="20"/>
                <w:szCs w:val="20"/>
              </w:rPr>
            </w:pPr>
            <w:r w:rsidRPr="004F0DF3">
              <w:rPr>
                <w:sz w:val="20"/>
                <w:szCs w:val="20"/>
              </w:rPr>
              <w:t>ROA</w:t>
            </w:r>
          </w:p>
        </w:tc>
        <w:tc>
          <w:tcPr>
            <w:tcW w:w="992" w:type="dxa"/>
            <w:tcBorders>
              <w:top w:val="single" w:sz="16" w:space="0" w:color="000000"/>
              <w:left w:val="single" w:sz="16" w:space="0" w:color="000000"/>
              <w:bottom w:val="nil"/>
            </w:tcBorders>
            <w:shd w:val="clear" w:color="auto" w:fill="FFFFFF"/>
            <w:vAlign w:val="center"/>
          </w:tcPr>
          <w:p w14:paraId="3EB5F067" w14:textId="77777777" w:rsidR="00CD1D8D" w:rsidRPr="004F0DF3" w:rsidRDefault="00CD1D8D" w:rsidP="00CD1D8D">
            <w:pPr>
              <w:jc w:val="center"/>
              <w:rPr>
                <w:sz w:val="20"/>
                <w:szCs w:val="20"/>
              </w:rPr>
            </w:pPr>
            <w:r w:rsidRPr="004F0DF3">
              <w:rPr>
                <w:sz w:val="20"/>
                <w:szCs w:val="20"/>
              </w:rPr>
              <w:t>68</w:t>
            </w:r>
          </w:p>
        </w:tc>
        <w:tc>
          <w:tcPr>
            <w:tcW w:w="2126" w:type="dxa"/>
            <w:tcBorders>
              <w:top w:val="single" w:sz="16" w:space="0" w:color="000000"/>
              <w:bottom w:val="nil"/>
            </w:tcBorders>
            <w:shd w:val="clear" w:color="auto" w:fill="FFFFFF"/>
            <w:vAlign w:val="center"/>
          </w:tcPr>
          <w:p w14:paraId="64D478E1" w14:textId="77777777" w:rsidR="00CD1D8D" w:rsidRPr="004F0DF3" w:rsidRDefault="00CD1D8D" w:rsidP="00CD1D8D">
            <w:pPr>
              <w:jc w:val="right"/>
              <w:rPr>
                <w:sz w:val="20"/>
                <w:szCs w:val="20"/>
              </w:rPr>
            </w:pPr>
            <w:r w:rsidRPr="004F0DF3">
              <w:rPr>
                <w:sz w:val="20"/>
                <w:szCs w:val="20"/>
              </w:rPr>
              <w:t>-27690.00</w:t>
            </w:r>
          </w:p>
        </w:tc>
        <w:tc>
          <w:tcPr>
            <w:tcW w:w="1134" w:type="dxa"/>
            <w:tcBorders>
              <w:top w:val="single" w:sz="16" w:space="0" w:color="000000"/>
              <w:bottom w:val="nil"/>
            </w:tcBorders>
            <w:shd w:val="clear" w:color="auto" w:fill="FFFFFF"/>
            <w:vAlign w:val="center"/>
          </w:tcPr>
          <w:p w14:paraId="462E4B4C" w14:textId="77777777" w:rsidR="00CD1D8D" w:rsidRPr="004F0DF3" w:rsidRDefault="00CD1D8D" w:rsidP="00CD1D8D">
            <w:pPr>
              <w:jc w:val="right"/>
              <w:rPr>
                <w:sz w:val="20"/>
                <w:szCs w:val="20"/>
              </w:rPr>
            </w:pPr>
            <w:r w:rsidRPr="004F0DF3">
              <w:rPr>
                <w:sz w:val="20"/>
                <w:szCs w:val="20"/>
              </w:rPr>
              <w:t>36800.00</w:t>
            </w:r>
          </w:p>
        </w:tc>
        <w:tc>
          <w:tcPr>
            <w:tcW w:w="1418" w:type="dxa"/>
            <w:tcBorders>
              <w:top w:val="single" w:sz="16" w:space="0" w:color="000000"/>
              <w:bottom w:val="nil"/>
            </w:tcBorders>
            <w:shd w:val="clear" w:color="auto" w:fill="FFFFFF"/>
            <w:vAlign w:val="center"/>
          </w:tcPr>
          <w:p w14:paraId="790B6A3D" w14:textId="77777777" w:rsidR="00CD1D8D" w:rsidRPr="004F0DF3" w:rsidRDefault="00CD1D8D" w:rsidP="00CD1D8D">
            <w:pPr>
              <w:jc w:val="right"/>
              <w:rPr>
                <w:sz w:val="20"/>
                <w:szCs w:val="20"/>
              </w:rPr>
            </w:pPr>
            <w:r w:rsidRPr="004F0DF3">
              <w:rPr>
                <w:sz w:val="20"/>
                <w:szCs w:val="20"/>
              </w:rPr>
              <w:t>7618.5294</w:t>
            </w:r>
          </w:p>
        </w:tc>
        <w:tc>
          <w:tcPr>
            <w:tcW w:w="1701" w:type="dxa"/>
            <w:tcBorders>
              <w:top w:val="single" w:sz="16" w:space="0" w:color="000000"/>
              <w:bottom w:val="nil"/>
              <w:right w:val="single" w:sz="16" w:space="0" w:color="000000"/>
            </w:tcBorders>
            <w:shd w:val="clear" w:color="auto" w:fill="FFFFFF"/>
            <w:vAlign w:val="center"/>
          </w:tcPr>
          <w:p w14:paraId="45F798E0" w14:textId="77777777" w:rsidR="00CD1D8D" w:rsidRPr="004F0DF3" w:rsidRDefault="00CD1D8D" w:rsidP="00CD1D8D">
            <w:pPr>
              <w:jc w:val="right"/>
              <w:rPr>
                <w:sz w:val="20"/>
                <w:szCs w:val="20"/>
              </w:rPr>
            </w:pPr>
            <w:r w:rsidRPr="004F0DF3">
              <w:rPr>
                <w:sz w:val="20"/>
                <w:szCs w:val="20"/>
              </w:rPr>
              <w:t>10917.57467</w:t>
            </w:r>
          </w:p>
        </w:tc>
      </w:tr>
      <w:tr w:rsidR="00CD1D8D" w:rsidRPr="004F0DF3" w14:paraId="774CF841" w14:textId="77777777" w:rsidTr="00CD1D8D">
        <w:trPr>
          <w:cantSplit/>
        </w:trPr>
        <w:tc>
          <w:tcPr>
            <w:tcW w:w="1985" w:type="dxa"/>
            <w:tcBorders>
              <w:top w:val="nil"/>
              <w:left w:val="single" w:sz="16" w:space="0" w:color="000000"/>
              <w:bottom w:val="nil"/>
              <w:right w:val="single" w:sz="16" w:space="0" w:color="000000"/>
            </w:tcBorders>
            <w:shd w:val="clear" w:color="auto" w:fill="FFFFFF"/>
            <w:vAlign w:val="center"/>
          </w:tcPr>
          <w:p w14:paraId="01FC4073" w14:textId="77777777" w:rsidR="00CD1D8D" w:rsidRPr="004F0DF3" w:rsidRDefault="00CD1D8D" w:rsidP="00CD1D8D">
            <w:pPr>
              <w:jc w:val="both"/>
              <w:rPr>
                <w:sz w:val="20"/>
                <w:szCs w:val="20"/>
              </w:rPr>
            </w:pPr>
            <w:r w:rsidRPr="004F0DF3">
              <w:rPr>
                <w:sz w:val="20"/>
                <w:szCs w:val="20"/>
              </w:rPr>
              <w:t>SIZE</w:t>
            </w:r>
          </w:p>
        </w:tc>
        <w:tc>
          <w:tcPr>
            <w:tcW w:w="992" w:type="dxa"/>
            <w:tcBorders>
              <w:top w:val="nil"/>
              <w:left w:val="single" w:sz="16" w:space="0" w:color="000000"/>
              <w:bottom w:val="nil"/>
            </w:tcBorders>
            <w:shd w:val="clear" w:color="auto" w:fill="FFFFFF"/>
            <w:vAlign w:val="center"/>
          </w:tcPr>
          <w:p w14:paraId="454128CF" w14:textId="77777777" w:rsidR="00CD1D8D" w:rsidRPr="004F0DF3" w:rsidRDefault="00CD1D8D" w:rsidP="00CD1D8D">
            <w:pPr>
              <w:jc w:val="center"/>
              <w:rPr>
                <w:sz w:val="20"/>
                <w:szCs w:val="20"/>
              </w:rPr>
            </w:pPr>
            <w:r w:rsidRPr="004F0DF3">
              <w:rPr>
                <w:sz w:val="20"/>
                <w:szCs w:val="20"/>
              </w:rPr>
              <w:t>68</w:t>
            </w:r>
          </w:p>
        </w:tc>
        <w:tc>
          <w:tcPr>
            <w:tcW w:w="2126" w:type="dxa"/>
            <w:tcBorders>
              <w:top w:val="nil"/>
              <w:bottom w:val="nil"/>
            </w:tcBorders>
            <w:shd w:val="clear" w:color="auto" w:fill="FFFFFF"/>
            <w:vAlign w:val="center"/>
          </w:tcPr>
          <w:p w14:paraId="6FC76D68" w14:textId="77777777" w:rsidR="00CD1D8D" w:rsidRPr="004F0DF3" w:rsidRDefault="00CD1D8D" w:rsidP="00CD1D8D">
            <w:pPr>
              <w:jc w:val="right"/>
              <w:rPr>
                <w:sz w:val="20"/>
                <w:szCs w:val="20"/>
              </w:rPr>
            </w:pPr>
            <w:r w:rsidRPr="004F0DF3">
              <w:rPr>
                <w:sz w:val="20"/>
                <w:szCs w:val="20"/>
              </w:rPr>
              <w:t>12798.00</w:t>
            </w:r>
          </w:p>
        </w:tc>
        <w:tc>
          <w:tcPr>
            <w:tcW w:w="1134" w:type="dxa"/>
            <w:tcBorders>
              <w:top w:val="nil"/>
              <w:bottom w:val="nil"/>
            </w:tcBorders>
            <w:shd w:val="clear" w:color="auto" w:fill="FFFFFF"/>
            <w:vAlign w:val="center"/>
          </w:tcPr>
          <w:p w14:paraId="50BD2850" w14:textId="77777777" w:rsidR="00CD1D8D" w:rsidRPr="004F0DF3" w:rsidRDefault="00CD1D8D" w:rsidP="00CD1D8D">
            <w:pPr>
              <w:jc w:val="right"/>
              <w:rPr>
                <w:sz w:val="20"/>
                <w:szCs w:val="20"/>
              </w:rPr>
            </w:pPr>
            <w:r w:rsidRPr="004F0DF3">
              <w:rPr>
                <w:sz w:val="20"/>
                <w:szCs w:val="20"/>
              </w:rPr>
              <w:t>18230.00</w:t>
            </w:r>
          </w:p>
        </w:tc>
        <w:tc>
          <w:tcPr>
            <w:tcW w:w="1418" w:type="dxa"/>
            <w:tcBorders>
              <w:top w:val="nil"/>
              <w:bottom w:val="nil"/>
            </w:tcBorders>
            <w:shd w:val="clear" w:color="auto" w:fill="FFFFFF"/>
            <w:vAlign w:val="center"/>
          </w:tcPr>
          <w:p w14:paraId="03C076E2" w14:textId="77777777" w:rsidR="00CD1D8D" w:rsidRPr="004F0DF3" w:rsidRDefault="00CD1D8D" w:rsidP="00CD1D8D">
            <w:pPr>
              <w:jc w:val="right"/>
              <w:rPr>
                <w:sz w:val="20"/>
                <w:szCs w:val="20"/>
              </w:rPr>
            </w:pPr>
            <w:r w:rsidRPr="004F0DF3">
              <w:rPr>
                <w:sz w:val="20"/>
                <w:szCs w:val="20"/>
              </w:rPr>
              <w:t>15982.9853</w:t>
            </w:r>
          </w:p>
        </w:tc>
        <w:tc>
          <w:tcPr>
            <w:tcW w:w="1701" w:type="dxa"/>
            <w:tcBorders>
              <w:top w:val="nil"/>
              <w:bottom w:val="nil"/>
              <w:right w:val="single" w:sz="16" w:space="0" w:color="000000"/>
            </w:tcBorders>
            <w:shd w:val="clear" w:color="auto" w:fill="FFFFFF"/>
            <w:vAlign w:val="center"/>
          </w:tcPr>
          <w:p w14:paraId="099D6C36" w14:textId="77777777" w:rsidR="00CD1D8D" w:rsidRPr="004F0DF3" w:rsidRDefault="00CD1D8D" w:rsidP="00CD1D8D">
            <w:pPr>
              <w:jc w:val="right"/>
              <w:rPr>
                <w:sz w:val="20"/>
                <w:szCs w:val="20"/>
              </w:rPr>
            </w:pPr>
            <w:r w:rsidRPr="004F0DF3">
              <w:rPr>
                <w:sz w:val="20"/>
                <w:szCs w:val="20"/>
              </w:rPr>
              <w:t>1349.08103</w:t>
            </w:r>
          </w:p>
        </w:tc>
      </w:tr>
      <w:tr w:rsidR="00CD1D8D" w:rsidRPr="004F0DF3" w14:paraId="3E526B9A" w14:textId="77777777" w:rsidTr="00CD1D8D">
        <w:trPr>
          <w:cantSplit/>
        </w:trPr>
        <w:tc>
          <w:tcPr>
            <w:tcW w:w="1985" w:type="dxa"/>
            <w:tcBorders>
              <w:top w:val="nil"/>
              <w:left w:val="single" w:sz="16" w:space="0" w:color="000000"/>
              <w:bottom w:val="nil"/>
              <w:right w:val="single" w:sz="16" w:space="0" w:color="000000"/>
            </w:tcBorders>
            <w:shd w:val="clear" w:color="auto" w:fill="FFFFFF"/>
            <w:vAlign w:val="center"/>
          </w:tcPr>
          <w:p w14:paraId="5EDCCEFF" w14:textId="77777777" w:rsidR="00CD1D8D" w:rsidRPr="004F0DF3" w:rsidRDefault="00CD1D8D" w:rsidP="00CD1D8D">
            <w:pPr>
              <w:jc w:val="both"/>
              <w:rPr>
                <w:sz w:val="20"/>
                <w:szCs w:val="20"/>
              </w:rPr>
            </w:pPr>
            <w:r w:rsidRPr="004F0DF3">
              <w:rPr>
                <w:sz w:val="20"/>
                <w:szCs w:val="20"/>
              </w:rPr>
              <w:t>SALES_GROWTH</w:t>
            </w:r>
          </w:p>
        </w:tc>
        <w:tc>
          <w:tcPr>
            <w:tcW w:w="992" w:type="dxa"/>
            <w:tcBorders>
              <w:top w:val="nil"/>
              <w:left w:val="single" w:sz="16" w:space="0" w:color="000000"/>
              <w:bottom w:val="nil"/>
            </w:tcBorders>
            <w:shd w:val="clear" w:color="auto" w:fill="FFFFFF"/>
            <w:vAlign w:val="center"/>
          </w:tcPr>
          <w:p w14:paraId="57FDF05D" w14:textId="77777777" w:rsidR="00CD1D8D" w:rsidRPr="004F0DF3" w:rsidRDefault="00CD1D8D" w:rsidP="00CD1D8D">
            <w:pPr>
              <w:jc w:val="center"/>
              <w:rPr>
                <w:sz w:val="20"/>
                <w:szCs w:val="20"/>
              </w:rPr>
            </w:pPr>
            <w:r w:rsidRPr="004F0DF3">
              <w:rPr>
                <w:sz w:val="20"/>
                <w:szCs w:val="20"/>
              </w:rPr>
              <w:t>68</w:t>
            </w:r>
          </w:p>
        </w:tc>
        <w:tc>
          <w:tcPr>
            <w:tcW w:w="2126" w:type="dxa"/>
            <w:tcBorders>
              <w:top w:val="nil"/>
              <w:bottom w:val="nil"/>
            </w:tcBorders>
            <w:shd w:val="clear" w:color="auto" w:fill="FFFFFF"/>
            <w:vAlign w:val="center"/>
          </w:tcPr>
          <w:p w14:paraId="43FB16EC" w14:textId="77777777" w:rsidR="00CD1D8D" w:rsidRPr="004F0DF3" w:rsidRDefault="00CD1D8D" w:rsidP="00CD1D8D">
            <w:pPr>
              <w:jc w:val="right"/>
              <w:rPr>
                <w:sz w:val="20"/>
                <w:szCs w:val="20"/>
              </w:rPr>
            </w:pPr>
            <w:r w:rsidRPr="004F0DF3">
              <w:rPr>
                <w:sz w:val="20"/>
                <w:szCs w:val="20"/>
              </w:rPr>
              <w:t>-4303.00</w:t>
            </w:r>
          </w:p>
        </w:tc>
        <w:tc>
          <w:tcPr>
            <w:tcW w:w="1134" w:type="dxa"/>
            <w:tcBorders>
              <w:top w:val="nil"/>
              <w:bottom w:val="nil"/>
            </w:tcBorders>
            <w:shd w:val="clear" w:color="auto" w:fill="FFFFFF"/>
            <w:vAlign w:val="center"/>
          </w:tcPr>
          <w:p w14:paraId="12AB2E3C" w14:textId="77777777" w:rsidR="00CD1D8D" w:rsidRPr="004F0DF3" w:rsidRDefault="00CD1D8D" w:rsidP="00CD1D8D">
            <w:pPr>
              <w:jc w:val="right"/>
              <w:rPr>
                <w:sz w:val="20"/>
                <w:szCs w:val="20"/>
              </w:rPr>
            </w:pPr>
            <w:r w:rsidRPr="004F0DF3">
              <w:rPr>
                <w:sz w:val="20"/>
                <w:szCs w:val="20"/>
              </w:rPr>
              <w:t>1000.00</w:t>
            </w:r>
          </w:p>
        </w:tc>
        <w:tc>
          <w:tcPr>
            <w:tcW w:w="1418" w:type="dxa"/>
            <w:tcBorders>
              <w:top w:val="nil"/>
              <w:bottom w:val="nil"/>
            </w:tcBorders>
            <w:shd w:val="clear" w:color="auto" w:fill="FFFFFF"/>
            <w:vAlign w:val="center"/>
          </w:tcPr>
          <w:p w14:paraId="4C1966BF" w14:textId="77777777" w:rsidR="00CD1D8D" w:rsidRPr="004F0DF3" w:rsidRDefault="00CD1D8D" w:rsidP="00CD1D8D">
            <w:pPr>
              <w:jc w:val="right"/>
              <w:rPr>
                <w:sz w:val="20"/>
                <w:szCs w:val="20"/>
              </w:rPr>
            </w:pPr>
            <w:r w:rsidRPr="004F0DF3">
              <w:rPr>
                <w:sz w:val="20"/>
                <w:szCs w:val="20"/>
              </w:rPr>
              <w:t>100.4706</w:t>
            </w:r>
          </w:p>
        </w:tc>
        <w:tc>
          <w:tcPr>
            <w:tcW w:w="1701" w:type="dxa"/>
            <w:tcBorders>
              <w:top w:val="nil"/>
              <w:bottom w:val="nil"/>
              <w:right w:val="single" w:sz="16" w:space="0" w:color="000000"/>
            </w:tcBorders>
            <w:shd w:val="clear" w:color="auto" w:fill="FFFFFF"/>
            <w:vAlign w:val="center"/>
          </w:tcPr>
          <w:p w14:paraId="05879B03" w14:textId="77777777" w:rsidR="00CD1D8D" w:rsidRPr="004F0DF3" w:rsidRDefault="00CD1D8D" w:rsidP="00CD1D8D">
            <w:pPr>
              <w:jc w:val="right"/>
              <w:rPr>
                <w:sz w:val="20"/>
                <w:szCs w:val="20"/>
              </w:rPr>
            </w:pPr>
            <w:r w:rsidRPr="004F0DF3">
              <w:rPr>
                <w:sz w:val="20"/>
                <w:szCs w:val="20"/>
              </w:rPr>
              <w:t>647.77828</w:t>
            </w:r>
          </w:p>
        </w:tc>
      </w:tr>
      <w:tr w:rsidR="00CD1D8D" w:rsidRPr="004F0DF3" w14:paraId="47E38E4F" w14:textId="77777777" w:rsidTr="00CD1D8D">
        <w:trPr>
          <w:cantSplit/>
        </w:trPr>
        <w:tc>
          <w:tcPr>
            <w:tcW w:w="1985" w:type="dxa"/>
            <w:tcBorders>
              <w:top w:val="nil"/>
              <w:left w:val="single" w:sz="16" w:space="0" w:color="000000"/>
              <w:bottom w:val="nil"/>
              <w:right w:val="single" w:sz="16" w:space="0" w:color="000000"/>
            </w:tcBorders>
            <w:shd w:val="clear" w:color="auto" w:fill="FFFFFF"/>
            <w:vAlign w:val="center"/>
          </w:tcPr>
          <w:p w14:paraId="7AF6BE8B" w14:textId="77777777" w:rsidR="00CD1D8D" w:rsidRPr="004F0DF3" w:rsidRDefault="00CD1D8D" w:rsidP="00CD1D8D">
            <w:pPr>
              <w:jc w:val="both"/>
              <w:rPr>
                <w:sz w:val="20"/>
                <w:szCs w:val="20"/>
              </w:rPr>
            </w:pPr>
            <w:r w:rsidRPr="004F0DF3">
              <w:rPr>
                <w:sz w:val="20"/>
                <w:szCs w:val="20"/>
              </w:rPr>
              <w:t>DER</w:t>
            </w:r>
          </w:p>
        </w:tc>
        <w:tc>
          <w:tcPr>
            <w:tcW w:w="992" w:type="dxa"/>
            <w:tcBorders>
              <w:top w:val="nil"/>
              <w:left w:val="single" w:sz="16" w:space="0" w:color="000000"/>
              <w:bottom w:val="nil"/>
            </w:tcBorders>
            <w:shd w:val="clear" w:color="auto" w:fill="FFFFFF"/>
            <w:vAlign w:val="center"/>
          </w:tcPr>
          <w:p w14:paraId="66F8E543" w14:textId="77777777" w:rsidR="00CD1D8D" w:rsidRPr="004F0DF3" w:rsidRDefault="00CD1D8D" w:rsidP="00CD1D8D">
            <w:pPr>
              <w:jc w:val="center"/>
              <w:rPr>
                <w:sz w:val="20"/>
                <w:szCs w:val="20"/>
              </w:rPr>
            </w:pPr>
            <w:r w:rsidRPr="004F0DF3">
              <w:rPr>
                <w:sz w:val="20"/>
                <w:szCs w:val="20"/>
              </w:rPr>
              <w:t>68</w:t>
            </w:r>
          </w:p>
        </w:tc>
        <w:tc>
          <w:tcPr>
            <w:tcW w:w="2126" w:type="dxa"/>
            <w:tcBorders>
              <w:top w:val="nil"/>
              <w:bottom w:val="nil"/>
            </w:tcBorders>
            <w:shd w:val="clear" w:color="auto" w:fill="FFFFFF"/>
            <w:vAlign w:val="center"/>
          </w:tcPr>
          <w:p w14:paraId="75802476" w14:textId="77777777" w:rsidR="00CD1D8D" w:rsidRPr="004F0DF3" w:rsidRDefault="00CD1D8D" w:rsidP="00CD1D8D">
            <w:pPr>
              <w:jc w:val="right"/>
              <w:rPr>
                <w:sz w:val="20"/>
                <w:szCs w:val="20"/>
              </w:rPr>
            </w:pPr>
            <w:r w:rsidRPr="004F0DF3">
              <w:rPr>
                <w:sz w:val="20"/>
                <w:szCs w:val="20"/>
              </w:rPr>
              <w:t>200.00</w:t>
            </w:r>
          </w:p>
        </w:tc>
        <w:tc>
          <w:tcPr>
            <w:tcW w:w="1134" w:type="dxa"/>
            <w:tcBorders>
              <w:top w:val="nil"/>
              <w:bottom w:val="nil"/>
            </w:tcBorders>
            <w:shd w:val="clear" w:color="auto" w:fill="FFFFFF"/>
            <w:vAlign w:val="center"/>
          </w:tcPr>
          <w:p w14:paraId="5003BD00" w14:textId="77777777" w:rsidR="00CD1D8D" w:rsidRPr="004F0DF3" w:rsidRDefault="00CD1D8D" w:rsidP="00CD1D8D">
            <w:pPr>
              <w:jc w:val="right"/>
              <w:rPr>
                <w:sz w:val="20"/>
                <w:szCs w:val="20"/>
              </w:rPr>
            </w:pPr>
            <w:r w:rsidRPr="004F0DF3">
              <w:rPr>
                <w:sz w:val="20"/>
                <w:szCs w:val="20"/>
              </w:rPr>
              <w:t>4850.00</w:t>
            </w:r>
          </w:p>
        </w:tc>
        <w:tc>
          <w:tcPr>
            <w:tcW w:w="1418" w:type="dxa"/>
            <w:tcBorders>
              <w:top w:val="nil"/>
              <w:bottom w:val="nil"/>
            </w:tcBorders>
            <w:shd w:val="clear" w:color="auto" w:fill="FFFFFF"/>
            <w:vAlign w:val="center"/>
          </w:tcPr>
          <w:p w14:paraId="3A7685D6" w14:textId="77777777" w:rsidR="00CD1D8D" w:rsidRPr="004F0DF3" w:rsidRDefault="00CD1D8D" w:rsidP="00CD1D8D">
            <w:pPr>
              <w:jc w:val="right"/>
              <w:rPr>
                <w:sz w:val="20"/>
                <w:szCs w:val="20"/>
              </w:rPr>
            </w:pPr>
            <w:r w:rsidRPr="004F0DF3">
              <w:rPr>
                <w:sz w:val="20"/>
                <w:szCs w:val="20"/>
              </w:rPr>
              <w:t>1069.7059</w:t>
            </w:r>
          </w:p>
        </w:tc>
        <w:tc>
          <w:tcPr>
            <w:tcW w:w="1701" w:type="dxa"/>
            <w:tcBorders>
              <w:top w:val="nil"/>
              <w:bottom w:val="nil"/>
              <w:right w:val="single" w:sz="16" w:space="0" w:color="000000"/>
            </w:tcBorders>
            <w:shd w:val="clear" w:color="auto" w:fill="FFFFFF"/>
            <w:vAlign w:val="center"/>
          </w:tcPr>
          <w:p w14:paraId="6FF93E9A" w14:textId="77777777" w:rsidR="00CD1D8D" w:rsidRPr="004F0DF3" w:rsidRDefault="00CD1D8D" w:rsidP="00CD1D8D">
            <w:pPr>
              <w:jc w:val="right"/>
              <w:rPr>
                <w:sz w:val="20"/>
                <w:szCs w:val="20"/>
              </w:rPr>
            </w:pPr>
            <w:r w:rsidRPr="004F0DF3">
              <w:rPr>
                <w:sz w:val="20"/>
                <w:szCs w:val="20"/>
              </w:rPr>
              <w:t>961.57050</w:t>
            </w:r>
          </w:p>
        </w:tc>
      </w:tr>
      <w:tr w:rsidR="00CD1D8D" w:rsidRPr="004F0DF3" w14:paraId="34AADC1A" w14:textId="77777777" w:rsidTr="00CD1D8D">
        <w:trPr>
          <w:cantSplit/>
        </w:trPr>
        <w:tc>
          <w:tcPr>
            <w:tcW w:w="1985" w:type="dxa"/>
            <w:tcBorders>
              <w:top w:val="nil"/>
              <w:left w:val="single" w:sz="16" w:space="0" w:color="000000"/>
              <w:bottom w:val="nil"/>
              <w:right w:val="single" w:sz="16" w:space="0" w:color="000000"/>
            </w:tcBorders>
            <w:shd w:val="clear" w:color="auto" w:fill="FFFFFF"/>
            <w:vAlign w:val="center"/>
          </w:tcPr>
          <w:p w14:paraId="7FD749FB" w14:textId="77777777" w:rsidR="00CD1D8D" w:rsidRPr="004F0DF3" w:rsidRDefault="00CD1D8D" w:rsidP="00CD1D8D">
            <w:pPr>
              <w:jc w:val="both"/>
              <w:rPr>
                <w:sz w:val="20"/>
                <w:szCs w:val="20"/>
              </w:rPr>
            </w:pPr>
            <w:r w:rsidRPr="004F0DF3">
              <w:rPr>
                <w:sz w:val="20"/>
                <w:szCs w:val="20"/>
              </w:rPr>
              <w:t>PBV</w:t>
            </w:r>
          </w:p>
        </w:tc>
        <w:tc>
          <w:tcPr>
            <w:tcW w:w="992" w:type="dxa"/>
            <w:tcBorders>
              <w:top w:val="nil"/>
              <w:left w:val="single" w:sz="16" w:space="0" w:color="000000"/>
              <w:bottom w:val="nil"/>
            </w:tcBorders>
            <w:shd w:val="clear" w:color="auto" w:fill="FFFFFF"/>
            <w:vAlign w:val="center"/>
          </w:tcPr>
          <w:p w14:paraId="013E27DC" w14:textId="77777777" w:rsidR="00CD1D8D" w:rsidRPr="004F0DF3" w:rsidRDefault="00CD1D8D" w:rsidP="00CD1D8D">
            <w:pPr>
              <w:jc w:val="center"/>
              <w:rPr>
                <w:sz w:val="20"/>
                <w:szCs w:val="20"/>
              </w:rPr>
            </w:pPr>
            <w:r w:rsidRPr="004F0DF3">
              <w:rPr>
                <w:sz w:val="20"/>
                <w:szCs w:val="20"/>
              </w:rPr>
              <w:t>68</w:t>
            </w:r>
          </w:p>
        </w:tc>
        <w:tc>
          <w:tcPr>
            <w:tcW w:w="2126" w:type="dxa"/>
            <w:tcBorders>
              <w:top w:val="nil"/>
              <w:bottom w:val="nil"/>
            </w:tcBorders>
            <w:shd w:val="clear" w:color="auto" w:fill="FFFFFF"/>
            <w:vAlign w:val="center"/>
          </w:tcPr>
          <w:p w14:paraId="488BD832" w14:textId="77777777" w:rsidR="00CD1D8D" w:rsidRPr="004F0DF3" w:rsidRDefault="00CD1D8D" w:rsidP="00CD1D8D">
            <w:pPr>
              <w:jc w:val="right"/>
              <w:rPr>
                <w:sz w:val="20"/>
                <w:szCs w:val="20"/>
              </w:rPr>
            </w:pPr>
            <w:r w:rsidRPr="004F0DF3">
              <w:rPr>
                <w:sz w:val="20"/>
                <w:szCs w:val="20"/>
              </w:rPr>
              <w:t>290.00</w:t>
            </w:r>
          </w:p>
        </w:tc>
        <w:tc>
          <w:tcPr>
            <w:tcW w:w="1134" w:type="dxa"/>
            <w:tcBorders>
              <w:top w:val="nil"/>
              <w:bottom w:val="nil"/>
            </w:tcBorders>
            <w:shd w:val="clear" w:color="auto" w:fill="FFFFFF"/>
            <w:vAlign w:val="center"/>
          </w:tcPr>
          <w:p w14:paraId="37F1D5A0" w14:textId="77777777" w:rsidR="00CD1D8D" w:rsidRPr="004F0DF3" w:rsidRDefault="00CD1D8D" w:rsidP="00CD1D8D">
            <w:pPr>
              <w:jc w:val="right"/>
              <w:rPr>
                <w:sz w:val="20"/>
                <w:szCs w:val="20"/>
              </w:rPr>
            </w:pPr>
            <w:r w:rsidRPr="004F0DF3">
              <w:rPr>
                <w:sz w:val="20"/>
                <w:szCs w:val="20"/>
              </w:rPr>
              <w:t>7100.00</w:t>
            </w:r>
          </w:p>
        </w:tc>
        <w:tc>
          <w:tcPr>
            <w:tcW w:w="1418" w:type="dxa"/>
            <w:tcBorders>
              <w:top w:val="nil"/>
              <w:bottom w:val="nil"/>
            </w:tcBorders>
            <w:shd w:val="clear" w:color="auto" w:fill="FFFFFF"/>
            <w:vAlign w:val="center"/>
          </w:tcPr>
          <w:p w14:paraId="539D29CD" w14:textId="77777777" w:rsidR="00CD1D8D" w:rsidRPr="004F0DF3" w:rsidRDefault="00CD1D8D" w:rsidP="00CD1D8D">
            <w:pPr>
              <w:jc w:val="right"/>
              <w:rPr>
                <w:sz w:val="20"/>
                <w:szCs w:val="20"/>
              </w:rPr>
            </w:pPr>
            <w:r w:rsidRPr="004F0DF3">
              <w:rPr>
                <w:sz w:val="20"/>
                <w:szCs w:val="20"/>
              </w:rPr>
              <w:t>2434.1176</w:t>
            </w:r>
          </w:p>
        </w:tc>
        <w:tc>
          <w:tcPr>
            <w:tcW w:w="1701" w:type="dxa"/>
            <w:tcBorders>
              <w:top w:val="nil"/>
              <w:bottom w:val="nil"/>
              <w:right w:val="single" w:sz="16" w:space="0" w:color="000000"/>
            </w:tcBorders>
            <w:shd w:val="clear" w:color="auto" w:fill="FFFFFF"/>
            <w:vAlign w:val="center"/>
          </w:tcPr>
          <w:p w14:paraId="4F596CAC" w14:textId="77777777" w:rsidR="00CD1D8D" w:rsidRPr="004F0DF3" w:rsidRDefault="00CD1D8D" w:rsidP="00CD1D8D">
            <w:pPr>
              <w:jc w:val="right"/>
              <w:rPr>
                <w:sz w:val="20"/>
                <w:szCs w:val="20"/>
              </w:rPr>
            </w:pPr>
            <w:r w:rsidRPr="004F0DF3">
              <w:rPr>
                <w:sz w:val="20"/>
                <w:szCs w:val="20"/>
              </w:rPr>
              <w:t>1862.55741</w:t>
            </w:r>
          </w:p>
        </w:tc>
      </w:tr>
      <w:tr w:rsidR="00CD1D8D" w:rsidRPr="004F0DF3" w14:paraId="7942D671" w14:textId="77777777" w:rsidTr="00CD1D8D">
        <w:trPr>
          <w:cantSplit/>
        </w:trPr>
        <w:tc>
          <w:tcPr>
            <w:tcW w:w="1985" w:type="dxa"/>
            <w:tcBorders>
              <w:top w:val="nil"/>
              <w:left w:val="single" w:sz="16" w:space="0" w:color="000000"/>
              <w:bottom w:val="single" w:sz="16" w:space="0" w:color="000000"/>
              <w:right w:val="single" w:sz="16" w:space="0" w:color="000000"/>
            </w:tcBorders>
            <w:shd w:val="clear" w:color="auto" w:fill="FFFFFF"/>
            <w:vAlign w:val="center"/>
          </w:tcPr>
          <w:p w14:paraId="19CA8E37" w14:textId="77777777" w:rsidR="00CD1D8D" w:rsidRPr="004F0DF3" w:rsidRDefault="00CD1D8D" w:rsidP="00CD1D8D">
            <w:pPr>
              <w:jc w:val="both"/>
              <w:rPr>
                <w:sz w:val="20"/>
                <w:szCs w:val="20"/>
              </w:rPr>
            </w:pPr>
            <w:r w:rsidRPr="004F0DF3">
              <w:rPr>
                <w:sz w:val="20"/>
                <w:szCs w:val="20"/>
              </w:rPr>
              <w:t>Valid N (listwise)</w:t>
            </w:r>
          </w:p>
        </w:tc>
        <w:tc>
          <w:tcPr>
            <w:tcW w:w="992" w:type="dxa"/>
            <w:tcBorders>
              <w:top w:val="nil"/>
              <w:left w:val="single" w:sz="16" w:space="0" w:color="000000"/>
              <w:bottom w:val="single" w:sz="16" w:space="0" w:color="000000"/>
            </w:tcBorders>
            <w:shd w:val="clear" w:color="auto" w:fill="FFFFFF"/>
            <w:vAlign w:val="center"/>
          </w:tcPr>
          <w:p w14:paraId="0ABE9360" w14:textId="77777777" w:rsidR="00CD1D8D" w:rsidRPr="004F0DF3" w:rsidRDefault="00CD1D8D" w:rsidP="00CD1D8D">
            <w:pPr>
              <w:jc w:val="center"/>
              <w:rPr>
                <w:sz w:val="20"/>
                <w:szCs w:val="20"/>
              </w:rPr>
            </w:pPr>
            <w:r w:rsidRPr="004F0DF3">
              <w:rPr>
                <w:sz w:val="20"/>
                <w:szCs w:val="20"/>
              </w:rPr>
              <w:t>68</w:t>
            </w:r>
          </w:p>
        </w:tc>
        <w:tc>
          <w:tcPr>
            <w:tcW w:w="2126" w:type="dxa"/>
            <w:tcBorders>
              <w:top w:val="nil"/>
              <w:bottom w:val="single" w:sz="16" w:space="0" w:color="000000"/>
            </w:tcBorders>
            <w:shd w:val="clear" w:color="auto" w:fill="FFFFFF"/>
          </w:tcPr>
          <w:p w14:paraId="4C28709D" w14:textId="77777777" w:rsidR="00CD1D8D" w:rsidRPr="004F0DF3" w:rsidRDefault="00CD1D8D" w:rsidP="00CD1D8D">
            <w:pPr>
              <w:jc w:val="right"/>
              <w:rPr>
                <w:sz w:val="20"/>
                <w:szCs w:val="20"/>
              </w:rPr>
            </w:pPr>
          </w:p>
        </w:tc>
        <w:tc>
          <w:tcPr>
            <w:tcW w:w="1134" w:type="dxa"/>
            <w:tcBorders>
              <w:top w:val="nil"/>
              <w:bottom w:val="single" w:sz="16" w:space="0" w:color="000000"/>
            </w:tcBorders>
            <w:shd w:val="clear" w:color="auto" w:fill="FFFFFF"/>
          </w:tcPr>
          <w:p w14:paraId="46750D5A" w14:textId="77777777" w:rsidR="00CD1D8D" w:rsidRPr="004F0DF3" w:rsidRDefault="00CD1D8D" w:rsidP="00CD1D8D">
            <w:pPr>
              <w:jc w:val="right"/>
              <w:rPr>
                <w:sz w:val="20"/>
                <w:szCs w:val="20"/>
              </w:rPr>
            </w:pPr>
          </w:p>
        </w:tc>
        <w:tc>
          <w:tcPr>
            <w:tcW w:w="1418" w:type="dxa"/>
            <w:tcBorders>
              <w:top w:val="nil"/>
              <w:bottom w:val="single" w:sz="16" w:space="0" w:color="000000"/>
            </w:tcBorders>
            <w:shd w:val="clear" w:color="auto" w:fill="FFFFFF"/>
          </w:tcPr>
          <w:p w14:paraId="138E1921" w14:textId="77777777" w:rsidR="00CD1D8D" w:rsidRPr="004F0DF3" w:rsidRDefault="00CD1D8D" w:rsidP="00CD1D8D">
            <w:pPr>
              <w:jc w:val="right"/>
              <w:rPr>
                <w:sz w:val="20"/>
                <w:szCs w:val="20"/>
              </w:rPr>
            </w:pPr>
          </w:p>
        </w:tc>
        <w:tc>
          <w:tcPr>
            <w:tcW w:w="1701" w:type="dxa"/>
            <w:tcBorders>
              <w:top w:val="nil"/>
              <w:bottom w:val="single" w:sz="16" w:space="0" w:color="000000"/>
              <w:right w:val="single" w:sz="16" w:space="0" w:color="000000"/>
            </w:tcBorders>
            <w:shd w:val="clear" w:color="auto" w:fill="FFFFFF"/>
          </w:tcPr>
          <w:p w14:paraId="4D66BBE3" w14:textId="77777777" w:rsidR="00CD1D8D" w:rsidRPr="004F0DF3" w:rsidRDefault="00CD1D8D" w:rsidP="00CD1D8D">
            <w:pPr>
              <w:jc w:val="right"/>
              <w:rPr>
                <w:sz w:val="20"/>
                <w:szCs w:val="20"/>
              </w:rPr>
            </w:pPr>
          </w:p>
        </w:tc>
      </w:tr>
    </w:tbl>
    <w:p w14:paraId="1429AB3C" w14:textId="77777777" w:rsidR="00CD1D8D" w:rsidRPr="00E629DC" w:rsidRDefault="00CD1D8D" w:rsidP="00CD1D8D">
      <w:pPr>
        <w:jc w:val="both"/>
        <w:rPr>
          <w:sz w:val="20"/>
          <w:szCs w:val="20"/>
          <w:lang w:val="id-ID"/>
        </w:rPr>
      </w:pPr>
      <w:r w:rsidRPr="00E629DC">
        <w:rPr>
          <w:sz w:val="20"/>
          <w:szCs w:val="20"/>
          <w:lang w:val="id-ID"/>
        </w:rPr>
        <w:t>Sumber: Data Sekunder yang Diolah, 2015</w:t>
      </w:r>
    </w:p>
    <w:p w14:paraId="768892C5" w14:textId="77777777" w:rsidR="0081287C" w:rsidRDefault="0081287C" w:rsidP="00C47253"/>
    <w:p w14:paraId="707394DC" w14:textId="20EA26D3" w:rsidR="0081287C" w:rsidRDefault="00DE08B9" w:rsidP="00DE08B9">
      <w:pPr>
        <w:rPr>
          <w:b/>
        </w:rPr>
      </w:pPr>
      <w:r w:rsidRPr="00DE08B9">
        <w:rPr>
          <w:b/>
        </w:rPr>
        <w:t>Pengujian Persamaan Pertama</w:t>
      </w:r>
    </w:p>
    <w:p w14:paraId="3EB20874" w14:textId="77777777" w:rsidR="00DE08B9" w:rsidRDefault="00DE08B9" w:rsidP="00DE08B9">
      <w:pPr>
        <w:pStyle w:val="ListParagraph"/>
        <w:numPr>
          <w:ilvl w:val="0"/>
          <w:numId w:val="3"/>
        </w:numPr>
        <w:ind w:left="426"/>
      </w:pPr>
      <w:r w:rsidRPr="00DE08B9">
        <w:t>Uji Normalitas</w:t>
      </w:r>
    </w:p>
    <w:p w14:paraId="0C86D2DD" w14:textId="4EFB1FB5" w:rsidR="00DE08B9" w:rsidRDefault="00DE08B9" w:rsidP="00DE08B9">
      <w:pPr>
        <w:ind w:left="426"/>
        <w:jc w:val="both"/>
      </w:pPr>
      <w:proofErr w:type="gramStart"/>
      <w:r w:rsidRPr="00E629DC">
        <w:t xml:space="preserve">Pengujian </w:t>
      </w:r>
      <w:r w:rsidRPr="00DE08B9">
        <w:rPr>
          <w:lang w:val="nb-NO"/>
        </w:rPr>
        <w:t>normalitas</w:t>
      </w:r>
      <w:r w:rsidRPr="00E629DC">
        <w:t xml:space="preserve"> data dengan uji Kolmogorov Smirnov </w:t>
      </w:r>
      <w:r w:rsidRPr="00DE08B9">
        <w:rPr>
          <w:lang w:val="nb-NO"/>
        </w:rPr>
        <w:t>menghasilkan</w:t>
      </w:r>
      <w:r w:rsidRPr="00E629DC">
        <w:t xml:space="preserve"> nilai signifikansi sebesar 0,</w:t>
      </w:r>
      <w:r w:rsidRPr="00DE08B9">
        <w:rPr>
          <w:lang w:val="id-ID"/>
        </w:rPr>
        <w:t>336</w:t>
      </w:r>
      <w:r w:rsidRPr="00E629DC">
        <w:t>.</w:t>
      </w:r>
      <w:proofErr w:type="gramEnd"/>
      <w:r w:rsidRPr="00E629DC">
        <w:t xml:space="preserve"> </w:t>
      </w:r>
      <w:proofErr w:type="gramStart"/>
      <w:r w:rsidRPr="00E629DC">
        <w:t xml:space="preserve">Oleh karena nilai signifikansi tersebut lebih besar dari 0,05 maka dapat disimpulkan pula bahwa </w:t>
      </w:r>
      <w:r w:rsidRPr="00DE08B9">
        <w:rPr>
          <w:lang w:val="id-ID"/>
        </w:rPr>
        <w:t xml:space="preserve">secara statistik juga terbukti bahwa </w:t>
      </w:r>
      <w:r w:rsidRPr="00E629DC">
        <w:t xml:space="preserve">distribusi data </w:t>
      </w:r>
      <w:r w:rsidRPr="00DE08B9">
        <w:rPr>
          <w:lang w:val="id-ID"/>
        </w:rPr>
        <w:t xml:space="preserve">penelitian </w:t>
      </w:r>
      <w:r w:rsidRPr="00E629DC">
        <w:t>adalah normal.</w:t>
      </w:r>
      <w:proofErr w:type="gramEnd"/>
    </w:p>
    <w:p w14:paraId="00AA2F6E" w14:textId="77777777" w:rsidR="00DE08B9" w:rsidRDefault="00DE08B9" w:rsidP="00DE08B9">
      <w:pPr>
        <w:ind w:left="426"/>
        <w:jc w:val="both"/>
      </w:pPr>
    </w:p>
    <w:p w14:paraId="2E0D070F" w14:textId="77777777" w:rsidR="00DE08B9" w:rsidRDefault="00DE08B9" w:rsidP="00DE08B9">
      <w:pPr>
        <w:pStyle w:val="ListParagraph"/>
        <w:numPr>
          <w:ilvl w:val="0"/>
          <w:numId w:val="3"/>
        </w:numPr>
        <w:ind w:left="426"/>
        <w:jc w:val="both"/>
      </w:pPr>
      <w:r>
        <w:t>Uji Multikolinearitas</w:t>
      </w:r>
    </w:p>
    <w:p w14:paraId="15FCFF0E" w14:textId="44D4A20A" w:rsidR="00DE08B9" w:rsidRDefault="00DE08B9" w:rsidP="00DE08B9">
      <w:pPr>
        <w:ind w:left="426"/>
        <w:jc w:val="both"/>
      </w:pPr>
      <w:r w:rsidRPr="00E629DC">
        <w:t xml:space="preserve">Hasil pengujian multikolinieritas yang dilakukan pada </w:t>
      </w:r>
      <w:r w:rsidRPr="00DE08B9">
        <w:rPr>
          <w:lang w:val="id-ID"/>
        </w:rPr>
        <w:t>ketiga</w:t>
      </w:r>
      <w:r w:rsidRPr="00E629DC">
        <w:t xml:space="preserve"> variabel independen (</w:t>
      </w:r>
      <w:r w:rsidRPr="00DE08B9">
        <w:rPr>
          <w:lang w:val="id-ID"/>
        </w:rPr>
        <w:t xml:space="preserve">ROA, </w:t>
      </w:r>
      <w:r w:rsidRPr="00DE08B9">
        <w:rPr>
          <w:i/>
          <w:lang w:val="id-ID"/>
        </w:rPr>
        <w:t>Size</w:t>
      </w:r>
      <w:r w:rsidRPr="00DE08B9">
        <w:rPr>
          <w:lang w:val="id-ID"/>
        </w:rPr>
        <w:t xml:space="preserve">, </w:t>
      </w:r>
      <w:r w:rsidRPr="00DE08B9">
        <w:rPr>
          <w:i/>
          <w:lang w:val="id-ID"/>
        </w:rPr>
        <w:t>Sales Growth</w:t>
      </w:r>
      <w:r w:rsidRPr="00E629DC">
        <w:t xml:space="preserve">) menghasilkan nilai </w:t>
      </w:r>
      <w:r w:rsidRPr="00DE08B9">
        <w:rPr>
          <w:i/>
        </w:rPr>
        <w:t>Tolerance</w:t>
      </w:r>
      <w:r w:rsidRPr="00E629DC">
        <w:t xml:space="preserve"> yang lebih besar dari 0,1 dan nilai </w:t>
      </w:r>
      <w:r w:rsidRPr="00DE08B9">
        <w:rPr>
          <w:i/>
        </w:rPr>
        <w:t xml:space="preserve">Variance Influence </w:t>
      </w:r>
      <w:r w:rsidRPr="00E629DC">
        <w:t xml:space="preserve">Factor (VIF) yang kurang dari 10. </w:t>
      </w:r>
      <w:proofErr w:type="gramStart"/>
      <w:r w:rsidRPr="00E629DC">
        <w:t>Mengacu pada hasil-hasil tersebut maka dapat disimpulkan bahwa diantara variabel independen (bebas) tidak terdapat masalah multikolinieritas.</w:t>
      </w:r>
      <w:proofErr w:type="gramEnd"/>
    </w:p>
    <w:p w14:paraId="29E78543" w14:textId="77777777" w:rsidR="00DE08B9" w:rsidRDefault="00DE08B9" w:rsidP="00DE08B9">
      <w:pPr>
        <w:ind w:left="426"/>
        <w:jc w:val="both"/>
      </w:pPr>
    </w:p>
    <w:p w14:paraId="31F014F6" w14:textId="77777777" w:rsidR="00DE08B9" w:rsidRDefault="00DE08B9" w:rsidP="00DE08B9">
      <w:pPr>
        <w:ind w:left="426"/>
        <w:jc w:val="both"/>
      </w:pPr>
    </w:p>
    <w:p w14:paraId="6260EEFE" w14:textId="77777777" w:rsidR="00DE08B9" w:rsidRDefault="00DE08B9" w:rsidP="00DE08B9">
      <w:pPr>
        <w:ind w:left="426"/>
        <w:jc w:val="both"/>
      </w:pPr>
    </w:p>
    <w:p w14:paraId="3BBD6702" w14:textId="77777777" w:rsidR="00DE08B9" w:rsidRDefault="00DE08B9" w:rsidP="00DE08B9">
      <w:pPr>
        <w:ind w:left="426"/>
        <w:jc w:val="both"/>
      </w:pPr>
    </w:p>
    <w:p w14:paraId="5B13C9CD" w14:textId="77777777" w:rsidR="00DE08B9" w:rsidRDefault="00DE08B9" w:rsidP="00DE08B9">
      <w:pPr>
        <w:ind w:left="426"/>
        <w:jc w:val="both"/>
      </w:pPr>
    </w:p>
    <w:p w14:paraId="3EB092E8" w14:textId="77777777" w:rsidR="00DE08B9" w:rsidRDefault="00DE08B9" w:rsidP="00DE08B9">
      <w:pPr>
        <w:pStyle w:val="ListParagraph"/>
        <w:numPr>
          <w:ilvl w:val="0"/>
          <w:numId w:val="3"/>
        </w:numPr>
        <w:ind w:left="426"/>
        <w:jc w:val="both"/>
      </w:pPr>
      <w:r>
        <w:lastRenderedPageBreak/>
        <w:t>Uji Heterokedastisitas</w:t>
      </w:r>
    </w:p>
    <w:p w14:paraId="58D7CD44" w14:textId="13972EB5" w:rsidR="00DE08B9" w:rsidRDefault="00DE08B9" w:rsidP="00DE08B9">
      <w:pPr>
        <w:ind w:left="426"/>
        <w:jc w:val="both"/>
        <w:rPr>
          <w:lang w:val="id-ID"/>
        </w:rPr>
      </w:pPr>
      <w:r w:rsidRPr="00DE08B9">
        <w:rPr>
          <w:lang w:val="id-ID"/>
        </w:rPr>
        <w:t xml:space="preserve">Mengacu hasil pengujian heteroskedastisitas terlihat bahwa nilai signifikansi pada variabel </w:t>
      </w:r>
      <w:r w:rsidRPr="00DE08B9">
        <w:rPr>
          <w:i/>
          <w:lang w:val="id-ID"/>
        </w:rPr>
        <w:t>Size</w:t>
      </w:r>
      <w:r w:rsidRPr="00DE08B9">
        <w:rPr>
          <w:lang w:val="id-ID"/>
        </w:rPr>
        <w:t xml:space="preserve"> dan </w:t>
      </w:r>
      <w:r w:rsidRPr="00DE08B9">
        <w:rPr>
          <w:i/>
          <w:lang w:val="id-ID"/>
        </w:rPr>
        <w:t>Sales Growth</w:t>
      </w:r>
      <w:r w:rsidRPr="00DE08B9">
        <w:rPr>
          <w:lang w:val="id-ID"/>
        </w:rPr>
        <w:t xml:space="preserve"> yang diuji pengaruhnya terhadap nilai logaritma </w:t>
      </w:r>
      <w:r w:rsidRPr="00DE08B9">
        <w:rPr>
          <w:i/>
          <w:lang w:val="id-ID"/>
        </w:rPr>
        <w:t>natural</w:t>
      </w:r>
      <w:r w:rsidRPr="00DE08B9">
        <w:rPr>
          <w:lang w:val="id-ID"/>
        </w:rPr>
        <w:t xml:space="preserve"> residual adalah lebih besar dari 0,05 sehingga dapat disimpulkan bahwa tidak terdapat masalah heteroskedastisitas pada variabel </w:t>
      </w:r>
      <w:r w:rsidRPr="00DE08B9">
        <w:rPr>
          <w:i/>
          <w:lang w:val="id-ID"/>
        </w:rPr>
        <w:t>Size</w:t>
      </w:r>
      <w:r w:rsidRPr="00DE08B9">
        <w:rPr>
          <w:lang w:val="id-ID"/>
        </w:rPr>
        <w:t xml:space="preserve"> dan </w:t>
      </w:r>
      <w:r w:rsidRPr="00DE08B9">
        <w:rPr>
          <w:i/>
          <w:lang w:val="id-ID"/>
        </w:rPr>
        <w:t>Sales Growth</w:t>
      </w:r>
      <w:r w:rsidRPr="00DE08B9">
        <w:rPr>
          <w:lang w:val="id-ID"/>
        </w:rPr>
        <w:t>. Sedangkan nilai signifikansi pada variabel ROA adalah sebesar 0,005 yang lebih kecil dari 0,05 yang berarti bahwa pada variabel ROA terdapat masalah heteroskedastisitas.</w:t>
      </w:r>
    </w:p>
    <w:p w14:paraId="6C257E4F" w14:textId="77777777" w:rsidR="00DE08B9" w:rsidRDefault="00DE08B9" w:rsidP="00DE08B9">
      <w:pPr>
        <w:ind w:left="426"/>
        <w:jc w:val="both"/>
        <w:rPr>
          <w:lang w:val="id-ID"/>
        </w:rPr>
      </w:pPr>
    </w:p>
    <w:p w14:paraId="6D8FDFB0" w14:textId="77777777" w:rsidR="00DE08B9" w:rsidRDefault="00DE08B9" w:rsidP="00DE08B9">
      <w:pPr>
        <w:pStyle w:val="ListParagraph"/>
        <w:numPr>
          <w:ilvl w:val="0"/>
          <w:numId w:val="3"/>
        </w:numPr>
        <w:ind w:left="426"/>
        <w:jc w:val="both"/>
      </w:pPr>
      <w:r>
        <w:t>Uji Autokorelasi</w:t>
      </w:r>
    </w:p>
    <w:p w14:paraId="6D8A1BC0" w14:textId="43854DB6" w:rsidR="00DE08B9" w:rsidRDefault="00DE08B9" w:rsidP="00DE08B9">
      <w:pPr>
        <w:ind w:left="426"/>
        <w:jc w:val="both"/>
      </w:pPr>
      <w:proofErr w:type="gramStart"/>
      <w:r w:rsidRPr="00E629DC">
        <w:t xml:space="preserve">Hasil perhitungan Durbin Watson Hitung (d) untuk penelitian ini adalah sebesar </w:t>
      </w:r>
      <w:r w:rsidRPr="00DE08B9">
        <w:rPr>
          <w:lang w:val="id-ID"/>
        </w:rPr>
        <w:t>2,226</w:t>
      </w:r>
      <w:r w:rsidRPr="00E629DC">
        <w:t>.</w:t>
      </w:r>
      <w:proofErr w:type="gramEnd"/>
      <w:r w:rsidRPr="00E629DC">
        <w:t xml:space="preserve"> </w:t>
      </w:r>
      <w:proofErr w:type="gramStart"/>
      <w:r w:rsidRPr="00E629DC">
        <w:t xml:space="preserve">Dengan mengacu pada kriteria klasifikasi nilai Durbin Watson di atas maka dapat disimpulkan bahwa dalam penelitian ini </w:t>
      </w:r>
      <w:r w:rsidRPr="00DE08B9">
        <w:rPr>
          <w:lang w:val="id-ID"/>
        </w:rPr>
        <w:t>tidak terdapat masalah autokorelasi</w:t>
      </w:r>
      <w:r w:rsidRPr="00E629DC">
        <w:t>.</w:t>
      </w:r>
      <w:proofErr w:type="gramEnd"/>
    </w:p>
    <w:p w14:paraId="1D52A480" w14:textId="77777777" w:rsidR="00DE08B9" w:rsidRDefault="00DE08B9" w:rsidP="00DE08B9">
      <w:pPr>
        <w:ind w:left="426"/>
        <w:jc w:val="both"/>
      </w:pPr>
    </w:p>
    <w:p w14:paraId="14A80EAE" w14:textId="77777777" w:rsidR="00927484" w:rsidRDefault="00927484" w:rsidP="00DE08B9">
      <w:pPr>
        <w:ind w:left="426"/>
        <w:jc w:val="both"/>
      </w:pPr>
    </w:p>
    <w:p w14:paraId="6F6BC66C" w14:textId="2848A6F3" w:rsidR="00927484" w:rsidRDefault="00DE08B9" w:rsidP="00DE08B9">
      <w:pPr>
        <w:jc w:val="both"/>
        <w:rPr>
          <w:b/>
        </w:rPr>
      </w:pPr>
      <w:r w:rsidRPr="00DE08B9">
        <w:rPr>
          <w:b/>
        </w:rPr>
        <w:t>Hasil Regresi Berganda Persamaan Pertama</w:t>
      </w:r>
    </w:p>
    <w:p w14:paraId="333A1EE9" w14:textId="6CB9A14F" w:rsidR="00927484" w:rsidRDefault="00927484" w:rsidP="00927484">
      <w:pPr>
        <w:pStyle w:val="ListParagraph"/>
        <w:numPr>
          <w:ilvl w:val="0"/>
          <w:numId w:val="5"/>
        </w:numPr>
        <w:ind w:left="426"/>
        <w:jc w:val="both"/>
      </w:pPr>
      <w:r>
        <w:t xml:space="preserve">Uji Kelayakan Model </w:t>
      </w:r>
    </w:p>
    <w:p w14:paraId="3E7AE936" w14:textId="57C09B32" w:rsidR="00927484" w:rsidRDefault="00927484" w:rsidP="00927484">
      <w:pPr>
        <w:ind w:left="426"/>
        <w:jc w:val="both"/>
        <w:rPr>
          <w:lang w:val="id-ID"/>
        </w:rPr>
      </w:pPr>
      <w:r w:rsidRPr="00927484">
        <w:rPr>
          <w:lang w:val="id-ID"/>
        </w:rPr>
        <w:t>P</w:t>
      </w:r>
      <w:r w:rsidRPr="00927484">
        <w:rPr>
          <w:lang w:val="nb-NO"/>
        </w:rPr>
        <w:t xml:space="preserve">engujian kelayakan model </w:t>
      </w:r>
      <w:r w:rsidRPr="00927484">
        <w:rPr>
          <w:lang w:val="id-ID"/>
        </w:rPr>
        <w:t xml:space="preserve">menghasilkan nilai F hitung sebesar 9,151 &gt; F tabel (2,748) dan nilai signifikansi sebesar 0,000 &lt; 0,05. Mengacu pada hasil statistik tersebut </w:t>
      </w:r>
      <w:r w:rsidRPr="00927484">
        <w:rPr>
          <w:lang w:val="nb-NO"/>
        </w:rPr>
        <w:t xml:space="preserve">menunjukkan bahwa variabel independen yang digunakan, yaitu </w:t>
      </w:r>
      <w:r w:rsidRPr="00927484">
        <w:rPr>
          <w:color w:val="000000"/>
          <w:lang w:val="id-ID"/>
        </w:rPr>
        <w:t xml:space="preserve">ROA, </w:t>
      </w:r>
      <w:r w:rsidRPr="00927484">
        <w:rPr>
          <w:i/>
          <w:color w:val="000000"/>
          <w:lang w:val="id-ID"/>
        </w:rPr>
        <w:t>Size</w:t>
      </w:r>
      <w:r w:rsidRPr="00927484">
        <w:rPr>
          <w:color w:val="000000"/>
          <w:lang w:val="id-ID"/>
        </w:rPr>
        <w:t xml:space="preserve">, dan </w:t>
      </w:r>
      <w:r w:rsidRPr="00927484">
        <w:rPr>
          <w:i/>
          <w:color w:val="000000"/>
          <w:lang w:val="id-ID"/>
        </w:rPr>
        <w:t>Sales Growth</w:t>
      </w:r>
      <w:r w:rsidRPr="00927484">
        <w:rPr>
          <w:color w:val="000000"/>
          <w:lang w:val="id-ID"/>
        </w:rPr>
        <w:t xml:space="preserve"> </w:t>
      </w:r>
      <w:r w:rsidRPr="00927484">
        <w:rPr>
          <w:lang w:val="nb-NO"/>
        </w:rPr>
        <w:t xml:space="preserve">merupakan variabel yang tepat/layak untuk menjelaskan terjadinya variasi dalam variabel </w:t>
      </w:r>
      <w:r w:rsidRPr="00927484">
        <w:rPr>
          <w:lang w:val="id-ID"/>
        </w:rPr>
        <w:t>DER.</w:t>
      </w:r>
    </w:p>
    <w:p w14:paraId="160B4ED9" w14:textId="77777777" w:rsidR="00927484" w:rsidRDefault="00927484" w:rsidP="00927484">
      <w:pPr>
        <w:ind w:left="426"/>
        <w:jc w:val="both"/>
        <w:rPr>
          <w:lang w:val="id-ID"/>
        </w:rPr>
      </w:pPr>
    </w:p>
    <w:p w14:paraId="68E1300A" w14:textId="77777777" w:rsidR="00927484" w:rsidRDefault="00927484" w:rsidP="00927484">
      <w:pPr>
        <w:pStyle w:val="ListParagraph"/>
        <w:numPr>
          <w:ilvl w:val="0"/>
          <w:numId w:val="5"/>
        </w:numPr>
        <w:ind w:left="426"/>
        <w:jc w:val="both"/>
      </w:pPr>
      <w:r>
        <w:t>Koefisien Determinasi</w:t>
      </w:r>
    </w:p>
    <w:p w14:paraId="51D3ACA7" w14:textId="21FCD696" w:rsidR="00927484" w:rsidRDefault="00927484" w:rsidP="00927484">
      <w:pPr>
        <w:ind w:left="426"/>
        <w:jc w:val="both"/>
        <w:rPr>
          <w:lang w:val="id-ID"/>
        </w:rPr>
      </w:pPr>
      <w:r w:rsidRPr="00927484">
        <w:rPr>
          <w:lang w:val="id-ID"/>
        </w:rPr>
        <w:t>Koefisien determinasi yang digunakan dalam penelitian ini adalah nilai Adjusted R Square yaitu sebesar 0</w:t>
      </w:r>
      <w:r w:rsidRPr="00E629DC">
        <w:t>,</w:t>
      </w:r>
      <w:r w:rsidRPr="00927484">
        <w:rPr>
          <w:lang w:val="id-ID"/>
        </w:rPr>
        <w:t>267 atau sebesar 26,7%. Hal ini menunjukkan bahwa variabel independen (</w:t>
      </w:r>
      <w:r w:rsidRPr="00927484">
        <w:rPr>
          <w:color w:val="000000"/>
          <w:lang w:val="id-ID"/>
        </w:rPr>
        <w:t xml:space="preserve">ROA, </w:t>
      </w:r>
      <w:r w:rsidRPr="00927484">
        <w:rPr>
          <w:i/>
          <w:color w:val="000000"/>
          <w:lang w:val="id-ID"/>
        </w:rPr>
        <w:t>Size</w:t>
      </w:r>
      <w:r w:rsidRPr="00927484">
        <w:rPr>
          <w:color w:val="000000"/>
          <w:lang w:val="id-ID"/>
        </w:rPr>
        <w:t xml:space="preserve">, dan </w:t>
      </w:r>
      <w:r w:rsidRPr="00927484">
        <w:rPr>
          <w:i/>
          <w:color w:val="000000"/>
          <w:lang w:val="id-ID"/>
        </w:rPr>
        <w:t>Sales Growth</w:t>
      </w:r>
      <w:r w:rsidRPr="00927484">
        <w:rPr>
          <w:lang w:val="id-ID"/>
        </w:rPr>
        <w:t>) mampu menjelaskan variasi yang terjadi pada DER sebesar 26,7%.</w:t>
      </w:r>
    </w:p>
    <w:p w14:paraId="09B4CF55" w14:textId="77777777" w:rsidR="00927484" w:rsidRDefault="00927484" w:rsidP="00927484">
      <w:pPr>
        <w:ind w:left="426"/>
        <w:jc w:val="both"/>
        <w:rPr>
          <w:lang w:val="id-ID"/>
        </w:rPr>
      </w:pPr>
    </w:p>
    <w:p w14:paraId="598810C1" w14:textId="77777777" w:rsidR="00927484" w:rsidRDefault="00927484" w:rsidP="00927484">
      <w:pPr>
        <w:pStyle w:val="ListParagraph"/>
        <w:numPr>
          <w:ilvl w:val="0"/>
          <w:numId w:val="5"/>
        </w:numPr>
        <w:ind w:left="426"/>
        <w:jc w:val="both"/>
      </w:pPr>
      <w:r>
        <w:t>Uji Signifikansi Parsial</w:t>
      </w:r>
    </w:p>
    <w:p w14:paraId="7882AF0A" w14:textId="77777777" w:rsidR="00927484" w:rsidRDefault="00927484" w:rsidP="00927484">
      <w:pPr>
        <w:jc w:val="both"/>
      </w:pPr>
    </w:p>
    <w:p w14:paraId="0BA11CB8" w14:textId="53F7920E" w:rsidR="00927484" w:rsidRPr="00927484" w:rsidRDefault="00927484" w:rsidP="00927484">
      <w:pPr>
        <w:jc w:val="center"/>
      </w:pPr>
      <w:r w:rsidRPr="00927484">
        <w:rPr>
          <w:lang w:val="nb-NO"/>
        </w:rPr>
        <w:t>Hasil Uji Hipotesis</w:t>
      </w:r>
      <w:r w:rsidRPr="00927484">
        <w:rPr>
          <w:lang w:val="id-ID"/>
        </w:rPr>
        <w:t xml:space="preserve"> Persamaan Pertama</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2"/>
        <w:gridCol w:w="1830"/>
        <w:gridCol w:w="1843"/>
        <w:gridCol w:w="1275"/>
        <w:gridCol w:w="1701"/>
        <w:gridCol w:w="1134"/>
        <w:gridCol w:w="851"/>
      </w:tblGrid>
      <w:tr w:rsidR="00927484" w:rsidRPr="00E629DC" w14:paraId="694C90D7" w14:textId="77777777" w:rsidTr="00927484">
        <w:trPr>
          <w:cantSplit/>
          <w:trHeight w:val="331"/>
        </w:trPr>
        <w:tc>
          <w:tcPr>
            <w:tcW w:w="9356" w:type="dxa"/>
            <w:gridSpan w:val="7"/>
            <w:tcBorders>
              <w:top w:val="nil"/>
              <w:left w:val="nil"/>
              <w:bottom w:val="nil"/>
              <w:right w:val="nil"/>
            </w:tcBorders>
            <w:shd w:val="clear" w:color="auto" w:fill="FFFFFF"/>
          </w:tcPr>
          <w:p w14:paraId="3ED76BBA" w14:textId="77777777" w:rsidR="00927484" w:rsidRPr="00E629DC" w:rsidRDefault="00927484" w:rsidP="00927484">
            <w:pPr>
              <w:autoSpaceDE w:val="0"/>
              <w:autoSpaceDN w:val="0"/>
              <w:adjustRightInd w:val="0"/>
              <w:ind w:left="60" w:right="60"/>
              <w:jc w:val="center"/>
              <w:rPr>
                <w:color w:val="000000"/>
                <w:sz w:val="20"/>
                <w:szCs w:val="20"/>
              </w:rPr>
            </w:pPr>
            <w:r w:rsidRPr="00E629DC">
              <w:rPr>
                <w:b/>
                <w:bCs/>
                <w:color w:val="000000"/>
                <w:sz w:val="20"/>
                <w:szCs w:val="20"/>
              </w:rPr>
              <w:t>Coefficients</w:t>
            </w:r>
            <w:r w:rsidRPr="00E629DC">
              <w:rPr>
                <w:b/>
                <w:bCs/>
                <w:color w:val="000000"/>
                <w:sz w:val="20"/>
                <w:szCs w:val="20"/>
                <w:vertAlign w:val="superscript"/>
              </w:rPr>
              <w:t>a</w:t>
            </w:r>
          </w:p>
        </w:tc>
      </w:tr>
      <w:tr w:rsidR="00927484" w:rsidRPr="00E629DC" w14:paraId="7B862AA3" w14:textId="77777777" w:rsidTr="00927484">
        <w:trPr>
          <w:cantSplit/>
          <w:trHeight w:val="633"/>
        </w:trPr>
        <w:tc>
          <w:tcPr>
            <w:tcW w:w="2552" w:type="dxa"/>
            <w:gridSpan w:val="2"/>
            <w:vMerge w:val="restart"/>
            <w:tcBorders>
              <w:top w:val="single" w:sz="16" w:space="0" w:color="000000"/>
              <w:left w:val="single" w:sz="16" w:space="0" w:color="000000"/>
              <w:bottom w:val="nil"/>
              <w:right w:val="nil"/>
            </w:tcBorders>
            <w:shd w:val="clear" w:color="auto" w:fill="FFFFFF"/>
          </w:tcPr>
          <w:p w14:paraId="395D72E1" w14:textId="77777777" w:rsidR="00927484" w:rsidRPr="00E629DC" w:rsidRDefault="00927484" w:rsidP="00927484">
            <w:pPr>
              <w:autoSpaceDE w:val="0"/>
              <w:autoSpaceDN w:val="0"/>
              <w:adjustRightInd w:val="0"/>
              <w:ind w:left="60" w:right="60"/>
              <w:rPr>
                <w:color w:val="000000"/>
                <w:sz w:val="20"/>
                <w:szCs w:val="20"/>
              </w:rPr>
            </w:pPr>
            <w:r w:rsidRPr="00E629DC">
              <w:rPr>
                <w:color w:val="000000"/>
                <w:sz w:val="20"/>
                <w:szCs w:val="20"/>
              </w:rPr>
              <w:t>Model</w:t>
            </w:r>
          </w:p>
        </w:tc>
        <w:tc>
          <w:tcPr>
            <w:tcW w:w="3118" w:type="dxa"/>
            <w:gridSpan w:val="2"/>
            <w:tcBorders>
              <w:top w:val="single" w:sz="16" w:space="0" w:color="000000"/>
              <w:left w:val="single" w:sz="16" w:space="0" w:color="000000"/>
            </w:tcBorders>
            <w:shd w:val="clear" w:color="auto" w:fill="FFFFFF"/>
          </w:tcPr>
          <w:p w14:paraId="510CF55C" w14:textId="77777777" w:rsidR="00927484" w:rsidRPr="00E629DC" w:rsidRDefault="00927484" w:rsidP="00927484">
            <w:pPr>
              <w:autoSpaceDE w:val="0"/>
              <w:autoSpaceDN w:val="0"/>
              <w:adjustRightInd w:val="0"/>
              <w:ind w:left="60" w:right="60"/>
              <w:jc w:val="center"/>
              <w:rPr>
                <w:color w:val="000000"/>
                <w:sz w:val="20"/>
                <w:szCs w:val="20"/>
              </w:rPr>
            </w:pPr>
            <w:r w:rsidRPr="00E629DC">
              <w:rPr>
                <w:color w:val="000000"/>
                <w:sz w:val="20"/>
                <w:szCs w:val="20"/>
              </w:rPr>
              <w:t>Unstandardized Coefficients</w:t>
            </w:r>
          </w:p>
        </w:tc>
        <w:tc>
          <w:tcPr>
            <w:tcW w:w="1701" w:type="dxa"/>
            <w:tcBorders>
              <w:top w:val="single" w:sz="16" w:space="0" w:color="000000"/>
            </w:tcBorders>
            <w:shd w:val="clear" w:color="auto" w:fill="FFFFFF"/>
          </w:tcPr>
          <w:p w14:paraId="792D992B" w14:textId="77777777" w:rsidR="00927484" w:rsidRPr="00E629DC" w:rsidRDefault="00927484" w:rsidP="00927484">
            <w:pPr>
              <w:autoSpaceDE w:val="0"/>
              <w:autoSpaceDN w:val="0"/>
              <w:adjustRightInd w:val="0"/>
              <w:ind w:left="60" w:right="60"/>
              <w:jc w:val="center"/>
              <w:rPr>
                <w:color w:val="000000"/>
                <w:sz w:val="20"/>
                <w:szCs w:val="20"/>
              </w:rPr>
            </w:pPr>
            <w:r w:rsidRPr="00E629DC">
              <w:rPr>
                <w:color w:val="000000"/>
                <w:sz w:val="20"/>
                <w:szCs w:val="20"/>
              </w:rPr>
              <w:t>Standardized Coefficients</w:t>
            </w:r>
          </w:p>
        </w:tc>
        <w:tc>
          <w:tcPr>
            <w:tcW w:w="1134" w:type="dxa"/>
            <w:vMerge w:val="restart"/>
            <w:tcBorders>
              <w:top w:val="single" w:sz="16" w:space="0" w:color="000000"/>
            </w:tcBorders>
            <w:shd w:val="clear" w:color="auto" w:fill="FFFFFF"/>
          </w:tcPr>
          <w:p w14:paraId="655A0326" w14:textId="77777777" w:rsidR="00927484" w:rsidRPr="00E629DC" w:rsidRDefault="00927484" w:rsidP="00927484">
            <w:pPr>
              <w:autoSpaceDE w:val="0"/>
              <w:autoSpaceDN w:val="0"/>
              <w:adjustRightInd w:val="0"/>
              <w:ind w:left="60" w:right="60"/>
              <w:jc w:val="center"/>
              <w:rPr>
                <w:color w:val="000000"/>
                <w:sz w:val="20"/>
                <w:szCs w:val="20"/>
              </w:rPr>
            </w:pPr>
            <w:proofErr w:type="gramStart"/>
            <w:r w:rsidRPr="00E629DC">
              <w:rPr>
                <w:color w:val="000000"/>
                <w:sz w:val="20"/>
                <w:szCs w:val="20"/>
              </w:rPr>
              <w:t>t</w:t>
            </w:r>
            <w:proofErr w:type="gramEnd"/>
          </w:p>
        </w:tc>
        <w:tc>
          <w:tcPr>
            <w:tcW w:w="851" w:type="dxa"/>
            <w:vMerge w:val="restart"/>
            <w:tcBorders>
              <w:top w:val="single" w:sz="16" w:space="0" w:color="000000"/>
              <w:right w:val="single" w:sz="16" w:space="0" w:color="000000"/>
            </w:tcBorders>
            <w:shd w:val="clear" w:color="auto" w:fill="FFFFFF"/>
          </w:tcPr>
          <w:p w14:paraId="4937C4D0" w14:textId="77777777" w:rsidR="00927484" w:rsidRPr="00E629DC" w:rsidRDefault="00927484" w:rsidP="00927484">
            <w:pPr>
              <w:autoSpaceDE w:val="0"/>
              <w:autoSpaceDN w:val="0"/>
              <w:adjustRightInd w:val="0"/>
              <w:ind w:left="60" w:right="60"/>
              <w:jc w:val="center"/>
              <w:rPr>
                <w:color w:val="000000"/>
                <w:sz w:val="20"/>
                <w:szCs w:val="20"/>
              </w:rPr>
            </w:pPr>
            <w:r w:rsidRPr="00E629DC">
              <w:rPr>
                <w:color w:val="000000"/>
                <w:sz w:val="20"/>
                <w:szCs w:val="20"/>
              </w:rPr>
              <w:t>Sig.</w:t>
            </w:r>
          </w:p>
        </w:tc>
      </w:tr>
      <w:tr w:rsidR="00927484" w:rsidRPr="00E629DC" w14:paraId="1F7FDCEA" w14:textId="77777777" w:rsidTr="00927484">
        <w:trPr>
          <w:cantSplit/>
          <w:trHeight w:val="145"/>
        </w:trPr>
        <w:tc>
          <w:tcPr>
            <w:tcW w:w="2552" w:type="dxa"/>
            <w:gridSpan w:val="2"/>
            <w:vMerge/>
            <w:tcBorders>
              <w:top w:val="single" w:sz="16" w:space="0" w:color="000000"/>
              <w:left w:val="single" w:sz="16" w:space="0" w:color="000000"/>
              <w:bottom w:val="nil"/>
              <w:right w:val="nil"/>
            </w:tcBorders>
            <w:shd w:val="clear" w:color="auto" w:fill="FFFFFF"/>
          </w:tcPr>
          <w:p w14:paraId="651EAF91" w14:textId="77777777" w:rsidR="00927484" w:rsidRPr="00E629DC" w:rsidRDefault="00927484" w:rsidP="00927484">
            <w:pPr>
              <w:autoSpaceDE w:val="0"/>
              <w:autoSpaceDN w:val="0"/>
              <w:adjustRightInd w:val="0"/>
              <w:rPr>
                <w:color w:val="000000"/>
                <w:sz w:val="20"/>
                <w:szCs w:val="20"/>
              </w:rPr>
            </w:pPr>
          </w:p>
        </w:tc>
        <w:tc>
          <w:tcPr>
            <w:tcW w:w="1843" w:type="dxa"/>
            <w:tcBorders>
              <w:left w:val="single" w:sz="16" w:space="0" w:color="000000"/>
              <w:bottom w:val="single" w:sz="16" w:space="0" w:color="000000"/>
            </w:tcBorders>
            <w:shd w:val="clear" w:color="auto" w:fill="FFFFFF"/>
          </w:tcPr>
          <w:p w14:paraId="65422D5B" w14:textId="77777777" w:rsidR="00927484" w:rsidRPr="00E629DC" w:rsidRDefault="00927484" w:rsidP="00927484">
            <w:pPr>
              <w:autoSpaceDE w:val="0"/>
              <w:autoSpaceDN w:val="0"/>
              <w:adjustRightInd w:val="0"/>
              <w:ind w:left="60" w:right="60"/>
              <w:jc w:val="center"/>
              <w:rPr>
                <w:color w:val="000000"/>
                <w:sz w:val="20"/>
                <w:szCs w:val="20"/>
              </w:rPr>
            </w:pPr>
            <w:r w:rsidRPr="00E629DC">
              <w:rPr>
                <w:color w:val="000000"/>
                <w:sz w:val="20"/>
                <w:szCs w:val="20"/>
              </w:rPr>
              <w:t>B</w:t>
            </w:r>
          </w:p>
        </w:tc>
        <w:tc>
          <w:tcPr>
            <w:tcW w:w="1275" w:type="dxa"/>
            <w:tcBorders>
              <w:bottom w:val="single" w:sz="16" w:space="0" w:color="000000"/>
            </w:tcBorders>
            <w:shd w:val="clear" w:color="auto" w:fill="FFFFFF"/>
          </w:tcPr>
          <w:p w14:paraId="36D2FA8A" w14:textId="77777777" w:rsidR="00927484" w:rsidRPr="00E629DC" w:rsidRDefault="00927484" w:rsidP="00927484">
            <w:pPr>
              <w:autoSpaceDE w:val="0"/>
              <w:autoSpaceDN w:val="0"/>
              <w:adjustRightInd w:val="0"/>
              <w:ind w:left="60" w:right="60"/>
              <w:jc w:val="center"/>
              <w:rPr>
                <w:color w:val="000000"/>
                <w:sz w:val="20"/>
                <w:szCs w:val="20"/>
              </w:rPr>
            </w:pPr>
            <w:r w:rsidRPr="00E629DC">
              <w:rPr>
                <w:color w:val="000000"/>
                <w:sz w:val="20"/>
                <w:szCs w:val="20"/>
              </w:rPr>
              <w:t>Std. Error</w:t>
            </w:r>
          </w:p>
        </w:tc>
        <w:tc>
          <w:tcPr>
            <w:tcW w:w="1701" w:type="dxa"/>
            <w:tcBorders>
              <w:bottom w:val="single" w:sz="16" w:space="0" w:color="000000"/>
            </w:tcBorders>
            <w:shd w:val="clear" w:color="auto" w:fill="FFFFFF"/>
          </w:tcPr>
          <w:p w14:paraId="56E24AFC" w14:textId="77777777" w:rsidR="00927484" w:rsidRPr="00E629DC" w:rsidRDefault="00927484" w:rsidP="00927484">
            <w:pPr>
              <w:autoSpaceDE w:val="0"/>
              <w:autoSpaceDN w:val="0"/>
              <w:adjustRightInd w:val="0"/>
              <w:ind w:left="60" w:right="60"/>
              <w:jc w:val="center"/>
              <w:rPr>
                <w:color w:val="000000"/>
                <w:sz w:val="20"/>
                <w:szCs w:val="20"/>
              </w:rPr>
            </w:pPr>
            <w:r w:rsidRPr="00E629DC">
              <w:rPr>
                <w:color w:val="000000"/>
                <w:sz w:val="20"/>
                <w:szCs w:val="20"/>
              </w:rPr>
              <w:t>Beta</w:t>
            </w:r>
          </w:p>
        </w:tc>
        <w:tc>
          <w:tcPr>
            <w:tcW w:w="1134" w:type="dxa"/>
            <w:vMerge/>
            <w:tcBorders>
              <w:top w:val="single" w:sz="16" w:space="0" w:color="000000"/>
            </w:tcBorders>
            <w:shd w:val="clear" w:color="auto" w:fill="FFFFFF"/>
          </w:tcPr>
          <w:p w14:paraId="426390FF" w14:textId="77777777" w:rsidR="00927484" w:rsidRPr="00E629DC" w:rsidRDefault="00927484" w:rsidP="00927484">
            <w:pPr>
              <w:autoSpaceDE w:val="0"/>
              <w:autoSpaceDN w:val="0"/>
              <w:adjustRightInd w:val="0"/>
              <w:rPr>
                <w:color w:val="000000"/>
                <w:sz w:val="20"/>
                <w:szCs w:val="20"/>
              </w:rPr>
            </w:pPr>
          </w:p>
        </w:tc>
        <w:tc>
          <w:tcPr>
            <w:tcW w:w="851" w:type="dxa"/>
            <w:vMerge/>
            <w:tcBorders>
              <w:top w:val="single" w:sz="16" w:space="0" w:color="000000"/>
              <w:right w:val="single" w:sz="16" w:space="0" w:color="000000"/>
            </w:tcBorders>
            <w:shd w:val="clear" w:color="auto" w:fill="FFFFFF"/>
          </w:tcPr>
          <w:p w14:paraId="00BE4C40" w14:textId="77777777" w:rsidR="00927484" w:rsidRPr="00E629DC" w:rsidRDefault="00927484" w:rsidP="00927484">
            <w:pPr>
              <w:autoSpaceDE w:val="0"/>
              <w:autoSpaceDN w:val="0"/>
              <w:adjustRightInd w:val="0"/>
              <w:rPr>
                <w:color w:val="000000"/>
                <w:sz w:val="20"/>
                <w:szCs w:val="20"/>
              </w:rPr>
            </w:pPr>
          </w:p>
        </w:tc>
      </w:tr>
      <w:tr w:rsidR="00927484" w:rsidRPr="00E629DC" w14:paraId="3D89DB5B" w14:textId="77777777" w:rsidTr="00927484">
        <w:trPr>
          <w:cantSplit/>
          <w:trHeight w:val="317"/>
        </w:trPr>
        <w:tc>
          <w:tcPr>
            <w:tcW w:w="722" w:type="dxa"/>
            <w:vMerge w:val="restart"/>
            <w:tcBorders>
              <w:top w:val="single" w:sz="16" w:space="0" w:color="000000"/>
              <w:left w:val="single" w:sz="16" w:space="0" w:color="000000"/>
              <w:bottom w:val="single" w:sz="16" w:space="0" w:color="000000"/>
              <w:right w:val="nil"/>
            </w:tcBorders>
            <w:shd w:val="clear" w:color="auto" w:fill="FFFFFF"/>
            <w:vAlign w:val="center"/>
          </w:tcPr>
          <w:p w14:paraId="074AB030" w14:textId="77777777" w:rsidR="00927484" w:rsidRPr="00E629DC" w:rsidRDefault="00927484" w:rsidP="00927484">
            <w:pPr>
              <w:autoSpaceDE w:val="0"/>
              <w:autoSpaceDN w:val="0"/>
              <w:adjustRightInd w:val="0"/>
              <w:ind w:left="60" w:right="60"/>
              <w:rPr>
                <w:color w:val="000000"/>
                <w:sz w:val="20"/>
                <w:szCs w:val="20"/>
              </w:rPr>
            </w:pPr>
            <w:r w:rsidRPr="00E629DC">
              <w:rPr>
                <w:color w:val="000000"/>
                <w:sz w:val="20"/>
                <w:szCs w:val="20"/>
              </w:rPr>
              <w:t>1</w:t>
            </w:r>
          </w:p>
        </w:tc>
        <w:tc>
          <w:tcPr>
            <w:tcW w:w="1830" w:type="dxa"/>
            <w:tcBorders>
              <w:top w:val="single" w:sz="16" w:space="0" w:color="000000"/>
              <w:left w:val="nil"/>
              <w:bottom w:val="nil"/>
              <w:right w:val="single" w:sz="16" w:space="0" w:color="000000"/>
            </w:tcBorders>
            <w:shd w:val="clear" w:color="auto" w:fill="FFFFFF"/>
            <w:vAlign w:val="center"/>
          </w:tcPr>
          <w:p w14:paraId="5755E2BD" w14:textId="77777777" w:rsidR="00927484" w:rsidRPr="00E629DC" w:rsidRDefault="00927484" w:rsidP="00927484">
            <w:pPr>
              <w:autoSpaceDE w:val="0"/>
              <w:autoSpaceDN w:val="0"/>
              <w:adjustRightInd w:val="0"/>
              <w:ind w:left="60" w:right="60"/>
              <w:rPr>
                <w:color w:val="000000"/>
                <w:sz w:val="20"/>
                <w:szCs w:val="20"/>
              </w:rPr>
            </w:pPr>
            <w:r w:rsidRPr="00E629DC">
              <w:rPr>
                <w:color w:val="000000"/>
                <w:sz w:val="20"/>
                <w:szCs w:val="20"/>
              </w:rPr>
              <w:t>(Constant)</w:t>
            </w:r>
          </w:p>
        </w:tc>
        <w:tc>
          <w:tcPr>
            <w:tcW w:w="1843" w:type="dxa"/>
            <w:tcBorders>
              <w:top w:val="single" w:sz="16" w:space="0" w:color="000000"/>
              <w:left w:val="single" w:sz="16" w:space="0" w:color="000000"/>
              <w:bottom w:val="nil"/>
            </w:tcBorders>
            <w:shd w:val="clear" w:color="auto" w:fill="FFFFFF"/>
            <w:vAlign w:val="center"/>
          </w:tcPr>
          <w:p w14:paraId="14E83ED2" w14:textId="77777777" w:rsidR="00927484" w:rsidRPr="00E629DC" w:rsidRDefault="00927484" w:rsidP="00927484">
            <w:pPr>
              <w:autoSpaceDE w:val="0"/>
              <w:autoSpaceDN w:val="0"/>
              <w:adjustRightInd w:val="0"/>
              <w:ind w:left="60" w:right="60"/>
              <w:jc w:val="right"/>
              <w:rPr>
                <w:color w:val="000000"/>
                <w:sz w:val="20"/>
                <w:szCs w:val="20"/>
              </w:rPr>
            </w:pPr>
            <w:r w:rsidRPr="00E629DC">
              <w:rPr>
                <w:color w:val="000000"/>
                <w:sz w:val="20"/>
                <w:szCs w:val="20"/>
              </w:rPr>
              <w:t>-2,406</w:t>
            </w:r>
          </w:p>
        </w:tc>
        <w:tc>
          <w:tcPr>
            <w:tcW w:w="1275" w:type="dxa"/>
            <w:tcBorders>
              <w:top w:val="single" w:sz="16" w:space="0" w:color="000000"/>
              <w:bottom w:val="nil"/>
            </w:tcBorders>
            <w:shd w:val="clear" w:color="auto" w:fill="FFFFFF"/>
            <w:vAlign w:val="center"/>
          </w:tcPr>
          <w:p w14:paraId="2CBECB77" w14:textId="77777777" w:rsidR="00927484" w:rsidRPr="00E629DC" w:rsidRDefault="00927484" w:rsidP="00927484">
            <w:pPr>
              <w:autoSpaceDE w:val="0"/>
              <w:autoSpaceDN w:val="0"/>
              <w:adjustRightInd w:val="0"/>
              <w:ind w:left="60" w:right="60"/>
              <w:jc w:val="right"/>
              <w:rPr>
                <w:color w:val="000000"/>
                <w:sz w:val="20"/>
                <w:szCs w:val="20"/>
              </w:rPr>
            </w:pPr>
            <w:r w:rsidRPr="00E629DC">
              <w:rPr>
                <w:color w:val="000000"/>
                <w:sz w:val="20"/>
                <w:szCs w:val="20"/>
              </w:rPr>
              <w:t>1,197</w:t>
            </w:r>
          </w:p>
        </w:tc>
        <w:tc>
          <w:tcPr>
            <w:tcW w:w="1701" w:type="dxa"/>
            <w:tcBorders>
              <w:top w:val="single" w:sz="16" w:space="0" w:color="000000"/>
              <w:bottom w:val="nil"/>
            </w:tcBorders>
            <w:shd w:val="clear" w:color="auto" w:fill="FFFFFF"/>
          </w:tcPr>
          <w:p w14:paraId="2E907185" w14:textId="77777777" w:rsidR="00927484" w:rsidRPr="00E629DC" w:rsidRDefault="00927484" w:rsidP="00927484">
            <w:pPr>
              <w:autoSpaceDE w:val="0"/>
              <w:autoSpaceDN w:val="0"/>
              <w:adjustRightInd w:val="0"/>
              <w:rPr>
                <w:sz w:val="20"/>
                <w:szCs w:val="20"/>
              </w:rPr>
            </w:pPr>
          </w:p>
        </w:tc>
        <w:tc>
          <w:tcPr>
            <w:tcW w:w="1134" w:type="dxa"/>
            <w:tcBorders>
              <w:top w:val="single" w:sz="16" w:space="0" w:color="000000"/>
              <w:bottom w:val="nil"/>
            </w:tcBorders>
            <w:shd w:val="clear" w:color="auto" w:fill="FFFFFF"/>
            <w:vAlign w:val="center"/>
          </w:tcPr>
          <w:p w14:paraId="765FB442" w14:textId="77777777" w:rsidR="00927484" w:rsidRPr="00E629DC" w:rsidRDefault="00927484" w:rsidP="00927484">
            <w:pPr>
              <w:autoSpaceDE w:val="0"/>
              <w:autoSpaceDN w:val="0"/>
              <w:adjustRightInd w:val="0"/>
              <w:ind w:left="60" w:right="60"/>
              <w:jc w:val="right"/>
              <w:rPr>
                <w:color w:val="000000"/>
                <w:sz w:val="20"/>
                <w:szCs w:val="20"/>
              </w:rPr>
            </w:pPr>
            <w:r w:rsidRPr="00E629DC">
              <w:rPr>
                <w:color w:val="000000"/>
                <w:sz w:val="20"/>
                <w:szCs w:val="20"/>
              </w:rPr>
              <w:t>-2,009</w:t>
            </w:r>
          </w:p>
        </w:tc>
        <w:tc>
          <w:tcPr>
            <w:tcW w:w="851" w:type="dxa"/>
            <w:tcBorders>
              <w:top w:val="single" w:sz="16" w:space="0" w:color="000000"/>
              <w:bottom w:val="nil"/>
              <w:right w:val="single" w:sz="16" w:space="0" w:color="000000"/>
            </w:tcBorders>
            <w:shd w:val="clear" w:color="auto" w:fill="FFFFFF"/>
            <w:vAlign w:val="center"/>
          </w:tcPr>
          <w:p w14:paraId="509349FA" w14:textId="77777777" w:rsidR="00927484" w:rsidRPr="00E629DC" w:rsidRDefault="00927484" w:rsidP="00927484">
            <w:pPr>
              <w:autoSpaceDE w:val="0"/>
              <w:autoSpaceDN w:val="0"/>
              <w:adjustRightInd w:val="0"/>
              <w:ind w:left="60" w:right="60"/>
              <w:jc w:val="right"/>
              <w:rPr>
                <w:color w:val="000000"/>
                <w:sz w:val="20"/>
                <w:szCs w:val="20"/>
              </w:rPr>
            </w:pPr>
            <w:proofErr w:type="gramStart"/>
            <w:r w:rsidRPr="00E629DC">
              <w:rPr>
                <w:color w:val="000000"/>
                <w:sz w:val="20"/>
                <w:szCs w:val="20"/>
              </w:rPr>
              <w:t>,049</w:t>
            </w:r>
            <w:proofErr w:type="gramEnd"/>
          </w:p>
        </w:tc>
      </w:tr>
      <w:tr w:rsidR="00927484" w:rsidRPr="00E629DC" w14:paraId="30BC3741" w14:textId="77777777" w:rsidTr="00927484">
        <w:trPr>
          <w:cantSplit/>
          <w:trHeight w:val="145"/>
        </w:trPr>
        <w:tc>
          <w:tcPr>
            <w:tcW w:w="722" w:type="dxa"/>
            <w:vMerge/>
            <w:tcBorders>
              <w:top w:val="single" w:sz="16" w:space="0" w:color="000000"/>
              <w:left w:val="single" w:sz="16" w:space="0" w:color="000000"/>
              <w:bottom w:val="single" w:sz="16" w:space="0" w:color="000000"/>
              <w:right w:val="nil"/>
            </w:tcBorders>
            <w:shd w:val="clear" w:color="auto" w:fill="FFFFFF"/>
            <w:vAlign w:val="center"/>
          </w:tcPr>
          <w:p w14:paraId="6CB0FC3C" w14:textId="77777777" w:rsidR="00927484" w:rsidRPr="00E629DC" w:rsidRDefault="00927484" w:rsidP="00927484">
            <w:pPr>
              <w:autoSpaceDE w:val="0"/>
              <w:autoSpaceDN w:val="0"/>
              <w:adjustRightInd w:val="0"/>
              <w:rPr>
                <w:color w:val="000000"/>
                <w:sz w:val="20"/>
                <w:szCs w:val="20"/>
              </w:rPr>
            </w:pPr>
          </w:p>
        </w:tc>
        <w:tc>
          <w:tcPr>
            <w:tcW w:w="1830" w:type="dxa"/>
            <w:tcBorders>
              <w:top w:val="nil"/>
              <w:left w:val="nil"/>
              <w:bottom w:val="nil"/>
              <w:right w:val="single" w:sz="16" w:space="0" w:color="000000"/>
            </w:tcBorders>
            <w:shd w:val="clear" w:color="auto" w:fill="FFFFFF"/>
            <w:vAlign w:val="center"/>
          </w:tcPr>
          <w:p w14:paraId="5CC98341" w14:textId="77777777" w:rsidR="00927484" w:rsidRPr="00E629DC" w:rsidRDefault="00927484" w:rsidP="00927484">
            <w:pPr>
              <w:autoSpaceDE w:val="0"/>
              <w:autoSpaceDN w:val="0"/>
              <w:adjustRightInd w:val="0"/>
              <w:ind w:left="60" w:right="60"/>
              <w:rPr>
                <w:color w:val="000000"/>
                <w:sz w:val="20"/>
                <w:szCs w:val="20"/>
              </w:rPr>
            </w:pPr>
            <w:r w:rsidRPr="00E629DC">
              <w:rPr>
                <w:color w:val="000000"/>
                <w:sz w:val="20"/>
                <w:szCs w:val="20"/>
              </w:rPr>
              <w:t>ROA</w:t>
            </w:r>
          </w:p>
        </w:tc>
        <w:tc>
          <w:tcPr>
            <w:tcW w:w="1843" w:type="dxa"/>
            <w:tcBorders>
              <w:top w:val="nil"/>
              <w:left w:val="single" w:sz="16" w:space="0" w:color="000000"/>
              <w:bottom w:val="nil"/>
            </w:tcBorders>
            <w:shd w:val="clear" w:color="auto" w:fill="FFFFFF"/>
            <w:vAlign w:val="center"/>
          </w:tcPr>
          <w:p w14:paraId="39BD3F63" w14:textId="77777777" w:rsidR="00927484" w:rsidRPr="00E629DC" w:rsidRDefault="00927484" w:rsidP="00927484">
            <w:pPr>
              <w:autoSpaceDE w:val="0"/>
              <w:autoSpaceDN w:val="0"/>
              <w:adjustRightInd w:val="0"/>
              <w:ind w:left="60" w:right="60"/>
              <w:jc w:val="right"/>
              <w:rPr>
                <w:color w:val="000000"/>
                <w:sz w:val="20"/>
                <w:szCs w:val="20"/>
              </w:rPr>
            </w:pPr>
            <w:r w:rsidRPr="00E629DC">
              <w:rPr>
                <w:color w:val="000000"/>
                <w:sz w:val="20"/>
                <w:szCs w:val="20"/>
              </w:rPr>
              <w:t>-</w:t>
            </w:r>
            <w:proofErr w:type="gramStart"/>
            <w:r w:rsidRPr="00E629DC">
              <w:rPr>
                <w:color w:val="000000"/>
                <w:sz w:val="20"/>
                <w:szCs w:val="20"/>
              </w:rPr>
              <w:t>,042</w:t>
            </w:r>
            <w:proofErr w:type="gramEnd"/>
          </w:p>
        </w:tc>
        <w:tc>
          <w:tcPr>
            <w:tcW w:w="1275" w:type="dxa"/>
            <w:tcBorders>
              <w:top w:val="nil"/>
              <w:bottom w:val="nil"/>
            </w:tcBorders>
            <w:shd w:val="clear" w:color="auto" w:fill="FFFFFF"/>
            <w:vAlign w:val="center"/>
          </w:tcPr>
          <w:p w14:paraId="2C358C96" w14:textId="77777777" w:rsidR="00927484" w:rsidRPr="00E629DC" w:rsidRDefault="00927484" w:rsidP="00927484">
            <w:pPr>
              <w:autoSpaceDE w:val="0"/>
              <w:autoSpaceDN w:val="0"/>
              <w:adjustRightInd w:val="0"/>
              <w:ind w:left="60" w:right="60"/>
              <w:jc w:val="right"/>
              <w:rPr>
                <w:color w:val="000000"/>
                <w:sz w:val="20"/>
                <w:szCs w:val="20"/>
              </w:rPr>
            </w:pPr>
            <w:proofErr w:type="gramStart"/>
            <w:r w:rsidRPr="00E629DC">
              <w:rPr>
                <w:color w:val="000000"/>
                <w:sz w:val="20"/>
                <w:szCs w:val="20"/>
              </w:rPr>
              <w:t>,009</w:t>
            </w:r>
            <w:proofErr w:type="gramEnd"/>
          </w:p>
        </w:tc>
        <w:tc>
          <w:tcPr>
            <w:tcW w:w="1701" w:type="dxa"/>
            <w:tcBorders>
              <w:top w:val="nil"/>
              <w:bottom w:val="nil"/>
            </w:tcBorders>
            <w:shd w:val="clear" w:color="auto" w:fill="FFFFFF"/>
            <w:vAlign w:val="center"/>
          </w:tcPr>
          <w:p w14:paraId="1D5F253F" w14:textId="77777777" w:rsidR="00927484" w:rsidRPr="00E629DC" w:rsidRDefault="00927484" w:rsidP="00927484">
            <w:pPr>
              <w:autoSpaceDE w:val="0"/>
              <w:autoSpaceDN w:val="0"/>
              <w:adjustRightInd w:val="0"/>
              <w:ind w:left="60" w:right="60"/>
              <w:jc w:val="right"/>
              <w:rPr>
                <w:color w:val="000000"/>
                <w:sz w:val="20"/>
                <w:szCs w:val="20"/>
              </w:rPr>
            </w:pPr>
            <w:r w:rsidRPr="00E629DC">
              <w:rPr>
                <w:color w:val="000000"/>
                <w:sz w:val="20"/>
                <w:szCs w:val="20"/>
              </w:rPr>
              <w:t>-</w:t>
            </w:r>
            <w:proofErr w:type="gramStart"/>
            <w:r w:rsidRPr="00E629DC">
              <w:rPr>
                <w:color w:val="000000"/>
                <w:sz w:val="20"/>
                <w:szCs w:val="20"/>
              </w:rPr>
              <w:t>,474</w:t>
            </w:r>
            <w:proofErr w:type="gramEnd"/>
          </w:p>
        </w:tc>
        <w:tc>
          <w:tcPr>
            <w:tcW w:w="1134" w:type="dxa"/>
            <w:tcBorders>
              <w:top w:val="nil"/>
              <w:bottom w:val="nil"/>
            </w:tcBorders>
            <w:shd w:val="clear" w:color="auto" w:fill="FFFFFF"/>
            <w:vAlign w:val="center"/>
          </w:tcPr>
          <w:p w14:paraId="662491B0" w14:textId="77777777" w:rsidR="00927484" w:rsidRPr="00E629DC" w:rsidRDefault="00927484" w:rsidP="00927484">
            <w:pPr>
              <w:autoSpaceDE w:val="0"/>
              <w:autoSpaceDN w:val="0"/>
              <w:adjustRightInd w:val="0"/>
              <w:ind w:left="60" w:right="60"/>
              <w:jc w:val="right"/>
              <w:rPr>
                <w:color w:val="000000"/>
                <w:sz w:val="20"/>
                <w:szCs w:val="20"/>
              </w:rPr>
            </w:pPr>
            <w:r w:rsidRPr="00E629DC">
              <w:rPr>
                <w:color w:val="000000"/>
                <w:sz w:val="20"/>
                <w:szCs w:val="20"/>
              </w:rPr>
              <w:t>-4,469</w:t>
            </w:r>
          </w:p>
        </w:tc>
        <w:tc>
          <w:tcPr>
            <w:tcW w:w="851" w:type="dxa"/>
            <w:tcBorders>
              <w:top w:val="nil"/>
              <w:bottom w:val="nil"/>
              <w:right w:val="single" w:sz="16" w:space="0" w:color="000000"/>
            </w:tcBorders>
            <w:shd w:val="clear" w:color="auto" w:fill="FFFFFF"/>
            <w:vAlign w:val="center"/>
          </w:tcPr>
          <w:p w14:paraId="23F608CC" w14:textId="77777777" w:rsidR="00927484" w:rsidRPr="00E629DC" w:rsidRDefault="00927484" w:rsidP="00927484">
            <w:pPr>
              <w:autoSpaceDE w:val="0"/>
              <w:autoSpaceDN w:val="0"/>
              <w:adjustRightInd w:val="0"/>
              <w:ind w:left="60" w:right="60"/>
              <w:jc w:val="right"/>
              <w:rPr>
                <w:color w:val="000000"/>
                <w:sz w:val="20"/>
                <w:szCs w:val="20"/>
              </w:rPr>
            </w:pPr>
            <w:proofErr w:type="gramStart"/>
            <w:r w:rsidRPr="00E629DC">
              <w:rPr>
                <w:color w:val="000000"/>
                <w:sz w:val="20"/>
                <w:szCs w:val="20"/>
              </w:rPr>
              <w:t>,000</w:t>
            </w:r>
            <w:proofErr w:type="gramEnd"/>
          </w:p>
        </w:tc>
      </w:tr>
      <w:tr w:rsidR="00927484" w:rsidRPr="00E629DC" w14:paraId="24CFCBAF" w14:textId="77777777" w:rsidTr="00927484">
        <w:trPr>
          <w:cantSplit/>
          <w:trHeight w:val="145"/>
        </w:trPr>
        <w:tc>
          <w:tcPr>
            <w:tcW w:w="722" w:type="dxa"/>
            <w:vMerge/>
            <w:tcBorders>
              <w:top w:val="single" w:sz="16" w:space="0" w:color="000000"/>
              <w:left w:val="single" w:sz="16" w:space="0" w:color="000000"/>
              <w:bottom w:val="single" w:sz="16" w:space="0" w:color="000000"/>
              <w:right w:val="nil"/>
            </w:tcBorders>
            <w:shd w:val="clear" w:color="auto" w:fill="FFFFFF"/>
            <w:vAlign w:val="center"/>
          </w:tcPr>
          <w:p w14:paraId="3FA0747B" w14:textId="77777777" w:rsidR="00927484" w:rsidRPr="00E629DC" w:rsidRDefault="00927484" w:rsidP="00927484">
            <w:pPr>
              <w:autoSpaceDE w:val="0"/>
              <w:autoSpaceDN w:val="0"/>
              <w:adjustRightInd w:val="0"/>
              <w:rPr>
                <w:color w:val="000000"/>
                <w:sz w:val="20"/>
                <w:szCs w:val="20"/>
              </w:rPr>
            </w:pPr>
          </w:p>
        </w:tc>
        <w:tc>
          <w:tcPr>
            <w:tcW w:w="1830" w:type="dxa"/>
            <w:tcBorders>
              <w:top w:val="nil"/>
              <w:left w:val="nil"/>
              <w:bottom w:val="nil"/>
              <w:right w:val="single" w:sz="16" w:space="0" w:color="000000"/>
            </w:tcBorders>
            <w:shd w:val="clear" w:color="auto" w:fill="FFFFFF"/>
            <w:vAlign w:val="center"/>
          </w:tcPr>
          <w:p w14:paraId="09A1718C" w14:textId="77777777" w:rsidR="00927484" w:rsidRPr="00E629DC" w:rsidRDefault="00927484" w:rsidP="00927484">
            <w:pPr>
              <w:autoSpaceDE w:val="0"/>
              <w:autoSpaceDN w:val="0"/>
              <w:adjustRightInd w:val="0"/>
              <w:ind w:left="60" w:right="60"/>
              <w:rPr>
                <w:color w:val="000000"/>
                <w:sz w:val="20"/>
                <w:szCs w:val="20"/>
              </w:rPr>
            </w:pPr>
            <w:r w:rsidRPr="00E629DC">
              <w:rPr>
                <w:color w:val="000000"/>
                <w:sz w:val="20"/>
                <w:szCs w:val="20"/>
              </w:rPr>
              <w:t>SIZE</w:t>
            </w:r>
          </w:p>
        </w:tc>
        <w:tc>
          <w:tcPr>
            <w:tcW w:w="1843" w:type="dxa"/>
            <w:tcBorders>
              <w:top w:val="nil"/>
              <w:left w:val="single" w:sz="16" w:space="0" w:color="000000"/>
              <w:bottom w:val="nil"/>
            </w:tcBorders>
            <w:shd w:val="clear" w:color="auto" w:fill="FFFFFF"/>
            <w:vAlign w:val="center"/>
          </w:tcPr>
          <w:p w14:paraId="118DB9B1" w14:textId="77777777" w:rsidR="00927484" w:rsidRPr="00E629DC" w:rsidRDefault="00927484" w:rsidP="00927484">
            <w:pPr>
              <w:autoSpaceDE w:val="0"/>
              <w:autoSpaceDN w:val="0"/>
              <w:adjustRightInd w:val="0"/>
              <w:ind w:left="60" w:right="60"/>
              <w:jc w:val="right"/>
              <w:rPr>
                <w:color w:val="000000"/>
                <w:sz w:val="20"/>
                <w:szCs w:val="20"/>
              </w:rPr>
            </w:pPr>
            <w:proofErr w:type="gramStart"/>
            <w:r w:rsidRPr="00E629DC">
              <w:rPr>
                <w:color w:val="000000"/>
                <w:sz w:val="20"/>
                <w:szCs w:val="20"/>
              </w:rPr>
              <w:t>,236</w:t>
            </w:r>
            <w:proofErr w:type="gramEnd"/>
          </w:p>
        </w:tc>
        <w:tc>
          <w:tcPr>
            <w:tcW w:w="1275" w:type="dxa"/>
            <w:tcBorders>
              <w:top w:val="nil"/>
              <w:bottom w:val="nil"/>
            </w:tcBorders>
            <w:shd w:val="clear" w:color="auto" w:fill="FFFFFF"/>
            <w:vAlign w:val="center"/>
          </w:tcPr>
          <w:p w14:paraId="051966C3" w14:textId="77777777" w:rsidR="00927484" w:rsidRPr="00E629DC" w:rsidRDefault="00927484" w:rsidP="00927484">
            <w:pPr>
              <w:autoSpaceDE w:val="0"/>
              <w:autoSpaceDN w:val="0"/>
              <w:adjustRightInd w:val="0"/>
              <w:ind w:left="60" w:right="60"/>
              <w:jc w:val="right"/>
              <w:rPr>
                <w:color w:val="000000"/>
                <w:sz w:val="20"/>
                <w:szCs w:val="20"/>
              </w:rPr>
            </w:pPr>
            <w:proofErr w:type="gramStart"/>
            <w:r w:rsidRPr="00E629DC">
              <w:rPr>
                <w:color w:val="000000"/>
                <w:sz w:val="20"/>
                <w:szCs w:val="20"/>
              </w:rPr>
              <w:t>,075</w:t>
            </w:r>
            <w:proofErr w:type="gramEnd"/>
          </w:p>
        </w:tc>
        <w:tc>
          <w:tcPr>
            <w:tcW w:w="1701" w:type="dxa"/>
            <w:tcBorders>
              <w:top w:val="nil"/>
              <w:bottom w:val="nil"/>
            </w:tcBorders>
            <w:shd w:val="clear" w:color="auto" w:fill="FFFFFF"/>
            <w:vAlign w:val="center"/>
          </w:tcPr>
          <w:p w14:paraId="3A8807CE" w14:textId="77777777" w:rsidR="00927484" w:rsidRPr="00E629DC" w:rsidRDefault="00927484" w:rsidP="00927484">
            <w:pPr>
              <w:autoSpaceDE w:val="0"/>
              <w:autoSpaceDN w:val="0"/>
              <w:adjustRightInd w:val="0"/>
              <w:ind w:left="60" w:right="60"/>
              <w:jc w:val="right"/>
              <w:rPr>
                <w:color w:val="000000"/>
                <w:sz w:val="20"/>
                <w:szCs w:val="20"/>
              </w:rPr>
            </w:pPr>
            <w:proofErr w:type="gramStart"/>
            <w:r w:rsidRPr="00E629DC">
              <w:rPr>
                <w:color w:val="000000"/>
                <w:sz w:val="20"/>
                <w:szCs w:val="20"/>
              </w:rPr>
              <w:t>,332</w:t>
            </w:r>
            <w:proofErr w:type="gramEnd"/>
          </w:p>
        </w:tc>
        <w:tc>
          <w:tcPr>
            <w:tcW w:w="1134" w:type="dxa"/>
            <w:tcBorders>
              <w:top w:val="nil"/>
              <w:bottom w:val="nil"/>
            </w:tcBorders>
            <w:shd w:val="clear" w:color="auto" w:fill="FFFFFF"/>
            <w:vAlign w:val="center"/>
          </w:tcPr>
          <w:p w14:paraId="0FA02FD2" w14:textId="77777777" w:rsidR="00927484" w:rsidRPr="00E629DC" w:rsidRDefault="00927484" w:rsidP="00927484">
            <w:pPr>
              <w:autoSpaceDE w:val="0"/>
              <w:autoSpaceDN w:val="0"/>
              <w:adjustRightInd w:val="0"/>
              <w:ind w:left="60" w:right="60"/>
              <w:jc w:val="right"/>
              <w:rPr>
                <w:color w:val="000000"/>
                <w:sz w:val="20"/>
                <w:szCs w:val="20"/>
              </w:rPr>
            </w:pPr>
            <w:r w:rsidRPr="00E629DC">
              <w:rPr>
                <w:color w:val="000000"/>
                <w:sz w:val="20"/>
                <w:szCs w:val="20"/>
              </w:rPr>
              <w:t>3,151</w:t>
            </w:r>
          </w:p>
        </w:tc>
        <w:tc>
          <w:tcPr>
            <w:tcW w:w="851" w:type="dxa"/>
            <w:tcBorders>
              <w:top w:val="nil"/>
              <w:bottom w:val="nil"/>
              <w:right w:val="single" w:sz="16" w:space="0" w:color="000000"/>
            </w:tcBorders>
            <w:shd w:val="clear" w:color="auto" w:fill="FFFFFF"/>
            <w:vAlign w:val="center"/>
          </w:tcPr>
          <w:p w14:paraId="0F5757CB" w14:textId="77777777" w:rsidR="00927484" w:rsidRPr="00E629DC" w:rsidRDefault="00927484" w:rsidP="00927484">
            <w:pPr>
              <w:autoSpaceDE w:val="0"/>
              <w:autoSpaceDN w:val="0"/>
              <w:adjustRightInd w:val="0"/>
              <w:ind w:left="60" w:right="60"/>
              <w:jc w:val="right"/>
              <w:rPr>
                <w:color w:val="000000"/>
                <w:sz w:val="20"/>
                <w:szCs w:val="20"/>
              </w:rPr>
            </w:pPr>
            <w:proofErr w:type="gramStart"/>
            <w:r w:rsidRPr="00E629DC">
              <w:rPr>
                <w:color w:val="000000"/>
                <w:sz w:val="20"/>
                <w:szCs w:val="20"/>
              </w:rPr>
              <w:t>,002</w:t>
            </w:r>
            <w:proofErr w:type="gramEnd"/>
          </w:p>
        </w:tc>
      </w:tr>
      <w:tr w:rsidR="00927484" w:rsidRPr="00E629DC" w14:paraId="43821EB9" w14:textId="77777777" w:rsidTr="00927484">
        <w:trPr>
          <w:cantSplit/>
          <w:trHeight w:val="145"/>
        </w:trPr>
        <w:tc>
          <w:tcPr>
            <w:tcW w:w="722" w:type="dxa"/>
            <w:vMerge/>
            <w:tcBorders>
              <w:top w:val="single" w:sz="16" w:space="0" w:color="000000"/>
              <w:left w:val="single" w:sz="16" w:space="0" w:color="000000"/>
              <w:bottom w:val="single" w:sz="16" w:space="0" w:color="000000"/>
              <w:right w:val="nil"/>
            </w:tcBorders>
            <w:shd w:val="clear" w:color="auto" w:fill="FFFFFF"/>
            <w:vAlign w:val="center"/>
          </w:tcPr>
          <w:p w14:paraId="52C5B03F" w14:textId="77777777" w:rsidR="00927484" w:rsidRPr="00E629DC" w:rsidRDefault="00927484" w:rsidP="00927484">
            <w:pPr>
              <w:autoSpaceDE w:val="0"/>
              <w:autoSpaceDN w:val="0"/>
              <w:adjustRightInd w:val="0"/>
              <w:rPr>
                <w:color w:val="000000"/>
                <w:sz w:val="20"/>
                <w:szCs w:val="20"/>
              </w:rPr>
            </w:pPr>
          </w:p>
        </w:tc>
        <w:tc>
          <w:tcPr>
            <w:tcW w:w="1830" w:type="dxa"/>
            <w:tcBorders>
              <w:top w:val="nil"/>
              <w:left w:val="nil"/>
              <w:bottom w:val="single" w:sz="16" w:space="0" w:color="000000"/>
              <w:right w:val="single" w:sz="16" w:space="0" w:color="000000"/>
            </w:tcBorders>
            <w:shd w:val="clear" w:color="auto" w:fill="FFFFFF"/>
            <w:vAlign w:val="center"/>
          </w:tcPr>
          <w:p w14:paraId="05073928" w14:textId="77777777" w:rsidR="00927484" w:rsidRPr="00E629DC" w:rsidRDefault="00927484" w:rsidP="00927484">
            <w:pPr>
              <w:autoSpaceDE w:val="0"/>
              <w:autoSpaceDN w:val="0"/>
              <w:adjustRightInd w:val="0"/>
              <w:ind w:left="60" w:right="60"/>
              <w:rPr>
                <w:color w:val="000000"/>
                <w:sz w:val="20"/>
                <w:szCs w:val="20"/>
              </w:rPr>
            </w:pPr>
            <w:r w:rsidRPr="00E629DC">
              <w:rPr>
                <w:color w:val="000000"/>
                <w:sz w:val="20"/>
                <w:szCs w:val="20"/>
              </w:rPr>
              <w:t>SALES</w:t>
            </w:r>
          </w:p>
        </w:tc>
        <w:tc>
          <w:tcPr>
            <w:tcW w:w="1843" w:type="dxa"/>
            <w:tcBorders>
              <w:top w:val="nil"/>
              <w:left w:val="single" w:sz="16" w:space="0" w:color="000000"/>
              <w:bottom w:val="single" w:sz="16" w:space="0" w:color="000000"/>
            </w:tcBorders>
            <w:shd w:val="clear" w:color="auto" w:fill="FFFFFF"/>
            <w:vAlign w:val="center"/>
          </w:tcPr>
          <w:p w14:paraId="012865F6" w14:textId="77777777" w:rsidR="00927484" w:rsidRPr="00E629DC" w:rsidRDefault="00927484" w:rsidP="00927484">
            <w:pPr>
              <w:autoSpaceDE w:val="0"/>
              <w:autoSpaceDN w:val="0"/>
              <w:adjustRightInd w:val="0"/>
              <w:ind w:left="60" w:right="60"/>
              <w:jc w:val="right"/>
              <w:rPr>
                <w:color w:val="000000"/>
                <w:sz w:val="20"/>
                <w:szCs w:val="20"/>
              </w:rPr>
            </w:pPr>
            <w:proofErr w:type="gramStart"/>
            <w:r w:rsidRPr="00E629DC">
              <w:rPr>
                <w:color w:val="000000"/>
                <w:sz w:val="20"/>
                <w:szCs w:val="20"/>
              </w:rPr>
              <w:t>,145</w:t>
            </w:r>
            <w:proofErr w:type="gramEnd"/>
          </w:p>
        </w:tc>
        <w:tc>
          <w:tcPr>
            <w:tcW w:w="1275" w:type="dxa"/>
            <w:tcBorders>
              <w:top w:val="nil"/>
              <w:bottom w:val="single" w:sz="16" w:space="0" w:color="000000"/>
            </w:tcBorders>
            <w:shd w:val="clear" w:color="auto" w:fill="FFFFFF"/>
            <w:vAlign w:val="center"/>
          </w:tcPr>
          <w:p w14:paraId="05DC4B36" w14:textId="77777777" w:rsidR="00927484" w:rsidRPr="00E629DC" w:rsidRDefault="00927484" w:rsidP="00927484">
            <w:pPr>
              <w:autoSpaceDE w:val="0"/>
              <w:autoSpaceDN w:val="0"/>
              <w:adjustRightInd w:val="0"/>
              <w:ind w:left="60" w:right="60"/>
              <w:jc w:val="right"/>
              <w:rPr>
                <w:color w:val="000000"/>
                <w:sz w:val="20"/>
                <w:szCs w:val="20"/>
              </w:rPr>
            </w:pPr>
            <w:proofErr w:type="gramStart"/>
            <w:r w:rsidRPr="00E629DC">
              <w:rPr>
                <w:color w:val="000000"/>
                <w:sz w:val="20"/>
                <w:szCs w:val="20"/>
              </w:rPr>
              <w:t>,156</w:t>
            </w:r>
            <w:proofErr w:type="gramEnd"/>
          </w:p>
        </w:tc>
        <w:tc>
          <w:tcPr>
            <w:tcW w:w="1701" w:type="dxa"/>
            <w:tcBorders>
              <w:top w:val="nil"/>
              <w:bottom w:val="single" w:sz="16" w:space="0" w:color="000000"/>
            </w:tcBorders>
            <w:shd w:val="clear" w:color="auto" w:fill="FFFFFF"/>
            <w:vAlign w:val="center"/>
          </w:tcPr>
          <w:p w14:paraId="6F3E1CF9" w14:textId="77777777" w:rsidR="00927484" w:rsidRPr="00E629DC" w:rsidRDefault="00927484" w:rsidP="00927484">
            <w:pPr>
              <w:autoSpaceDE w:val="0"/>
              <w:autoSpaceDN w:val="0"/>
              <w:adjustRightInd w:val="0"/>
              <w:ind w:left="60" w:right="60"/>
              <w:jc w:val="right"/>
              <w:rPr>
                <w:color w:val="000000"/>
                <w:sz w:val="20"/>
                <w:szCs w:val="20"/>
              </w:rPr>
            </w:pPr>
            <w:proofErr w:type="gramStart"/>
            <w:r w:rsidRPr="00E629DC">
              <w:rPr>
                <w:color w:val="000000"/>
                <w:sz w:val="20"/>
                <w:szCs w:val="20"/>
              </w:rPr>
              <w:t>,098</w:t>
            </w:r>
            <w:proofErr w:type="gramEnd"/>
          </w:p>
        </w:tc>
        <w:tc>
          <w:tcPr>
            <w:tcW w:w="1134" w:type="dxa"/>
            <w:tcBorders>
              <w:top w:val="nil"/>
              <w:bottom w:val="single" w:sz="16" w:space="0" w:color="000000"/>
            </w:tcBorders>
            <w:shd w:val="clear" w:color="auto" w:fill="FFFFFF"/>
            <w:vAlign w:val="center"/>
          </w:tcPr>
          <w:p w14:paraId="3CEA774C" w14:textId="77777777" w:rsidR="00927484" w:rsidRPr="00E629DC" w:rsidRDefault="00927484" w:rsidP="00927484">
            <w:pPr>
              <w:autoSpaceDE w:val="0"/>
              <w:autoSpaceDN w:val="0"/>
              <w:adjustRightInd w:val="0"/>
              <w:ind w:left="60" w:right="60"/>
              <w:jc w:val="right"/>
              <w:rPr>
                <w:color w:val="000000"/>
                <w:sz w:val="20"/>
                <w:szCs w:val="20"/>
              </w:rPr>
            </w:pPr>
            <w:proofErr w:type="gramStart"/>
            <w:r w:rsidRPr="00E629DC">
              <w:rPr>
                <w:color w:val="000000"/>
                <w:sz w:val="20"/>
                <w:szCs w:val="20"/>
              </w:rPr>
              <w:t>,926</w:t>
            </w:r>
            <w:proofErr w:type="gramEnd"/>
          </w:p>
        </w:tc>
        <w:tc>
          <w:tcPr>
            <w:tcW w:w="851" w:type="dxa"/>
            <w:tcBorders>
              <w:top w:val="nil"/>
              <w:bottom w:val="single" w:sz="16" w:space="0" w:color="000000"/>
              <w:right w:val="single" w:sz="16" w:space="0" w:color="000000"/>
            </w:tcBorders>
            <w:shd w:val="clear" w:color="auto" w:fill="FFFFFF"/>
            <w:vAlign w:val="center"/>
          </w:tcPr>
          <w:p w14:paraId="09EF7C59" w14:textId="77777777" w:rsidR="00927484" w:rsidRPr="00E629DC" w:rsidRDefault="00927484" w:rsidP="00927484">
            <w:pPr>
              <w:autoSpaceDE w:val="0"/>
              <w:autoSpaceDN w:val="0"/>
              <w:adjustRightInd w:val="0"/>
              <w:ind w:left="60" w:right="60"/>
              <w:jc w:val="right"/>
              <w:rPr>
                <w:color w:val="000000"/>
                <w:sz w:val="20"/>
                <w:szCs w:val="20"/>
              </w:rPr>
            </w:pPr>
            <w:proofErr w:type="gramStart"/>
            <w:r w:rsidRPr="00E629DC">
              <w:rPr>
                <w:color w:val="000000"/>
                <w:sz w:val="20"/>
                <w:szCs w:val="20"/>
              </w:rPr>
              <w:t>,358</w:t>
            </w:r>
            <w:proofErr w:type="gramEnd"/>
          </w:p>
        </w:tc>
      </w:tr>
      <w:tr w:rsidR="00927484" w:rsidRPr="00E629DC" w14:paraId="743DB863" w14:textId="77777777" w:rsidTr="00927484">
        <w:trPr>
          <w:cantSplit/>
          <w:trHeight w:val="317"/>
        </w:trPr>
        <w:tc>
          <w:tcPr>
            <w:tcW w:w="9356" w:type="dxa"/>
            <w:gridSpan w:val="7"/>
            <w:tcBorders>
              <w:top w:val="nil"/>
              <w:left w:val="nil"/>
              <w:bottom w:val="nil"/>
              <w:right w:val="nil"/>
            </w:tcBorders>
            <w:shd w:val="clear" w:color="auto" w:fill="FFFFFF"/>
          </w:tcPr>
          <w:p w14:paraId="71E1887B" w14:textId="77777777" w:rsidR="00927484" w:rsidRPr="00E629DC" w:rsidRDefault="00927484" w:rsidP="00927484">
            <w:pPr>
              <w:autoSpaceDE w:val="0"/>
              <w:autoSpaceDN w:val="0"/>
              <w:adjustRightInd w:val="0"/>
              <w:ind w:left="60" w:right="60"/>
              <w:rPr>
                <w:color w:val="000000"/>
                <w:sz w:val="20"/>
                <w:szCs w:val="20"/>
              </w:rPr>
            </w:pPr>
            <w:r w:rsidRPr="00E629DC">
              <w:rPr>
                <w:color w:val="000000"/>
                <w:sz w:val="20"/>
                <w:szCs w:val="20"/>
              </w:rPr>
              <w:t>a. Dependent Variable: DER</w:t>
            </w:r>
          </w:p>
        </w:tc>
      </w:tr>
    </w:tbl>
    <w:p w14:paraId="61281090" w14:textId="77777777" w:rsidR="00927484" w:rsidRDefault="00927484" w:rsidP="00927484">
      <w:pPr>
        <w:jc w:val="both"/>
      </w:pPr>
    </w:p>
    <w:p w14:paraId="6DD7542D" w14:textId="77777777" w:rsidR="00927484" w:rsidRDefault="00927484" w:rsidP="00927484">
      <w:pPr>
        <w:jc w:val="both"/>
        <w:rPr>
          <w:lang w:val="id-ID"/>
        </w:rPr>
      </w:pPr>
      <w:r w:rsidRPr="00927484">
        <w:rPr>
          <w:lang w:val="nb-NO"/>
        </w:rPr>
        <w:t xml:space="preserve">Berdasarkan hasil pengujian yang dilakukan terhadap variabel </w:t>
      </w:r>
      <w:r w:rsidRPr="00927484">
        <w:rPr>
          <w:lang w:val="id-ID"/>
        </w:rPr>
        <w:t>ROA, Size, Sales Growth, dan DER maka dapat dirumuskan persamaan regresi bergandanya sebagai berikut :</w:t>
      </w:r>
    </w:p>
    <w:p w14:paraId="42B3ABAD" w14:textId="77777777" w:rsidR="00927484" w:rsidRDefault="00927484" w:rsidP="00927484">
      <w:pPr>
        <w:ind w:left="426"/>
        <w:jc w:val="both"/>
        <w:rPr>
          <w:lang w:val="id-ID"/>
        </w:rPr>
      </w:pPr>
    </w:p>
    <w:p w14:paraId="4F2A0E45" w14:textId="78C5434C" w:rsidR="00927484" w:rsidRDefault="00927484" w:rsidP="00927484">
      <w:pPr>
        <w:ind w:left="426"/>
        <w:jc w:val="center"/>
        <w:rPr>
          <w:b/>
          <w:bCs/>
          <w:i/>
          <w:lang w:val="id-ID"/>
        </w:rPr>
      </w:pPr>
      <w:r>
        <w:rPr>
          <w:b/>
          <w:lang w:val="id-ID"/>
        </w:rPr>
        <w:t>DER</w:t>
      </w:r>
      <w:r w:rsidRPr="00E629DC">
        <w:rPr>
          <w:b/>
          <w:lang w:val="id-ID"/>
        </w:rPr>
        <w:t xml:space="preserve"> = -0,474</w:t>
      </w:r>
      <w:r>
        <w:rPr>
          <w:b/>
          <w:lang w:val="id-ID"/>
        </w:rPr>
        <w:t xml:space="preserve"> </w:t>
      </w:r>
      <w:r>
        <w:rPr>
          <w:b/>
          <w:bCs/>
          <w:lang w:val="id-ID"/>
        </w:rPr>
        <w:t xml:space="preserve">ROA + </w:t>
      </w:r>
      <w:r w:rsidRPr="00E629DC">
        <w:rPr>
          <w:b/>
          <w:bCs/>
          <w:noProof/>
          <w:lang w:eastAsia="id-ID"/>
        </w:rPr>
        <w:t>0,</w:t>
      </w:r>
      <w:r w:rsidRPr="00E629DC">
        <w:rPr>
          <w:b/>
          <w:bCs/>
          <w:color w:val="000000"/>
          <w:lang w:val="id-ID"/>
        </w:rPr>
        <w:t>332</w:t>
      </w:r>
      <w:r>
        <w:rPr>
          <w:b/>
          <w:bCs/>
          <w:color w:val="000000"/>
          <w:lang w:val="id-ID"/>
        </w:rPr>
        <w:t xml:space="preserve"> </w:t>
      </w:r>
      <w:r w:rsidRPr="000B3DEE">
        <w:rPr>
          <w:b/>
          <w:bCs/>
          <w:i/>
          <w:lang w:val="id-ID"/>
        </w:rPr>
        <w:t>Size</w:t>
      </w:r>
      <w:r>
        <w:rPr>
          <w:b/>
          <w:bCs/>
          <w:lang w:val="id-ID"/>
        </w:rPr>
        <w:t xml:space="preserve"> </w:t>
      </w:r>
      <w:r w:rsidRPr="00E629DC">
        <w:rPr>
          <w:b/>
          <w:bCs/>
        </w:rPr>
        <w:t xml:space="preserve">+ </w:t>
      </w:r>
      <w:r w:rsidRPr="00E629DC">
        <w:rPr>
          <w:b/>
          <w:bCs/>
          <w:noProof/>
          <w:lang w:eastAsia="id-ID"/>
        </w:rPr>
        <w:t>0,</w:t>
      </w:r>
      <w:r w:rsidRPr="00E629DC">
        <w:rPr>
          <w:b/>
          <w:bCs/>
          <w:color w:val="000000"/>
          <w:lang w:val="id-ID"/>
        </w:rPr>
        <w:t>098</w:t>
      </w:r>
      <w:r>
        <w:rPr>
          <w:b/>
          <w:bCs/>
          <w:lang w:val="id-ID"/>
        </w:rPr>
        <w:t xml:space="preserve"> </w:t>
      </w:r>
      <w:r w:rsidRPr="000B3DEE">
        <w:rPr>
          <w:b/>
          <w:bCs/>
          <w:i/>
          <w:lang w:val="id-ID"/>
        </w:rPr>
        <w:t>Sales Growth</w:t>
      </w:r>
    </w:p>
    <w:p w14:paraId="01CDE970" w14:textId="77777777" w:rsidR="00927484" w:rsidRDefault="00927484" w:rsidP="00927484">
      <w:pPr>
        <w:ind w:left="426"/>
        <w:jc w:val="both"/>
      </w:pPr>
    </w:p>
    <w:p w14:paraId="53811C24" w14:textId="236F40CD" w:rsidR="00927484" w:rsidRPr="0070531E" w:rsidRDefault="0070531E" w:rsidP="0070531E">
      <w:pPr>
        <w:rPr>
          <w:b/>
        </w:rPr>
      </w:pPr>
      <w:r>
        <w:rPr>
          <w:b/>
        </w:rPr>
        <w:lastRenderedPageBreak/>
        <w:t>Pengujian Persamaan Kedua</w:t>
      </w:r>
    </w:p>
    <w:p w14:paraId="3F840150" w14:textId="77777777" w:rsidR="0070531E" w:rsidRDefault="0070531E" w:rsidP="0070531E">
      <w:pPr>
        <w:pStyle w:val="ListParagraph"/>
        <w:numPr>
          <w:ilvl w:val="0"/>
          <w:numId w:val="6"/>
        </w:numPr>
        <w:ind w:left="426"/>
      </w:pPr>
      <w:r w:rsidRPr="00DE08B9">
        <w:t>Uji Normalitas</w:t>
      </w:r>
    </w:p>
    <w:p w14:paraId="32630EEF" w14:textId="4633219E" w:rsidR="0070531E" w:rsidRDefault="0070531E" w:rsidP="0070531E">
      <w:pPr>
        <w:ind w:left="426"/>
        <w:jc w:val="both"/>
      </w:pPr>
      <w:proofErr w:type="gramStart"/>
      <w:r w:rsidRPr="00E629DC">
        <w:t xml:space="preserve">Pengujian </w:t>
      </w:r>
      <w:r w:rsidRPr="0070531E">
        <w:rPr>
          <w:lang w:val="nb-NO"/>
        </w:rPr>
        <w:t>normalitas</w:t>
      </w:r>
      <w:r w:rsidRPr="00E629DC">
        <w:t xml:space="preserve"> data dengan uji Kolmogorov Smirnov </w:t>
      </w:r>
      <w:r w:rsidRPr="0070531E">
        <w:rPr>
          <w:lang w:val="nb-NO"/>
        </w:rPr>
        <w:t>menghasilkan</w:t>
      </w:r>
      <w:r w:rsidRPr="00E629DC">
        <w:t xml:space="preserve"> nilai signifikansi sebesar 0,</w:t>
      </w:r>
      <w:r w:rsidRPr="0070531E">
        <w:rPr>
          <w:lang w:val="id-ID"/>
        </w:rPr>
        <w:t>115</w:t>
      </w:r>
      <w:r w:rsidRPr="00E629DC">
        <w:t>.</w:t>
      </w:r>
      <w:proofErr w:type="gramEnd"/>
      <w:r w:rsidRPr="00E629DC">
        <w:t xml:space="preserve"> </w:t>
      </w:r>
      <w:proofErr w:type="gramStart"/>
      <w:r w:rsidRPr="00E629DC">
        <w:t xml:space="preserve">Oleh karena nilai signifikansi tersebut lebih besar dari 0,05 maka dapat disimpulkan pula bahwa </w:t>
      </w:r>
      <w:r w:rsidRPr="0070531E">
        <w:rPr>
          <w:lang w:val="id-ID"/>
        </w:rPr>
        <w:t xml:space="preserve">secara statistik juga terbukti bahwa </w:t>
      </w:r>
      <w:r w:rsidRPr="00E629DC">
        <w:t xml:space="preserve">distribusi data </w:t>
      </w:r>
      <w:r w:rsidRPr="0070531E">
        <w:rPr>
          <w:lang w:val="id-ID"/>
        </w:rPr>
        <w:t xml:space="preserve">penelitian </w:t>
      </w:r>
      <w:r w:rsidRPr="00E629DC">
        <w:t>adalah normal.</w:t>
      </w:r>
      <w:proofErr w:type="gramEnd"/>
    </w:p>
    <w:p w14:paraId="5C3AA41D" w14:textId="77777777" w:rsidR="0070531E" w:rsidRDefault="0070531E" w:rsidP="0070531E">
      <w:pPr>
        <w:ind w:left="426"/>
        <w:jc w:val="both"/>
      </w:pPr>
    </w:p>
    <w:p w14:paraId="6A74B1F2" w14:textId="77777777" w:rsidR="0070531E" w:rsidRDefault="0070531E" w:rsidP="0070531E">
      <w:pPr>
        <w:pStyle w:val="ListParagraph"/>
        <w:numPr>
          <w:ilvl w:val="0"/>
          <w:numId w:val="7"/>
        </w:numPr>
        <w:ind w:left="426"/>
        <w:jc w:val="both"/>
      </w:pPr>
      <w:r>
        <w:t>Uji Multikolinearitas</w:t>
      </w:r>
    </w:p>
    <w:p w14:paraId="21A95CE6" w14:textId="19DB8BE0" w:rsidR="0070531E" w:rsidRDefault="0070531E" w:rsidP="0070531E">
      <w:pPr>
        <w:ind w:left="426"/>
        <w:jc w:val="both"/>
      </w:pPr>
      <w:proofErr w:type="gramStart"/>
      <w:r w:rsidRPr="00E629DC">
        <w:t xml:space="preserve">Hasil pengujian multikolinieritas yang dilakukan pada </w:t>
      </w:r>
      <w:r w:rsidRPr="0070531E">
        <w:rPr>
          <w:lang w:val="id-ID"/>
        </w:rPr>
        <w:t>keempat</w:t>
      </w:r>
      <w:r w:rsidRPr="00E629DC">
        <w:t xml:space="preserve"> variabel independen (</w:t>
      </w:r>
      <w:r w:rsidRPr="0070531E">
        <w:rPr>
          <w:lang w:val="id-ID"/>
        </w:rPr>
        <w:t xml:space="preserve">ROA, </w:t>
      </w:r>
      <w:r w:rsidRPr="0070531E">
        <w:rPr>
          <w:i/>
          <w:lang w:val="id-ID"/>
        </w:rPr>
        <w:t>Size</w:t>
      </w:r>
      <w:r w:rsidRPr="0070531E">
        <w:rPr>
          <w:lang w:val="id-ID"/>
        </w:rPr>
        <w:t xml:space="preserve">, </w:t>
      </w:r>
      <w:r w:rsidRPr="0070531E">
        <w:rPr>
          <w:i/>
          <w:lang w:val="id-ID"/>
        </w:rPr>
        <w:t>Sales Growth</w:t>
      </w:r>
      <w:r w:rsidRPr="0070531E">
        <w:rPr>
          <w:lang w:val="id-ID"/>
        </w:rPr>
        <w:t xml:space="preserve"> dan DER</w:t>
      </w:r>
      <w:r w:rsidRPr="00E629DC">
        <w:t xml:space="preserve">) menghasilkan nilai Tolerance yang lebih besar dari 0,1 dan nilai </w:t>
      </w:r>
      <w:r w:rsidRPr="0070531E">
        <w:rPr>
          <w:i/>
        </w:rPr>
        <w:t>Variance Influence Factor</w:t>
      </w:r>
      <w:r w:rsidRPr="00E629DC">
        <w:t xml:space="preserve"> (VIF) yang kurang dari 10.</w:t>
      </w:r>
      <w:proofErr w:type="gramEnd"/>
      <w:r w:rsidRPr="00E629DC">
        <w:t xml:space="preserve"> </w:t>
      </w:r>
      <w:proofErr w:type="gramStart"/>
      <w:r w:rsidRPr="00E629DC">
        <w:t>Mengacu pada hasil-hasil tersebut maka dapat disimpulkan bahwa diantara variabel independen (bebas) tidak terdapat masalah multikolinieritas.</w:t>
      </w:r>
      <w:proofErr w:type="gramEnd"/>
    </w:p>
    <w:p w14:paraId="0815EB19" w14:textId="77777777" w:rsidR="0070531E" w:rsidRDefault="0070531E" w:rsidP="0070531E">
      <w:pPr>
        <w:ind w:left="426"/>
        <w:jc w:val="both"/>
      </w:pPr>
    </w:p>
    <w:p w14:paraId="7327570E" w14:textId="77777777" w:rsidR="0070531E" w:rsidRDefault="0070531E" w:rsidP="0070531E">
      <w:pPr>
        <w:pStyle w:val="ListParagraph"/>
        <w:numPr>
          <w:ilvl w:val="0"/>
          <w:numId w:val="7"/>
        </w:numPr>
        <w:ind w:left="426"/>
        <w:jc w:val="both"/>
      </w:pPr>
      <w:r>
        <w:t>Uji Heterokedastisitas</w:t>
      </w:r>
    </w:p>
    <w:p w14:paraId="4DE8E1EA" w14:textId="45575290" w:rsidR="0070531E" w:rsidRDefault="0070531E" w:rsidP="0070531E">
      <w:pPr>
        <w:ind w:left="426"/>
        <w:jc w:val="both"/>
        <w:rPr>
          <w:lang w:val="id-ID"/>
        </w:rPr>
      </w:pPr>
      <w:r w:rsidRPr="0070531E">
        <w:rPr>
          <w:lang w:val="id-ID"/>
        </w:rPr>
        <w:t xml:space="preserve">Mengacu hasil pengujian heteroskedastisitas terlihat bahwa nilai signifikansi variabel-variabel ROA, </w:t>
      </w:r>
      <w:r w:rsidRPr="0070531E">
        <w:rPr>
          <w:i/>
          <w:lang w:val="id-ID"/>
        </w:rPr>
        <w:t>Size</w:t>
      </w:r>
      <w:r w:rsidRPr="0070531E">
        <w:rPr>
          <w:lang w:val="id-ID"/>
        </w:rPr>
        <w:t xml:space="preserve">, </w:t>
      </w:r>
      <w:r w:rsidRPr="0070531E">
        <w:rPr>
          <w:i/>
          <w:lang w:val="id-ID"/>
        </w:rPr>
        <w:t>Sales</w:t>
      </w:r>
      <w:r w:rsidRPr="0070531E">
        <w:rPr>
          <w:lang w:val="id-ID"/>
        </w:rPr>
        <w:t xml:space="preserve"> </w:t>
      </w:r>
      <w:r w:rsidRPr="0070531E">
        <w:rPr>
          <w:i/>
          <w:lang w:val="id-ID"/>
        </w:rPr>
        <w:t>Growth</w:t>
      </w:r>
      <w:r w:rsidRPr="0070531E">
        <w:rPr>
          <w:lang w:val="id-ID"/>
        </w:rPr>
        <w:t xml:space="preserve">, dan DER yang diuji pengaruhnya terhadap nilai logaritma </w:t>
      </w:r>
      <w:r w:rsidRPr="0070531E">
        <w:rPr>
          <w:i/>
          <w:lang w:val="id-ID"/>
        </w:rPr>
        <w:t xml:space="preserve">natural </w:t>
      </w:r>
      <w:r w:rsidRPr="0070531E">
        <w:rPr>
          <w:lang w:val="id-ID"/>
        </w:rPr>
        <w:t xml:space="preserve">residual adalah lebih besar dari 0,05 sehingga dapat disimpulkan bahwa tidak terdapat masalah heteroskedastisitas pada variabel ROA, </w:t>
      </w:r>
      <w:r w:rsidRPr="0070531E">
        <w:rPr>
          <w:i/>
          <w:lang w:val="id-ID"/>
        </w:rPr>
        <w:t>Size</w:t>
      </w:r>
      <w:r w:rsidRPr="0070531E">
        <w:rPr>
          <w:lang w:val="id-ID"/>
        </w:rPr>
        <w:t xml:space="preserve">, </w:t>
      </w:r>
      <w:r w:rsidRPr="0070531E">
        <w:rPr>
          <w:i/>
          <w:lang w:val="id-ID"/>
        </w:rPr>
        <w:t>Sales</w:t>
      </w:r>
      <w:r w:rsidRPr="0070531E">
        <w:rPr>
          <w:lang w:val="id-ID"/>
        </w:rPr>
        <w:t xml:space="preserve"> </w:t>
      </w:r>
      <w:r w:rsidRPr="0070531E">
        <w:rPr>
          <w:i/>
          <w:lang w:val="id-ID"/>
        </w:rPr>
        <w:t>Growth</w:t>
      </w:r>
      <w:r w:rsidRPr="0070531E">
        <w:rPr>
          <w:lang w:val="id-ID"/>
        </w:rPr>
        <w:t xml:space="preserve">, dan DER. </w:t>
      </w:r>
    </w:p>
    <w:p w14:paraId="00883EC5" w14:textId="77777777" w:rsidR="00CF0B86" w:rsidRDefault="00CF0B86" w:rsidP="0070531E">
      <w:pPr>
        <w:ind w:left="426"/>
        <w:jc w:val="both"/>
        <w:rPr>
          <w:lang w:val="id-ID"/>
        </w:rPr>
      </w:pPr>
    </w:p>
    <w:p w14:paraId="22963D91" w14:textId="77777777" w:rsidR="00CF0B86" w:rsidRDefault="00CF0B86" w:rsidP="00CF0B86">
      <w:pPr>
        <w:pStyle w:val="ListParagraph"/>
        <w:numPr>
          <w:ilvl w:val="0"/>
          <w:numId w:val="7"/>
        </w:numPr>
        <w:ind w:left="426"/>
        <w:jc w:val="both"/>
      </w:pPr>
      <w:r>
        <w:t>Uji Autokorelasi</w:t>
      </w:r>
    </w:p>
    <w:p w14:paraId="5C0B8489" w14:textId="4099A53B" w:rsidR="0070531E" w:rsidRDefault="00CF0B86" w:rsidP="00CF0B86">
      <w:pPr>
        <w:ind w:left="426"/>
        <w:jc w:val="both"/>
      </w:pPr>
      <w:proofErr w:type="gramStart"/>
      <w:r w:rsidRPr="00E629DC">
        <w:t xml:space="preserve">Hasil perhitungan Durbin Watson Hitung (d) untuk penelitian ini adalah sebesar </w:t>
      </w:r>
      <w:r w:rsidRPr="00CF0B86">
        <w:rPr>
          <w:lang w:val="id-ID"/>
        </w:rPr>
        <w:t>2,186</w:t>
      </w:r>
      <w:r w:rsidRPr="00E629DC">
        <w:t>.</w:t>
      </w:r>
      <w:proofErr w:type="gramEnd"/>
      <w:r w:rsidRPr="00E629DC">
        <w:t xml:space="preserve"> </w:t>
      </w:r>
      <w:proofErr w:type="gramStart"/>
      <w:r w:rsidRPr="00E629DC">
        <w:t xml:space="preserve">Dengan mengacu pada kriteria klasifikasi nilai Durbin Watson di atas maka dapat disimpulkan bahwa dalam </w:t>
      </w:r>
      <w:r w:rsidRPr="00CF0B86">
        <w:rPr>
          <w:lang w:val="id-ID"/>
        </w:rPr>
        <w:t>persamaan kedua</w:t>
      </w:r>
      <w:r w:rsidRPr="00E629DC">
        <w:t xml:space="preserve"> ini </w:t>
      </w:r>
      <w:r w:rsidRPr="00CF0B86">
        <w:rPr>
          <w:lang w:val="id-ID"/>
        </w:rPr>
        <w:t>tidak terdapat masalah autokorelasi.</w:t>
      </w:r>
      <w:proofErr w:type="gramEnd"/>
    </w:p>
    <w:p w14:paraId="6164A2DF" w14:textId="77777777" w:rsidR="00CF0B86" w:rsidRDefault="00CF0B86" w:rsidP="00CF0B86">
      <w:pPr>
        <w:ind w:left="426"/>
        <w:jc w:val="both"/>
      </w:pPr>
    </w:p>
    <w:p w14:paraId="7DFF98A9" w14:textId="77777777" w:rsidR="00CF0B86" w:rsidRDefault="00CF0B86" w:rsidP="00CF0B86">
      <w:pPr>
        <w:ind w:left="426"/>
        <w:jc w:val="both"/>
      </w:pPr>
    </w:p>
    <w:p w14:paraId="6CC92811" w14:textId="10D07B50" w:rsidR="00CF0B86" w:rsidRDefault="00CF0B86" w:rsidP="00CF0B86">
      <w:pPr>
        <w:jc w:val="both"/>
        <w:rPr>
          <w:b/>
        </w:rPr>
      </w:pPr>
      <w:r w:rsidRPr="00DE08B9">
        <w:rPr>
          <w:b/>
        </w:rPr>
        <w:t>Hasil R</w:t>
      </w:r>
      <w:r>
        <w:rPr>
          <w:b/>
        </w:rPr>
        <w:t>egresi Berganda Persamaan Kedua</w:t>
      </w:r>
    </w:p>
    <w:p w14:paraId="297045D3" w14:textId="77777777" w:rsidR="004A30A6" w:rsidRDefault="004A30A6" w:rsidP="004A30A6">
      <w:pPr>
        <w:pStyle w:val="ListParagraph"/>
        <w:numPr>
          <w:ilvl w:val="0"/>
          <w:numId w:val="8"/>
        </w:numPr>
        <w:ind w:left="426"/>
        <w:jc w:val="both"/>
      </w:pPr>
      <w:r>
        <w:t>Uji Kelayakan Model</w:t>
      </w:r>
    </w:p>
    <w:p w14:paraId="414D776C" w14:textId="53336DB1" w:rsidR="004A30A6" w:rsidRDefault="004A30A6" w:rsidP="004A30A6">
      <w:pPr>
        <w:ind w:left="426"/>
        <w:jc w:val="both"/>
        <w:rPr>
          <w:lang w:val="nb-NO"/>
        </w:rPr>
      </w:pPr>
      <w:r w:rsidRPr="004A30A6">
        <w:rPr>
          <w:lang w:val="nb-NO"/>
        </w:rPr>
        <w:t xml:space="preserve">Pengujian kelayakan model dilakukan </w:t>
      </w:r>
      <w:r w:rsidRPr="004A30A6">
        <w:rPr>
          <w:lang w:val="id-ID"/>
        </w:rPr>
        <w:t xml:space="preserve">menghasilkan nilai F hitung sebesar 56,857 yang lebih besar dari F tabel sebesar 2,517 dan nilai signifikansi sebesar 0,000 yang lebih kecil dari 0,05. Mengacu pada hasil statistik tersebut maka dapat disimpulkan bahwa </w:t>
      </w:r>
      <w:r w:rsidRPr="004A30A6">
        <w:rPr>
          <w:lang w:val="nb-NO"/>
        </w:rPr>
        <w:t xml:space="preserve">variabel independen yang digunakan, yaitu </w:t>
      </w:r>
      <w:r w:rsidRPr="004A30A6">
        <w:rPr>
          <w:color w:val="000000"/>
          <w:lang w:val="id-ID"/>
        </w:rPr>
        <w:t xml:space="preserve">ROA, Size, Sales Growth dan DER </w:t>
      </w:r>
      <w:r w:rsidRPr="004A30A6">
        <w:rPr>
          <w:lang w:val="nb-NO"/>
        </w:rPr>
        <w:t xml:space="preserve">merupakan variabel yang tepat/layak untuk menjelaskan terjadinya variasi dalam variabel </w:t>
      </w:r>
      <w:r w:rsidRPr="004A30A6">
        <w:rPr>
          <w:lang w:val="id-ID"/>
        </w:rPr>
        <w:t>PBV</w:t>
      </w:r>
      <w:r w:rsidRPr="004A30A6">
        <w:rPr>
          <w:lang w:val="nb-NO"/>
        </w:rPr>
        <w:t>.</w:t>
      </w:r>
    </w:p>
    <w:p w14:paraId="4A747AF4" w14:textId="77777777" w:rsidR="004A30A6" w:rsidRDefault="004A30A6" w:rsidP="004A30A6">
      <w:pPr>
        <w:ind w:left="426"/>
        <w:jc w:val="both"/>
        <w:rPr>
          <w:lang w:val="nb-NO"/>
        </w:rPr>
      </w:pPr>
    </w:p>
    <w:p w14:paraId="70F40369" w14:textId="77777777" w:rsidR="004A30A6" w:rsidRDefault="004A30A6" w:rsidP="004A30A6">
      <w:pPr>
        <w:pStyle w:val="ListParagraph"/>
        <w:numPr>
          <w:ilvl w:val="0"/>
          <w:numId w:val="8"/>
        </w:numPr>
        <w:ind w:left="426"/>
        <w:jc w:val="both"/>
      </w:pPr>
      <w:r>
        <w:t>Koefisien Determinasi</w:t>
      </w:r>
    </w:p>
    <w:p w14:paraId="5EDF0204" w14:textId="2C5D4F29" w:rsidR="004A30A6" w:rsidRDefault="004A30A6" w:rsidP="004A30A6">
      <w:pPr>
        <w:ind w:left="426"/>
        <w:jc w:val="both"/>
        <w:rPr>
          <w:lang w:val="id-ID"/>
        </w:rPr>
      </w:pPr>
      <w:r w:rsidRPr="004A30A6">
        <w:rPr>
          <w:lang w:val="id-ID"/>
        </w:rPr>
        <w:t>Koefisien determinasi yang digunakan dalam penelitian ini adalah nilai Adjusted R Square yaitu sebesar 0</w:t>
      </w:r>
      <w:r w:rsidRPr="00E629DC">
        <w:t>,</w:t>
      </w:r>
      <w:r w:rsidRPr="004A30A6">
        <w:rPr>
          <w:lang w:val="id-ID"/>
        </w:rPr>
        <w:t>259 atau sebesar 25,9%. Hal ini menunjukkan bahwa variabel independen (</w:t>
      </w:r>
      <w:r w:rsidRPr="004A30A6">
        <w:rPr>
          <w:color w:val="000000"/>
          <w:lang w:val="id-ID"/>
        </w:rPr>
        <w:t>ROA, Size, Sales Growthdan DER</w:t>
      </w:r>
      <w:r w:rsidRPr="004A30A6">
        <w:rPr>
          <w:lang w:val="id-ID"/>
        </w:rPr>
        <w:t>) mampu menjelaskan variasi yang terjadi pada PBV sebesar 25,9%.</w:t>
      </w:r>
    </w:p>
    <w:p w14:paraId="4D75ED50" w14:textId="77777777" w:rsidR="004A30A6" w:rsidRDefault="004A30A6" w:rsidP="004A30A6">
      <w:pPr>
        <w:ind w:left="426"/>
        <w:jc w:val="both"/>
        <w:rPr>
          <w:lang w:val="id-ID"/>
        </w:rPr>
      </w:pPr>
    </w:p>
    <w:p w14:paraId="401DF8D1" w14:textId="77777777" w:rsidR="004A30A6" w:rsidRDefault="004A30A6" w:rsidP="004A30A6">
      <w:pPr>
        <w:ind w:left="426"/>
        <w:jc w:val="both"/>
        <w:rPr>
          <w:lang w:val="id-ID"/>
        </w:rPr>
      </w:pPr>
    </w:p>
    <w:p w14:paraId="58DF5333" w14:textId="77777777" w:rsidR="004A30A6" w:rsidRDefault="004A30A6" w:rsidP="004A30A6">
      <w:pPr>
        <w:ind w:left="426"/>
        <w:jc w:val="both"/>
        <w:rPr>
          <w:lang w:val="id-ID"/>
        </w:rPr>
      </w:pPr>
    </w:p>
    <w:p w14:paraId="0A87AD3D" w14:textId="77777777" w:rsidR="004A30A6" w:rsidRDefault="004A30A6" w:rsidP="004A30A6">
      <w:pPr>
        <w:ind w:left="426"/>
        <w:jc w:val="both"/>
        <w:rPr>
          <w:lang w:val="id-ID"/>
        </w:rPr>
      </w:pPr>
    </w:p>
    <w:p w14:paraId="120DAB3F" w14:textId="77777777" w:rsidR="004A30A6" w:rsidRDefault="004A30A6" w:rsidP="004A30A6">
      <w:pPr>
        <w:ind w:left="426"/>
        <w:jc w:val="both"/>
        <w:rPr>
          <w:lang w:val="id-ID"/>
        </w:rPr>
      </w:pPr>
    </w:p>
    <w:p w14:paraId="316F3833" w14:textId="77777777" w:rsidR="004A30A6" w:rsidRDefault="004A30A6" w:rsidP="004A30A6">
      <w:pPr>
        <w:ind w:left="426"/>
        <w:jc w:val="both"/>
        <w:rPr>
          <w:lang w:val="id-ID"/>
        </w:rPr>
      </w:pPr>
    </w:p>
    <w:p w14:paraId="22763005" w14:textId="77777777" w:rsidR="004A30A6" w:rsidRDefault="004A30A6" w:rsidP="004A30A6">
      <w:pPr>
        <w:ind w:left="426"/>
        <w:jc w:val="both"/>
        <w:rPr>
          <w:lang w:val="id-ID"/>
        </w:rPr>
      </w:pPr>
    </w:p>
    <w:p w14:paraId="2B1CE23F" w14:textId="624560E1" w:rsidR="004A30A6" w:rsidRDefault="004A30A6" w:rsidP="004A30A6">
      <w:pPr>
        <w:pStyle w:val="ListParagraph"/>
        <w:numPr>
          <w:ilvl w:val="0"/>
          <w:numId w:val="8"/>
        </w:numPr>
        <w:ind w:left="426"/>
        <w:jc w:val="both"/>
      </w:pPr>
      <w:r>
        <w:lastRenderedPageBreak/>
        <w:t>Uji Signifikansi Parsial</w:t>
      </w:r>
    </w:p>
    <w:p w14:paraId="6EBC5ACC" w14:textId="77777777" w:rsidR="004A30A6" w:rsidRDefault="004A30A6" w:rsidP="004A30A6">
      <w:pPr>
        <w:jc w:val="both"/>
      </w:pPr>
    </w:p>
    <w:p w14:paraId="0E4A030D" w14:textId="5253AA62" w:rsidR="004A30A6" w:rsidRPr="004A30A6" w:rsidRDefault="004A30A6" w:rsidP="004A30A6">
      <w:pPr>
        <w:jc w:val="center"/>
        <w:rPr>
          <w:b/>
          <w:lang w:val="id-ID"/>
        </w:rPr>
      </w:pPr>
      <w:r w:rsidRPr="004A30A6">
        <w:rPr>
          <w:b/>
          <w:lang w:val="nb-NO"/>
        </w:rPr>
        <w:t>Hasil Uji Hipotesis</w:t>
      </w:r>
      <w:r w:rsidRPr="004A30A6">
        <w:rPr>
          <w:b/>
          <w:lang w:val="id-ID"/>
        </w:rPr>
        <w:t xml:space="preserve"> Persamaan Kedua</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1"/>
        <w:gridCol w:w="1499"/>
        <w:gridCol w:w="1418"/>
        <w:gridCol w:w="1275"/>
        <w:gridCol w:w="1560"/>
        <w:gridCol w:w="1134"/>
        <w:gridCol w:w="1559"/>
      </w:tblGrid>
      <w:tr w:rsidR="004A30A6" w14:paraId="35F3987A" w14:textId="77777777" w:rsidTr="004A30A6">
        <w:trPr>
          <w:cantSplit/>
        </w:trPr>
        <w:tc>
          <w:tcPr>
            <w:tcW w:w="9356" w:type="dxa"/>
            <w:gridSpan w:val="7"/>
            <w:tcBorders>
              <w:top w:val="nil"/>
              <w:left w:val="nil"/>
              <w:bottom w:val="nil"/>
              <w:right w:val="nil"/>
            </w:tcBorders>
            <w:shd w:val="clear" w:color="auto" w:fill="FFFFFF"/>
          </w:tcPr>
          <w:p w14:paraId="4863C118" w14:textId="77777777" w:rsidR="004A30A6" w:rsidRDefault="004A30A6" w:rsidP="004A30A6">
            <w:pPr>
              <w:ind w:left="60" w:right="60"/>
              <w:jc w:val="center"/>
              <w:rPr>
                <w:rFonts w:ascii="Arial" w:hAnsi="Arial" w:cs="Arial"/>
              </w:rPr>
            </w:pPr>
            <w:r>
              <w:rPr>
                <w:rFonts w:ascii="Arial" w:hAnsi="Arial" w:cs="Arial"/>
                <w:b/>
                <w:bCs/>
              </w:rPr>
              <w:t>Coefficients</w:t>
            </w:r>
            <w:r>
              <w:rPr>
                <w:rFonts w:ascii="Arial" w:hAnsi="Arial" w:cs="Arial"/>
                <w:b/>
                <w:bCs/>
                <w:vertAlign w:val="superscript"/>
              </w:rPr>
              <w:t>a</w:t>
            </w:r>
          </w:p>
        </w:tc>
      </w:tr>
      <w:tr w:rsidR="004A30A6" w:rsidRPr="0073227D" w14:paraId="15308F98" w14:textId="77777777" w:rsidTr="004A30A6">
        <w:trPr>
          <w:cantSplit/>
        </w:trPr>
        <w:tc>
          <w:tcPr>
            <w:tcW w:w="2410" w:type="dxa"/>
            <w:gridSpan w:val="2"/>
            <w:vMerge w:val="restart"/>
            <w:tcBorders>
              <w:top w:val="single" w:sz="16" w:space="0" w:color="000000"/>
              <w:left w:val="single" w:sz="16" w:space="0" w:color="000000"/>
              <w:bottom w:val="nil"/>
              <w:right w:val="nil"/>
            </w:tcBorders>
            <w:shd w:val="clear" w:color="auto" w:fill="FFFFFF"/>
          </w:tcPr>
          <w:p w14:paraId="5D2D433B" w14:textId="77777777" w:rsidR="004A30A6" w:rsidRPr="0073227D" w:rsidRDefault="004A30A6" w:rsidP="004A30A6">
            <w:pPr>
              <w:ind w:left="60" w:right="60"/>
              <w:rPr>
                <w:rFonts w:ascii="Arial" w:hAnsi="Arial" w:cs="Arial"/>
                <w:sz w:val="16"/>
                <w:szCs w:val="16"/>
              </w:rPr>
            </w:pPr>
            <w:r w:rsidRPr="0073227D">
              <w:rPr>
                <w:rFonts w:ascii="Arial" w:hAnsi="Arial" w:cs="Arial"/>
                <w:sz w:val="16"/>
                <w:szCs w:val="16"/>
              </w:rPr>
              <w:t>Model</w:t>
            </w:r>
          </w:p>
        </w:tc>
        <w:tc>
          <w:tcPr>
            <w:tcW w:w="2693" w:type="dxa"/>
            <w:gridSpan w:val="2"/>
            <w:tcBorders>
              <w:top w:val="single" w:sz="16" w:space="0" w:color="000000"/>
              <w:left w:val="single" w:sz="16" w:space="0" w:color="000000"/>
            </w:tcBorders>
            <w:shd w:val="clear" w:color="auto" w:fill="FFFFFF"/>
          </w:tcPr>
          <w:p w14:paraId="2C791024" w14:textId="77777777" w:rsidR="004A30A6" w:rsidRPr="0073227D" w:rsidRDefault="004A30A6" w:rsidP="004A30A6">
            <w:pPr>
              <w:ind w:left="60" w:right="60"/>
              <w:jc w:val="center"/>
              <w:rPr>
                <w:rFonts w:ascii="Arial" w:hAnsi="Arial" w:cs="Arial"/>
                <w:sz w:val="16"/>
                <w:szCs w:val="16"/>
              </w:rPr>
            </w:pPr>
            <w:r w:rsidRPr="0073227D">
              <w:rPr>
                <w:rFonts w:ascii="Arial" w:hAnsi="Arial" w:cs="Arial"/>
                <w:sz w:val="16"/>
                <w:szCs w:val="16"/>
              </w:rPr>
              <w:t>Unstandardized Coefficients</w:t>
            </w:r>
          </w:p>
        </w:tc>
        <w:tc>
          <w:tcPr>
            <w:tcW w:w="1560" w:type="dxa"/>
            <w:tcBorders>
              <w:top w:val="single" w:sz="16" w:space="0" w:color="000000"/>
            </w:tcBorders>
            <w:shd w:val="clear" w:color="auto" w:fill="FFFFFF"/>
          </w:tcPr>
          <w:p w14:paraId="3B6D0986" w14:textId="77777777" w:rsidR="004A30A6" w:rsidRPr="0073227D" w:rsidRDefault="004A30A6" w:rsidP="004A30A6">
            <w:pPr>
              <w:ind w:left="60" w:right="60"/>
              <w:jc w:val="center"/>
              <w:rPr>
                <w:rFonts w:ascii="Arial" w:hAnsi="Arial" w:cs="Arial"/>
                <w:sz w:val="16"/>
                <w:szCs w:val="16"/>
              </w:rPr>
            </w:pPr>
            <w:r w:rsidRPr="0073227D">
              <w:rPr>
                <w:rFonts w:ascii="Arial" w:hAnsi="Arial" w:cs="Arial"/>
                <w:sz w:val="16"/>
                <w:szCs w:val="16"/>
              </w:rPr>
              <w:t>Standardized Coefficients</w:t>
            </w:r>
          </w:p>
        </w:tc>
        <w:tc>
          <w:tcPr>
            <w:tcW w:w="1134" w:type="dxa"/>
            <w:vMerge w:val="restart"/>
            <w:tcBorders>
              <w:top w:val="single" w:sz="16" w:space="0" w:color="000000"/>
            </w:tcBorders>
            <w:shd w:val="clear" w:color="auto" w:fill="FFFFFF"/>
          </w:tcPr>
          <w:p w14:paraId="6113285A" w14:textId="77777777" w:rsidR="004A30A6" w:rsidRPr="0073227D" w:rsidRDefault="004A30A6" w:rsidP="004A30A6">
            <w:pPr>
              <w:ind w:left="60" w:right="60"/>
              <w:jc w:val="center"/>
              <w:rPr>
                <w:rFonts w:ascii="Arial" w:hAnsi="Arial" w:cs="Arial"/>
                <w:sz w:val="16"/>
                <w:szCs w:val="16"/>
              </w:rPr>
            </w:pPr>
            <w:proofErr w:type="gramStart"/>
            <w:r w:rsidRPr="0073227D">
              <w:rPr>
                <w:rFonts w:ascii="Arial" w:hAnsi="Arial" w:cs="Arial"/>
                <w:sz w:val="16"/>
                <w:szCs w:val="16"/>
              </w:rPr>
              <w:t>t</w:t>
            </w:r>
            <w:proofErr w:type="gramEnd"/>
          </w:p>
        </w:tc>
        <w:tc>
          <w:tcPr>
            <w:tcW w:w="1559" w:type="dxa"/>
            <w:vMerge w:val="restart"/>
            <w:tcBorders>
              <w:top w:val="single" w:sz="16" w:space="0" w:color="000000"/>
              <w:right w:val="single" w:sz="16" w:space="0" w:color="000000"/>
            </w:tcBorders>
            <w:shd w:val="clear" w:color="auto" w:fill="FFFFFF"/>
          </w:tcPr>
          <w:p w14:paraId="36FFFA42" w14:textId="77777777" w:rsidR="004A30A6" w:rsidRPr="0073227D" w:rsidRDefault="004A30A6" w:rsidP="004A30A6">
            <w:pPr>
              <w:ind w:left="60" w:right="60"/>
              <w:jc w:val="center"/>
              <w:rPr>
                <w:rFonts w:ascii="Arial" w:hAnsi="Arial" w:cs="Arial"/>
                <w:sz w:val="16"/>
                <w:szCs w:val="16"/>
              </w:rPr>
            </w:pPr>
            <w:r w:rsidRPr="0073227D">
              <w:rPr>
                <w:rFonts w:ascii="Arial" w:hAnsi="Arial" w:cs="Arial"/>
                <w:sz w:val="16"/>
                <w:szCs w:val="16"/>
              </w:rPr>
              <w:t>Sig.</w:t>
            </w:r>
          </w:p>
        </w:tc>
      </w:tr>
      <w:tr w:rsidR="004A30A6" w:rsidRPr="0073227D" w14:paraId="766909EB" w14:textId="77777777" w:rsidTr="004A30A6">
        <w:trPr>
          <w:cantSplit/>
        </w:trPr>
        <w:tc>
          <w:tcPr>
            <w:tcW w:w="2410" w:type="dxa"/>
            <w:gridSpan w:val="2"/>
            <w:vMerge/>
            <w:tcBorders>
              <w:top w:val="single" w:sz="16" w:space="0" w:color="000000"/>
              <w:left w:val="single" w:sz="16" w:space="0" w:color="000000"/>
              <w:bottom w:val="nil"/>
              <w:right w:val="nil"/>
            </w:tcBorders>
            <w:shd w:val="clear" w:color="auto" w:fill="FFFFFF"/>
          </w:tcPr>
          <w:p w14:paraId="030176FD" w14:textId="77777777" w:rsidR="004A30A6" w:rsidRPr="0073227D" w:rsidRDefault="004A30A6" w:rsidP="004A30A6">
            <w:pPr>
              <w:rPr>
                <w:rFonts w:ascii="Arial" w:hAnsi="Arial" w:cs="Arial"/>
                <w:sz w:val="16"/>
                <w:szCs w:val="16"/>
              </w:rPr>
            </w:pPr>
          </w:p>
        </w:tc>
        <w:tc>
          <w:tcPr>
            <w:tcW w:w="1418" w:type="dxa"/>
            <w:tcBorders>
              <w:left w:val="single" w:sz="16" w:space="0" w:color="000000"/>
              <w:bottom w:val="single" w:sz="16" w:space="0" w:color="000000"/>
            </w:tcBorders>
            <w:shd w:val="clear" w:color="auto" w:fill="FFFFFF"/>
          </w:tcPr>
          <w:p w14:paraId="6A3E874C" w14:textId="77777777" w:rsidR="004A30A6" w:rsidRPr="0073227D" w:rsidRDefault="004A30A6" w:rsidP="004A30A6">
            <w:pPr>
              <w:ind w:left="60" w:right="60"/>
              <w:jc w:val="center"/>
              <w:rPr>
                <w:rFonts w:ascii="Arial" w:hAnsi="Arial" w:cs="Arial"/>
                <w:sz w:val="16"/>
                <w:szCs w:val="16"/>
              </w:rPr>
            </w:pPr>
            <w:r w:rsidRPr="0073227D">
              <w:rPr>
                <w:rFonts w:ascii="Arial" w:hAnsi="Arial" w:cs="Arial"/>
                <w:sz w:val="16"/>
                <w:szCs w:val="16"/>
              </w:rPr>
              <w:t>B</w:t>
            </w:r>
          </w:p>
        </w:tc>
        <w:tc>
          <w:tcPr>
            <w:tcW w:w="1275" w:type="dxa"/>
            <w:tcBorders>
              <w:bottom w:val="single" w:sz="16" w:space="0" w:color="000000"/>
            </w:tcBorders>
            <w:shd w:val="clear" w:color="auto" w:fill="FFFFFF"/>
          </w:tcPr>
          <w:p w14:paraId="7BD96213" w14:textId="77777777" w:rsidR="004A30A6" w:rsidRPr="0073227D" w:rsidRDefault="004A30A6" w:rsidP="004A30A6">
            <w:pPr>
              <w:ind w:left="60" w:right="60"/>
              <w:jc w:val="center"/>
              <w:rPr>
                <w:rFonts w:ascii="Arial" w:hAnsi="Arial" w:cs="Arial"/>
                <w:sz w:val="16"/>
                <w:szCs w:val="16"/>
              </w:rPr>
            </w:pPr>
            <w:r w:rsidRPr="0073227D">
              <w:rPr>
                <w:rFonts w:ascii="Arial" w:hAnsi="Arial" w:cs="Arial"/>
                <w:sz w:val="16"/>
                <w:szCs w:val="16"/>
              </w:rPr>
              <w:t>Std. Error</w:t>
            </w:r>
          </w:p>
        </w:tc>
        <w:tc>
          <w:tcPr>
            <w:tcW w:w="1560" w:type="dxa"/>
            <w:tcBorders>
              <w:bottom w:val="single" w:sz="16" w:space="0" w:color="000000"/>
            </w:tcBorders>
            <w:shd w:val="clear" w:color="auto" w:fill="FFFFFF"/>
          </w:tcPr>
          <w:p w14:paraId="5D946039" w14:textId="77777777" w:rsidR="004A30A6" w:rsidRPr="0073227D" w:rsidRDefault="004A30A6" w:rsidP="004A30A6">
            <w:pPr>
              <w:ind w:left="60" w:right="60"/>
              <w:jc w:val="center"/>
              <w:rPr>
                <w:rFonts w:ascii="Arial" w:hAnsi="Arial" w:cs="Arial"/>
                <w:sz w:val="16"/>
                <w:szCs w:val="16"/>
              </w:rPr>
            </w:pPr>
            <w:r w:rsidRPr="0073227D">
              <w:rPr>
                <w:rFonts w:ascii="Arial" w:hAnsi="Arial" w:cs="Arial"/>
                <w:sz w:val="16"/>
                <w:szCs w:val="16"/>
              </w:rPr>
              <w:t>Beta</w:t>
            </w:r>
          </w:p>
        </w:tc>
        <w:tc>
          <w:tcPr>
            <w:tcW w:w="1134" w:type="dxa"/>
            <w:vMerge/>
            <w:tcBorders>
              <w:top w:val="single" w:sz="16" w:space="0" w:color="000000"/>
            </w:tcBorders>
            <w:shd w:val="clear" w:color="auto" w:fill="FFFFFF"/>
          </w:tcPr>
          <w:p w14:paraId="203C4526" w14:textId="77777777" w:rsidR="004A30A6" w:rsidRPr="0073227D" w:rsidRDefault="004A30A6" w:rsidP="004A30A6">
            <w:pPr>
              <w:rPr>
                <w:rFonts w:ascii="Arial" w:hAnsi="Arial" w:cs="Arial"/>
                <w:sz w:val="16"/>
                <w:szCs w:val="16"/>
              </w:rPr>
            </w:pPr>
          </w:p>
        </w:tc>
        <w:tc>
          <w:tcPr>
            <w:tcW w:w="1559" w:type="dxa"/>
            <w:vMerge/>
            <w:tcBorders>
              <w:top w:val="single" w:sz="16" w:space="0" w:color="000000"/>
              <w:right w:val="single" w:sz="16" w:space="0" w:color="000000"/>
            </w:tcBorders>
            <w:shd w:val="clear" w:color="auto" w:fill="FFFFFF"/>
          </w:tcPr>
          <w:p w14:paraId="43357F7F" w14:textId="77777777" w:rsidR="004A30A6" w:rsidRPr="0073227D" w:rsidRDefault="004A30A6" w:rsidP="004A30A6">
            <w:pPr>
              <w:rPr>
                <w:rFonts w:ascii="Arial" w:hAnsi="Arial" w:cs="Arial"/>
                <w:sz w:val="16"/>
                <w:szCs w:val="16"/>
              </w:rPr>
            </w:pPr>
          </w:p>
        </w:tc>
      </w:tr>
      <w:tr w:rsidR="004A30A6" w:rsidRPr="0073227D" w14:paraId="4B27144F" w14:textId="77777777" w:rsidTr="004A30A6">
        <w:trPr>
          <w:cantSplit/>
        </w:trPr>
        <w:tc>
          <w:tcPr>
            <w:tcW w:w="911" w:type="dxa"/>
            <w:vMerge w:val="restart"/>
            <w:tcBorders>
              <w:top w:val="single" w:sz="16" w:space="0" w:color="000000"/>
              <w:left w:val="single" w:sz="16" w:space="0" w:color="000000"/>
              <w:bottom w:val="single" w:sz="16" w:space="0" w:color="000000"/>
              <w:right w:val="nil"/>
            </w:tcBorders>
            <w:shd w:val="clear" w:color="auto" w:fill="FFFFFF"/>
            <w:vAlign w:val="center"/>
          </w:tcPr>
          <w:p w14:paraId="36AE73F5" w14:textId="77777777" w:rsidR="004A30A6" w:rsidRPr="0073227D" w:rsidRDefault="004A30A6" w:rsidP="004A30A6">
            <w:pPr>
              <w:ind w:left="60" w:right="60"/>
              <w:rPr>
                <w:rFonts w:ascii="Arial" w:hAnsi="Arial" w:cs="Arial"/>
                <w:sz w:val="16"/>
                <w:szCs w:val="16"/>
              </w:rPr>
            </w:pPr>
            <w:r w:rsidRPr="0073227D">
              <w:rPr>
                <w:rFonts w:ascii="Arial" w:hAnsi="Arial" w:cs="Arial"/>
                <w:sz w:val="16"/>
                <w:szCs w:val="16"/>
              </w:rPr>
              <w:t>1</w:t>
            </w:r>
          </w:p>
        </w:tc>
        <w:tc>
          <w:tcPr>
            <w:tcW w:w="1499" w:type="dxa"/>
            <w:tcBorders>
              <w:top w:val="single" w:sz="16" w:space="0" w:color="000000"/>
              <w:left w:val="nil"/>
              <w:bottom w:val="nil"/>
              <w:right w:val="single" w:sz="16" w:space="0" w:color="000000"/>
            </w:tcBorders>
            <w:shd w:val="clear" w:color="auto" w:fill="FFFFFF"/>
            <w:vAlign w:val="center"/>
          </w:tcPr>
          <w:p w14:paraId="5DA353F2" w14:textId="77777777" w:rsidR="004A30A6" w:rsidRPr="0073227D" w:rsidRDefault="004A30A6" w:rsidP="004A30A6">
            <w:pPr>
              <w:ind w:left="60" w:right="60"/>
              <w:rPr>
                <w:rFonts w:ascii="Arial" w:hAnsi="Arial" w:cs="Arial"/>
                <w:sz w:val="16"/>
                <w:szCs w:val="16"/>
              </w:rPr>
            </w:pPr>
            <w:r w:rsidRPr="0073227D">
              <w:rPr>
                <w:rFonts w:ascii="Arial" w:hAnsi="Arial" w:cs="Arial"/>
                <w:sz w:val="16"/>
                <w:szCs w:val="16"/>
              </w:rPr>
              <w:t>(Constant)</w:t>
            </w:r>
          </w:p>
        </w:tc>
        <w:tc>
          <w:tcPr>
            <w:tcW w:w="1418" w:type="dxa"/>
            <w:tcBorders>
              <w:top w:val="single" w:sz="16" w:space="0" w:color="000000"/>
              <w:left w:val="single" w:sz="16" w:space="0" w:color="000000"/>
              <w:bottom w:val="nil"/>
            </w:tcBorders>
            <w:shd w:val="clear" w:color="auto" w:fill="FFFFFF"/>
            <w:vAlign w:val="center"/>
          </w:tcPr>
          <w:p w14:paraId="5DD851DD"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-2202.193</w:t>
            </w:r>
          </w:p>
        </w:tc>
        <w:tc>
          <w:tcPr>
            <w:tcW w:w="1275" w:type="dxa"/>
            <w:tcBorders>
              <w:top w:val="single" w:sz="16" w:space="0" w:color="000000"/>
              <w:bottom w:val="nil"/>
            </w:tcBorders>
            <w:shd w:val="clear" w:color="auto" w:fill="FFFFFF"/>
            <w:vAlign w:val="center"/>
          </w:tcPr>
          <w:p w14:paraId="4EC97B27"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2404.956</w:t>
            </w:r>
          </w:p>
        </w:tc>
        <w:tc>
          <w:tcPr>
            <w:tcW w:w="1560" w:type="dxa"/>
            <w:tcBorders>
              <w:top w:val="single" w:sz="16" w:space="0" w:color="000000"/>
              <w:bottom w:val="nil"/>
            </w:tcBorders>
            <w:shd w:val="clear" w:color="auto" w:fill="FFFFFF"/>
          </w:tcPr>
          <w:p w14:paraId="22866847" w14:textId="77777777" w:rsidR="004A30A6" w:rsidRPr="0073227D" w:rsidRDefault="004A30A6" w:rsidP="004A30A6">
            <w:pPr>
              <w:rPr>
                <w:sz w:val="16"/>
                <w:szCs w:val="16"/>
              </w:rPr>
            </w:pPr>
          </w:p>
        </w:tc>
        <w:tc>
          <w:tcPr>
            <w:tcW w:w="1134" w:type="dxa"/>
            <w:tcBorders>
              <w:top w:val="single" w:sz="16" w:space="0" w:color="000000"/>
              <w:bottom w:val="nil"/>
            </w:tcBorders>
            <w:shd w:val="clear" w:color="auto" w:fill="FFFFFF"/>
            <w:vAlign w:val="center"/>
          </w:tcPr>
          <w:p w14:paraId="195B2EDB"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-.916</w:t>
            </w:r>
          </w:p>
        </w:tc>
        <w:tc>
          <w:tcPr>
            <w:tcW w:w="1559" w:type="dxa"/>
            <w:tcBorders>
              <w:top w:val="single" w:sz="16" w:space="0" w:color="000000"/>
              <w:bottom w:val="nil"/>
              <w:right w:val="single" w:sz="16" w:space="0" w:color="000000"/>
            </w:tcBorders>
            <w:shd w:val="clear" w:color="auto" w:fill="FFFFFF"/>
            <w:vAlign w:val="center"/>
          </w:tcPr>
          <w:p w14:paraId="5A2150D6"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.363</w:t>
            </w:r>
          </w:p>
        </w:tc>
      </w:tr>
      <w:tr w:rsidR="004A30A6" w:rsidRPr="0073227D" w14:paraId="7F61EE69" w14:textId="77777777" w:rsidTr="004A30A6">
        <w:trPr>
          <w:cantSplit/>
        </w:trPr>
        <w:tc>
          <w:tcPr>
            <w:tcW w:w="911" w:type="dxa"/>
            <w:vMerge/>
            <w:tcBorders>
              <w:top w:val="single" w:sz="16" w:space="0" w:color="000000"/>
              <w:left w:val="single" w:sz="16" w:space="0" w:color="000000"/>
              <w:bottom w:val="single" w:sz="16" w:space="0" w:color="000000"/>
              <w:right w:val="nil"/>
            </w:tcBorders>
            <w:shd w:val="clear" w:color="auto" w:fill="FFFFFF"/>
            <w:vAlign w:val="center"/>
          </w:tcPr>
          <w:p w14:paraId="3542EA20" w14:textId="77777777" w:rsidR="004A30A6" w:rsidRPr="0073227D" w:rsidRDefault="004A30A6" w:rsidP="004A30A6">
            <w:pPr>
              <w:rPr>
                <w:rFonts w:ascii="Arial" w:hAnsi="Arial" w:cs="Arial"/>
                <w:sz w:val="16"/>
                <w:szCs w:val="16"/>
              </w:rPr>
            </w:pPr>
          </w:p>
        </w:tc>
        <w:tc>
          <w:tcPr>
            <w:tcW w:w="1499" w:type="dxa"/>
            <w:tcBorders>
              <w:top w:val="nil"/>
              <w:left w:val="nil"/>
              <w:bottom w:val="nil"/>
              <w:right w:val="single" w:sz="16" w:space="0" w:color="000000"/>
            </w:tcBorders>
            <w:shd w:val="clear" w:color="auto" w:fill="FFFFFF"/>
            <w:vAlign w:val="center"/>
          </w:tcPr>
          <w:p w14:paraId="631C95C7" w14:textId="77777777" w:rsidR="004A30A6" w:rsidRPr="0073227D" w:rsidRDefault="004A30A6" w:rsidP="004A30A6">
            <w:pPr>
              <w:ind w:left="60" w:right="60"/>
              <w:rPr>
                <w:rFonts w:ascii="Arial" w:hAnsi="Arial" w:cs="Arial"/>
                <w:sz w:val="16"/>
                <w:szCs w:val="16"/>
              </w:rPr>
            </w:pPr>
            <w:r w:rsidRPr="0073227D">
              <w:rPr>
                <w:rFonts w:ascii="Arial" w:hAnsi="Arial" w:cs="Arial"/>
                <w:sz w:val="16"/>
                <w:szCs w:val="16"/>
              </w:rPr>
              <w:t>ROA</w:t>
            </w:r>
          </w:p>
        </w:tc>
        <w:tc>
          <w:tcPr>
            <w:tcW w:w="1418" w:type="dxa"/>
            <w:tcBorders>
              <w:top w:val="nil"/>
              <w:left w:val="single" w:sz="16" w:space="0" w:color="000000"/>
              <w:bottom w:val="nil"/>
            </w:tcBorders>
            <w:shd w:val="clear" w:color="auto" w:fill="FFFFFF"/>
            <w:vAlign w:val="center"/>
          </w:tcPr>
          <w:p w14:paraId="5AAAF06C"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.087</w:t>
            </w:r>
          </w:p>
        </w:tc>
        <w:tc>
          <w:tcPr>
            <w:tcW w:w="1275" w:type="dxa"/>
            <w:tcBorders>
              <w:top w:val="nil"/>
              <w:bottom w:val="nil"/>
            </w:tcBorders>
            <w:shd w:val="clear" w:color="auto" w:fill="FFFFFF"/>
            <w:vAlign w:val="center"/>
          </w:tcPr>
          <w:p w14:paraId="6AD6461C"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.021</w:t>
            </w:r>
          </w:p>
        </w:tc>
        <w:tc>
          <w:tcPr>
            <w:tcW w:w="1560" w:type="dxa"/>
            <w:tcBorders>
              <w:top w:val="nil"/>
              <w:bottom w:val="nil"/>
            </w:tcBorders>
            <w:shd w:val="clear" w:color="auto" w:fill="FFFFFF"/>
            <w:vAlign w:val="center"/>
          </w:tcPr>
          <w:p w14:paraId="394C8912"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.511</w:t>
            </w:r>
          </w:p>
        </w:tc>
        <w:tc>
          <w:tcPr>
            <w:tcW w:w="1134" w:type="dxa"/>
            <w:tcBorders>
              <w:top w:val="nil"/>
              <w:bottom w:val="nil"/>
            </w:tcBorders>
            <w:shd w:val="clear" w:color="auto" w:fill="FFFFFF"/>
            <w:vAlign w:val="center"/>
          </w:tcPr>
          <w:p w14:paraId="48335CC4"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4.183</w:t>
            </w:r>
          </w:p>
        </w:tc>
        <w:tc>
          <w:tcPr>
            <w:tcW w:w="1559" w:type="dxa"/>
            <w:tcBorders>
              <w:top w:val="nil"/>
              <w:bottom w:val="nil"/>
              <w:right w:val="single" w:sz="16" w:space="0" w:color="000000"/>
            </w:tcBorders>
            <w:shd w:val="clear" w:color="auto" w:fill="FFFFFF"/>
            <w:vAlign w:val="center"/>
          </w:tcPr>
          <w:p w14:paraId="757AB440"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.000</w:t>
            </w:r>
          </w:p>
        </w:tc>
      </w:tr>
      <w:tr w:rsidR="004A30A6" w:rsidRPr="0073227D" w14:paraId="2D8E479E" w14:textId="77777777" w:rsidTr="004A30A6">
        <w:trPr>
          <w:cantSplit/>
        </w:trPr>
        <w:tc>
          <w:tcPr>
            <w:tcW w:w="911" w:type="dxa"/>
            <w:vMerge/>
            <w:tcBorders>
              <w:top w:val="single" w:sz="16" w:space="0" w:color="000000"/>
              <w:left w:val="single" w:sz="16" w:space="0" w:color="000000"/>
              <w:bottom w:val="single" w:sz="16" w:space="0" w:color="000000"/>
              <w:right w:val="nil"/>
            </w:tcBorders>
            <w:shd w:val="clear" w:color="auto" w:fill="FFFFFF"/>
            <w:vAlign w:val="center"/>
          </w:tcPr>
          <w:p w14:paraId="6B043963" w14:textId="77777777" w:rsidR="004A30A6" w:rsidRPr="0073227D" w:rsidRDefault="004A30A6" w:rsidP="004A30A6">
            <w:pPr>
              <w:rPr>
                <w:rFonts w:ascii="Arial" w:hAnsi="Arial" w:cs="Arial"/>
                <w:sz w:val="16"/>
                <w:szCs w:val="16"/>
              </w:rPr>
            </w:pPr>
          </w:p>
        </w:tc>
        <w:tc>
          <w:tcPr>
            <w:tcW w:w="1499" w:type="dxa"/>
            <w:tcBorders>
              <w:top w:val="nil"/>
              <w:left w:val="nil"/>
              <w:bottom w:val="nil"/>
              <w:right w:val="single" w:sz="16" w:space="0" w:color="000000"/>
            </w:tcBorders>
            <w:shd w:val="clear" w:color="auto" w:fill="FFFFFF"/>
            <w:vAlign w:val="center"/>
          </w:tcPr>
          <w:p w14:paraId="1C1A85ED" w14:textId="77777777" w:rsidR="004A30A6" w:rsidRPr="0073227D" w:rsidRDefault="004A30A6" w:rsidP="004A30A6">
            <w:pPr>
              <w:ind w:left="60" w:right="60"/>
              <w:rPr>
                <w:rFonts w:ascii="Arial" w:hAnsi="Arial" w:cs="Arial"/>
                <w:sz w:val="16"/>
                <w:szCs w:val="16"/>
              </w:rPr>
            </w:pPr>
            <w:r w:rsidRPr="0073227D">
              <w:rPr>
                <w:rFonts w:ascii="Arial" w:hAnsi="Arial" w:cs="Arial"/>
                <w:sz w:val="16"/>
                <w:szCs w:val="16"/>
              </w:rPr>
              <w:t>SIZE</w:t>
            </w:r>
          </w:p>
        </w:tc>
        <w:tc>
          <w:tcPr>
            <w:tcW w:w="1418" w:type="dxa"/>
            <w:tcBorders>
              <w:top w:val="nil"/>
              <w:left w:val="single" w:sz="16" w:space="0" w:color="000000"/>
              <w:bottom w:val="nil"/>
            </w:tcBorders>
            <w:shd w:val="clear" w:color="auto" w:fill="FFFFFF"/>
            <w:vAlign w:val="center"/>
          </w:tcPr>
          <w:p w14:paraId="40908B6C"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.210</w:t>
            </w:r>
          </w:p>
        </w:tc>
        <w:tc>
          <w:tcPr>
            <w:tcW w:w="1275" w:type="dxa"/>
            <w:tcBorders>
              <w:top w:val="nil"/>
              <w:bottom w:val="nil"/>
            </w:tcBorders>
            <w:shd w:val="clear" w:color="auto" w:fill="FFFFFF"/>
            <w:vAlign w:val="center"/>
          </w:tcPr>
          <w:p w14:paraId="04417C2A"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.157</w:t>
            </w:r>
          </w:p>
        </w:tc>
        <w:tc>
          <w:tcPr>
            <w:tcW w:w="1560" w:type="dxa"/>
            <w:tcBorders>
              <w:top w:val="nil"/>
              <w:bottom w:val="nil"/>
            </w:tcBorders>
            <w:shd w:val="clear" w:color="auto" w:fill="FFFFFF"/>
            <w:vAlign w:val="center"/>
          </w:tcPr>
          <w:p w14:paraId="5F450723"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.152</w:t>
            </w:r>
          </w:p>
        </w:tc>
        <w:tc>
          <w:tcPr>
            <w:tcW w:w="1134" w:type="dxa"/>
            <w:tcBorders>
              <w:top w:val="nil"/>
              <w:bottom w:val="nil"/>
            </w:tcBorders>
            <w:shd w:val="clear" w:color="auto" w:fill="FFFFFF"/>
            <w:vAlign w:val="center"/>
          </w:tcPr>
          <w:p w14:paraId="762FA62C"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1.334</w:t>
            </w:r>
          </w:p>
        </w:tc>
        <w:tc>
          <w:tcPr>
            <w:tcW w:w="1559" w:type="dxa"/>
            <w:tcBorders>
              <w:top w:val="nil"/>
              <w:bottom w:val="nil"/>
              <w:right w:val="single" w:sz="16" w:space="0" w:color="000000"/>
            </w:tcBorders>
            <w:shd w:val="clear" w:color="auto" w:fill="FFFFFF"/>
            <w:vAlign w:val="center"/>
          </w:tcPr>
          <w:p w14:paraId="1D06EBBC"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.187</w:t>
            </w:r>
          </w:p>
        </w:tc>
      </w:tr>
      <w:tr w:rsidR="004A30A6" w:rsidRPr="0073227D" w14:paraId="211F3B18" w14:textId="77777777" w:rsidTr="004A30A6">
        <w:trPr>
          <w:cantSplit/>
        </w:trPr>
        <w:tc>
          <w:tcPr>
            <w:tcW w:w="911" w:type="dxa"/>
            <w:vMerge/>
            <w:tcBorders>
              <w:top w:val="single" w:sz="16" w:space="0" w:color="000000"/>
              <w:left w:val="single" w:sz="16" w:space="0" w:color="000000"/>
              <w:bottom w:val="single" w:sz="16" w:space="0" w:color="000000"/>
              <w:right w:val="nil"/>
            </w:tcBorders>
            <w:shd w:val="clear" w:color="auto" w:fill="FFFFFF"/>
            <w:vAlign w:val="center"/>
          </w:tcPr>
          <w:p w14:paraId="465E3457" w14:textId="77777777" w:rsidR="004A30A6" w:rsidRPr="0073227D" w:rsidRDefault="004A30A6" w:rsidP="004A30A6">
            <w:pPr>
              <w:rPr>
                <w:rFonts w:ascii="Arial" w:hAnsi="Arial" w:cs="Arial"/>
                <w:sz w:val="16"/>
                <w:szCs w:val="16"/>
              </w:rPr>
            </w:pPr>
          </w:p>
        </w:tc>
        <w:tc>
          <w:tcPr>
            <w:tcW w:w="1499" w:type="dxa"/>
            <w:tcBorders>
              <w:top w:val="nil"/>
              <w:left w:val="nil"/>
              <w:bottom w:val="nil"/>
              <w:right w:val="single" w:sz="16" w:space="0" w:color="000000"/>
            </w:tcBorders>
            <w:shd w:val="clear" w:color="auto" w:fill="FFFFFF"/>
            <w:vAlign w:val="center"/>
          </w:tcPr>
          <w:p w14:paraId="270AD36F" w14:textId="77777777" w:rsidR="004A30A6" w:rsidRPr="0073227D" w:rsidRDefault="004A30A6" w:rsidP="004A30A6">
            <w:pPr>
              <w:ind w:left="60" w:right="60"/>
              <w:rPr>
                <w:rFonts w:ascii="Arial" w:hAnsi="Arial" w:cs="Arial"/>
                <w:sz w:val="16"/>
                <w:szCs w:val="16"/>
              </w:rPr>
            </w:pPr>
            <w:r w:rsidRPr="0073227D">
              <w:rPr>
                <w:rFonts w:ascii="Arial" w:hAnsi="Arial" w:cs="Arial"/>
                <w:sz w:val="16"/>
                <w:szCs w:val="16"/>
              </w:rPr>
              <w:t>SALES_GROWTH</w:t>
            </w:r>
          </w:p>
        </w:tc>
        <w:tc>
          <w:tcPr>
            <w:tcW w:w="1418" w:type="dxa"/>
            <w:tcBorders>
              <w:top w:val="nil"/>
              <w:left w:val="single" w:sz="16" w:space="0" w:color="000000"/>
              <w:bottom w:val="nil"/>
            </w:tcBorders>
            <w:shd w:val="clear" w:color="auto" w:fill="FFFFFF"/>
            <w:vAlign w:val="center"/>
          </w:tcPr>
          <w:p w14:paraId="655E1D64"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-.606</w:t>
            </w:r>
          </w:p>
        </w:tc>
        <w:tc>
          <w:tcPr>
            <w:tcW w:w="1275" w:type="dxa"/>
            <w:tcBorders>
              <w:top w:val="nil"/>
              <w:bottom w:val="nil"/>
            </w:tcBorders>
            <w:shd w:val="clear" w:color="auto" w:fill="FFFFFF"/>
            <w:vAlign w:val="center"/>
          </w:tcPr>
          <w:p w14:paraId="669A7DE3"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.307</w:t>
            </w:r>
          </w:p>
        </w:tc>
        <w:tc>
          <w:tcPr>
            <w:tcW w:w="1560" w:type="dxa"/>
            <w:tcBorders>
              <w:top w:val="nil"/>
              <w:bottom w:val="nil"/>
            </w:tcBorders>
            <w:shd w:val="clear" w:color="auto" w:fill="FFFFFF"/>
            <w:vAlign w:val="center"/>
          </w:tcPr>
          <w:p w14:paraId="4FDC5145"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-.211</w:t>
            </w:r>
          </w:p>
        </w:tc>
        <w:tc>
          <w:tcPr>
            <w:tcW w:w="1134" w:type="dxa"/>
            <w:tcBorders>
              <w:top w:val="nil"/>
              <w:bottom w:val="nil"/>
            </w:tcBorders>
            <w:shd w:val="clear" w:color="auto" w:fill="FFFFFF"/>
            <w:vAlign w:val="center"/>
          </w:tcPr>
          <w:p w14:paraId="52269BCF"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-1.974</w:t>
            </w:r>
          </w:p>
        </w:tc>
        <w:tc>
          <w:tcPr>
            <w:tcW w:w="1559" w:type="dxa"/>
            <w:tcBorders>
              <w:top w:val="nil"/>
              <w:bottom w:val="nil"/>
              <w:right w:val="single" w:sz="16" w:space="0" w:color="000000"/>
            </w:tcBorders>
            <w:shd w:val="clear" w:color="auto" w:fill="FFFFFF"/>
            <w:vAlign w:val="center"/>
          </w:tcPr>
          <w:p w14:paraId="2E342293"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.053</w:t>
            </w:r>
          </w:p>
        </w:tc>
      </w:tr>
      <w:tr w:rsidR="004A30A6" w:rsidRPr="0073227D" w14:paraId="13C13990" w14:textId="77777777" w:rsidTr="004A30A6">
        <w:trPr>
          <w:cantSplit/>
        </w:trPr>
        <w:tc>
          <w:tcPr>
            <w:tcW w:w="911" w:type="dxa"/>
            <w:vMerge/>
            <w:tcBorders>
              <w:top w:val="single" w:sz="16" w:space="0" w:color="000000"/>
              <w:left w:val="single" w:sz="16" w:space="0" w:color="000000"/>
              <w:bottom w:val="single" w:sz="16" w:space="0" w:color="000000"/>
              <w:right w:val="nil"/>
            </w:tcBorders>
            <w:shd w:val="clear" w:color="auto" w:fill="FFFFFF"/>
            <w:vAlign w:val="center"/>
          </w:tcPr>
          <w:p w14:paraId="462ACB74" w14:textId="77777777" w:rsidR="004A30A6" w:rsidRPr="0073227D" w:rsidRDefault="004A30A6" w:rsidP="004A30A6">
            <w:pPr>
              <w:rPr>
                <w:rFonts w:ascii="Arial" w:hAnsi="Arial" w:cs="Arial"/>
                <w:sz w:val="16"/>
                <w:szCs w:val="16"/>
              </w:rPr>
            </w:pPr>
          </w:p>
        </w:tc>
        <w:tc>
          <w:tcPr>
            <w:tcW w:w="1499" w:type="dxa"/>
            <w:tcBorders>
              <w:top w:val="nil"/>
              <w:left w:val="nil"/>
              <w:bottom w:val="single" w:sz="16" w:space="0" w:color="000000"/>
              <w:right w:val="single" w:sz="16" w:space="0" w:color="000000"/>
            </w:tcBorders>
            <w:shd w:val="clear" w:color="auto" w:fill="FFFFFF"/>
            <w:vAlign w:val="center"/>
          </w:tcPr>
          <w:p w14:paraId="72CC02C5" w14:textId="77777777" w:rsidR="004A30A6" w:rsidRPr="0073227D" w:rsidRDefault="004A30A6" w:rsidP="004A30A6">
            <w:pPr>
              <w:ind w:left="60" w:right="60"/>
              <w:rPr>
                <w:rFonts w:ascii="Arial" w:hAnsi="Arial" w:cs="Arial"/>
                <w:sz w:val="16"/>
                <w:szCs w:val="16"/>
              </w:rPr>
            </w:pPr>
            <w:r w:rsidRPr="0073227D">
              <w:rPr>
                <w:rFonts w:ascii="Arial" w:hAnsi="Arial" w:cs="Arial"/>
                <w:sz w:val="16"/>
                <w:szCs w:val="16"/>
              </w:rPr>
              <w:t>DER</w:t>
            </w:r>
          </w:p>
        </w:tc>
        <w:tc>
          <w:tcPr>
            <w:tcW w:w="1418" w:type="dxa"/>
            <w:tcBorders>
              <w:top w:val="nil"/>
              <w:left w:val="single" w:sz="16" w:space="0" w:color="000000"/>
              <w:bottom w:val="single" w:sz="16" w:space="0" w:color="000000"/>
            </w:tcBorders>
            <w:shd w:val="clear" w:color="auto" w:fill="FFFFFF"/>
            <w:vAlign w:val="center"/>
          </w:tcPr>
          <w:p w14:paraId="17933369"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.639</w:t>
            </w:r>
          </w:p>
        </w:tc>
        <w:tc>
          <w:tcPr>
            <w:tcW w:w="1275" w:type="dxa"/>
            <w:tcBorders>
              <w:top w:val="nil"/>
              <w:bottom w:val="single" w:sz="16" w:space="0" w:color="000000"/>
            </w:tcBorders>
            <w:shd w:val="clear" w:color="auto" w:fill="FFFFFF"/>
            <w:vAlign w:val="center"/>
          </w:tcPr>
          <w:p w14:paraId="0527EFBB"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.243</w:t>
            </w:r>
          </w:p>
        </w:tc>
        <w:tc>
          <w:tcPr>
            <w:tcW w:w="1560" w:type="dxa"/>
            <w:tcBorders>
              <w:top w:val="nil"/>
              <w:bottom w:val="single" w:sz="16" w:space="0" w:color="000000"/>
            </w:tcBorders>
            <w:shd w:val="clear" w:color="auto" w:fill="FFFFFF"/>
            <w:vAlign w:val="center"/>
          </w:tcPr>
          <w:p w14:paraId="68248F54"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.330</w:t>
            </w:r>
          </w:p>
        </w:tc>
        <w:tc>
          <w:tcPr>
            <w:tcW w:w="1134" w:type="dxa"/>
            <w:tcBorders>
              <w:top w:val="nil"/>
              <w:bottom w:val="single" w:sz="16" w:space="0" w:color="000000"/>
            </w:tcBorders>
            <w:shd w:val="clear" w:color="auto" w:fill="FFFFFF"/>
            <w:vAlign w:val="center"/>
          </w:tcPr>
          <w:p w14:paraId="5D9B84C5"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2.622</w:t>
            </w:r>
          </w:p>
        </w:tc>
        <w:tc>
          <w:tcPr>
            <w:tcW w:w="1559" w:type="dxa"/>
            <w:tcBorders>
              <w:top w:val="nil"/>
              <w:bottom w:val="single" w:sz="16" w:space="0" w:color="000000"/>
              <w:right w:val="single" w:sz="16" w:space="0" w:color="000000"/>
            </w:tcBorders>
            <w:shd w:val="clear" w:color="auto" w:fill="FFFFFF"/>
            <w:vAlign w:val="center"/>
          </w:tcPr>
          <w:p w14:paraId="3241720D" w14:textId="77777777" w:rsidR="004A30A6" w:rsidRPr="0073227D" w:rsidRDefault="004A30A6" w:rsidP="004A30A6">
            <w:pPr>
              <w:ind w:left="60" w:right="60"/>
              <w:jc w:val="right"/>
              <w:rPr>
                <w:rFonts w:ascii="Arial" w:hAnsi="Arial" w:cs="Arial"/>
                <w:sz w:val="16"/>
                <w:szCs w:val="16"/>
              </w:rPr>
            </w:pPr>
            <w:r w:rsidRPr="0073227D">
              <w:rPr>
                <w:rFonts w:ascii="Arial" w:hAnsi="Arial" w:cs="Arial"/>
                <w:sz w:val="16"/>
                <w:szCs w:val="16"/>
              </w:rPr>
              <w:t>.011</w:t>
            </w:r>
          </w:p>
        </w:tc>
      </w:tr>
    </w:tbl>
    <w:p w14:paraId="76C9FECF" w14:textId="77777777" w:rsidR="004A30A6" w:rsidRPr="004A30A6" w:rsidRDefault="004A30A6" w:rsidP="004A30A6">
      <w:pPr>
        <w:pStyle w:val="ListParagraph"/>
        <w:numPr>
          <w:ilvl w:val="0"/>
          <w:numId w:val="8"/>
        </w:numPr>
        <w:rPr>
          <w:rFonts w:ascii="Arial" w:hAnsi="Arial" w:cs="Arial"/>
          <w:sz w:val="16"/>
          <w:szCs w:val="16"/>
        </w:rPr>
      </w:pPr>
    </w:p>
    <w:tbl>
      <w:tblPr>
        <w:tblW w:w="10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47"/>
      </w:tblGrid>
      <w:tr w:rsidR="004A30A6" w14:paraId="68305499" w14:textId="77777777" w:rsidTr="004A30A6">
        <w:trPr>
          <w:cantSplit/>
        </w:trPr>
        <w:tc>
          <w:tcPr>
            <w:tcW w:w="10743" w:type="dxa"/>
            <w:tcBorders>
              <w:top w:val="nil"/>
              <w:left w:val="nil"/>
              <w:bottom w:val="nil"/>
              <w:right w:val="nil"/>
            </w:tcBorders>
            <w:shd w:val="clear" w:color="auto" w:fill="FFFFFF"/>
          </w:tcPr>
          <w:p w14:paraId="3E413F90" w14:textId="77777777" w:rsidR="004A30A6" w:rsidRPr="0073227D" w:rsidRDefault="004A30A6" w:rsidP="004A30A6">
            <w:pPr>
              <w:ind w:left="60" w:right="60"/>
              <w:rPr>
                <w:rFonts w:ascii="Arial" w:hAnsi="Arial" w:cs="Arial"/>
                <w:sz w:val="16"/>
                <w:szCs w:val="16"/>
              </w:rPr>
            </w:pPr>
            <w:r w:rsidRPr="0073227D">
              <w:rPr>
                <w:rFonts w:ascii="Arial" w:hAnsi="Arial" w:cs="Arial"/>
                <w:sz w:val="16"/>
                <w:szCs w:val="16"/>
              </w:rPr>
              <w:t>a. Dependent Variable: PBV</w:t>
            </w:r>
          </w:p>
        </w:tc>
      </w:tr>
    </w:tbl>
    <w:p w14:paraId="260DF5C7" w14:textId="661DDA09" w:rsidR="004A30A6" w:rsidRDefault="004A30A6" w:rsidP="004A30A6">
      <w:pPr>
        <w:spacing w:after="120"/>
        <w:rPr>
          <w:iCs/>
          <w:sz w:val="20"/>
          <w:szCs w:val="20"/>
          <w:lang w:val="id-ID"/>
        </w:rPr>
      </w:pPr>
      <w:r w:rsidRPr="004A30A6">
        <w:rPr>
          <w:iCs/>
          <w:sz w:val="20"/>
          <w:szCs w:val="20"/>
          <w:lang w:val="nb-NO"/>
        </w:rPr>
        <w:t xml:space="preserve">Sumber : Data </w:t>
      </w:r>
      <w:r w:rsidRPr="004A30A6">
        <w:rPr>
          <w:iCs/>
          <w:sz w:val="20"/>
          <w:szCs w:val="20"/>
          <w:lang w:val="id-ID"/>
        </w:rPr>
        <w:t>sekunder</w:t>
      </w:r>
      <w:r w:rsidRPr="004A30A6">
        <w:rPr>
          <w:iCs/>
          <w:sz w:val="20"/>
          <w:szCs w:val="20"/>
          <w:lang w:val="nb-NO"/>
        </w:rPr>
        <w:t xml:space="preserve"> yang diolah, </w:t>
      </w:r>
      <w:r w:rsidRPr="004A30A6">
        <w:rPr>
          <w:iCs/>
          <w:sz w:val="20"/>
          <w:szCs w:val="20"/>
          <w:lang w:val="id-ID"/>
        </w:rPr>
        <w:t>2015</w:t>
      </w:r>
    </w:p>
    <w:p w14:paraId="22426E40" w14:textId="77777777" w:rsidR="004A30A6" w:rsidRDefault="004A30A6" w:rsidP="004A30A6">
      <w:pPr>
        <w:spacing w:after="120"/>
        <w:rPr>
          <w:iCs/>
          <w:sz w:val="20"/>
          <w:szCs w:val="20"/>
          <w:lang w:val="id-ID"/>
        </w:rPr>
      </w:pPr>
    </w:p>
    <w:p w14:paraId="4A0E1285" w14:textId="77777777" w:rsidR="004A30A6" w:rsidRDefault="004A30A6" w:rsidP="004A30A6">
      <w:pPr>
        <w:jc w:val="both"/>
        <w:rPr>
          <w:lang w:val="id-ID"/>
        </w:rPr>
      </w:pPr>
      <w:r w:rsidRPr="00E629DC">
        <w:rPr>
          <w:lang w:val="nb-NO"/>
        </w:rPr>
        <w:t xml:space="preserve">Berdasarkan hasil pengujian yang dilakukan </w:t>
      </w:r>
      <w:r w:rsidRPr="00E629DC">
        <w:rPr>
          <w:lang w:val="id-ID"/>
        </w:rPr>
        <w:t>pada</w:t>
      </w:r>
      <w:r w:rsidRPr="00E629DC">
        <w:rPr>
          <w:lang w:val="nb-NO"/>
        </w:rPr>
        <w:t xml:space="preserve"> variabel </w:t>
      </w:r>
      <w:r w:rsidRPr="00E629DC">
        <w:rPr>
          <w:lang w:val="id-ID"/>
        </w:rPr>
        <w:t>ROA, Size, Sales Growthdan DER terhadap PBV maka dapat dirumuskan persamaan regresi bergandanya sebagai berikut :</w:t>
      </w:r>
    </w:p>
    <w:p w14:paraId="495DC193" w14:textId="77777777" w:rsidR="004A30A6" w:rsidRPr="00E629DC" w:rsidRDefault="004A30A6" w:rsidP="004A30A6">
      <w:pPr>
        <w:jc w:val="both"/>
        <w:rPr>
          <w:lang w:val="id-ID"/>
        </w:rPr>
      </w:pPr>
    </w:p>
    <w:p w14:paraId="18E94DE3" w14:textId="77777777" w:rsidR="004A30A6" w:rsidRDefault="004A30A6" w:rsidP="004A30A6">
      <w:pPr>
        <w:pStyle w:val="BodyText"/>
        <w:spacing w:after="0"/>
        <w:jc w:val="center"/>
        <w:rPr>
          <w:b/>
          <w:lang w:val="id-ID"/>
        </w:rPr>
      </w:pPr>
      <w:r w:rsidRPr="004A30A6">
        <w:rPr>
          <w:b/>
          <w:lang w:val="id-ID"/>
        </w:rPr>
        <w:t>PBV =  0,511</w:t>
      </w:r>
      <w:r w:rsidRPr="004A30A6">
        <w:rPr>
          <w:b/>
          <w:bCs/>
          <w:lang w:val="id-ID"/>
        </w:rPr>
        <w:t xml:space="preserve"> ROA + </w:t>
      </w:r>
      <w:r w:rsidRPr="004A30A6">
        <w:rPr>
          <w:b/>
          <w:bCs/>
          <w:noProof/>
          <w:lang w:val="id-ID" w:eastAsia="id-ID"/>
        </w:rPr>
        <w:t>0,152</w:t>
      </w:r>
      <w:r w:rsidRPr="004A30A6">
        <w:rPr>
          <w:b/>
          <w:bCs/>
          <w:lang w:val="id-ID"/>
        </w:rPr>
        <w:t xml:space="preserve"> </w:t>
      </w:r>
      <w:r w:rsidRPr="004A30A6">
        <w:rPr>
          <w:b/>
          <w:bCs/>
          <w:i/>
          <w:lang w:val="id-ID"/>
        </w:rPr>
        <w:t>Size</w:t>
      </w:r>
      <w:r w:rsidRPr="004A30A6">
        <w:rPr>
          <w:b/>
          <w:bCs/>
          <w:vertAlign w:val="subscript"/>
        </w:rPr>
        <w:t xml:space="preserve"> </w:t>
      </w:r>
      <w:r w:rsidRPr="004A30A6">
        <w:rPr>
          <w:b/>
          <w:bCs/>
          <w:lang w:val="id-ID"/>
        </w:rPr>
        <w:t>-</w:t>
      </w:r>
      <w:r w:rsidRPr="004A30A6">
        <w:rPr>
          <w:b/>
          <w:bCs/>
        </w:rPr>
        <w:t xml:space="preserve"> </w:t>
      </w:r>
      <w:r w:rsidRPr="004A30A6">
        <w:rPr>
          <w:b/>
          <w:bCs/>
          <w:noProof/>
          <w:lang w:val="id-ID" w:eastAsia="id-ID"/>
        </w:rPr>
        <w:t>0,211</w:t>
      </w:r>
      <w:r w:rsidRPr="004A30A6">
        <w:rPr>
          <w:b/>
          <w:bCs/>
          <w:lang w:val="id-ID"/>
        </w:rPr>
        <w:t xml:space="preserve"> </w:t>
      </w:r>
      <w:r w:rsidRPr="004A30A6">
        <w:rPr>
          <w:b/>
          <w:bCs/>
          <w:i/>
          <w:lang w:val="id-ID"/>
        </w:rPr>
        <w:t>Sales Growth</w:t>
      </w:r>
      <w:r w:rsidRPr="004A30A6">
        <w:rPr>
          <w:b/>
          <w:bCs/>
          <w:lang w:val="id-ID"/>
        </w:rPr>
        <w:t xml:space="preserve"> </w:t>
      </w:r>
      <w:r w:rsidRPr="004A30A6">
        <w:rPr>
          <w:b/>
          <w:lang w:val="id-ID"/>
        </w:rPr>
        <w:t>+ 0,330 DER</w:t>
      </w:r>
    </w:p>
    <w:p w14:paraId="261D7E85" w14:textId="77777777" w:rsidR="004A30A6" w:rsidRDefault="004A30A6" w:rsidP="004A30A6">
      <w:pPr>
        <w:pStyle w:val="BodyText"/>
        <w:spacing w:after="0"/>
        <w:jc w:val="center"/>
        <w:rPr>
          <w:b/>
          <w:lang w:val="id-ID"/>
        </w:rPr>
      </w:pPr>
    </w:p>
    <w:p w14:paraId="14611EDE" w14:textId="77777777" w:rsidR="004A30A6" w:rsidRPr="004A30A6" w:rsidRDefault="004A30A6" w:rsidP="004A30A6">
      <w:pPr>
        <w:pStyle w:val="BodyText"/>
        <w:spacing w:after="0"/>
        <w:jc w:val="center"/>
        <w:rPr>
          <w:b/>
          <w:lang w:val="id-ID"/>
        </w:rPr>
      </w:pPr>
    </w:p>
    <w:p w14:paraId="61A532AF" w14:textId="77777777" w:rsidR="004A30A6" w:rsidRPr="004A30A6" w:rsidRDefault="004A30A6" w:rsidP="004A30A6">
      <w:pPr>
        <w:pStyle w:val="Heading3"/>
        <w:rPr>
          <w:rFonts w:ascii="Times New Roman" w:hAnsi="Times New Roman" w:cs="Times New Roman"/>
          <w:color w:val="auto"/>
          <w:lang w:val="id-ID"/>
        </w:rPr>
      </w:pPr>
      <w:r w:rsidRPr="004A30A6">
        <w:rPr>
          <w:rFonts w:ascii="Times New Roman" w:hAnsi="Times New Roman" w:cs="Times New Roman"/>
          <w:color w:val="auto"/>
          <w:lang w:val="id-ID"/>
        </w:rPr>
        <w:t>PEMBAHASAN HASIL PENELITIAN</w:t>
      </w:r>
    </w:p>
    <w:p w14:paraId="66310F66" w14:textId="19965B16" w:rsidR="004A30A6" w:rsidRDefault="004A30A6" w:rsidP="004A30A6">
      <w:pPr>
        <w:pStyle w:val="Heading3"/>
        <w:rPr>
          <w:rFonts w:ascii="Times New Roman" w:hAnsi="Times New Roman" w:cs="Times New Roman"/>
          <w:color w:val="auto"/>
          <w:lang w:val="id-ID"/>
        </w:rPr>
      </w:pPr>
      <w:r w:rsidRPr="004A30A6">
        <w:rPr>
          <w:rFonts w:ascii="Times New Roman" w:hAnsi="Times New Roman" w:cs="Times New Roman"/>
          <w:color w:val="auto"/>
          <w:lang w:val="id-ID"/>
        </w:rPr>
        <w:t>Pengaruh ROA terhadap DER</w:t>
      </w:r>
    </w:p>
    <w:p w14:paraId="1B766AA7" w14:textId="15C301E0" w:rsidR="004A30A6" w:rsidRPr="00A42A92" w:rsidRDefault="004A30A6" w:rsidP="004A30A6">
      <w:pPr>
        <w:ind w:right="-1"/>
        <w:jc w:val="both"/>
        <w:rPr>
          <w:b/>
          <w:bCs/>
          <w:lang w:val="id-ID"/>
        </w:rPr>
      </w:pPr>
      <w:r>
        <w:tab/>
      </w:r>
      <w:proofErr w:type="gramStart"/>
      <w:r w:rsidRPr="00E629DC">
        <w:t xml:space="preserve">Berdasarkan hasil pengujian hipotesis didapatkan bahwa </w:t>
      </w:r>
      <w:r w:rsidRPr="00E629DC">
        <w:rPr>
          <w:i/>
        </w:rPr>
        <w:t>Return on Asset</w:t>
      </w:r>
      <w:r w:rsidRPr="00E629DC">
        <w:t xml:space="preserve"> (ROA) berpengaruh negatif dan signifikan terhadap </w:t>
      </w:r>
      <w:r w:rsidRPr="00E629DC">
        <w:rPr>
          <w:i/>
        </w:rPr>
        <w:t xml:space="preserve">Debt to Equity Ratio </w:t>
      </w:r>
      <w:r w:rsidRPr="00E629DC">
        <w:t>(DER)</w:t>
      </w:r>
      <w:r w:rsidRPr="00E629DC">
        <w:rPr>
          <w:lang w:val="id-ID"/>
        </w:rPr>
        <w:t xml:space="preserve">, dimana </w:t>
      </w:r>
      <w:r w:rsidRPr="00E629DC">
        <w:rPr>
          <w:lang w:val="id-ID"/>
        </w:rPr>
        <w:sym w:font="Symbol" w:char="F062"/>
      </w:r>
      <w:r w:rsidRPr="00E629DC">
        <w:rPr>
          <w:vertAlign w:val="subscript"/>
          <w:lang w:val="id-ID"/>
        </w:rPr>
        <w:t>1</w:t>
      </w:r>
      <w:r w:rsidRPr="00E629DC">
        <w:rPr>
          <w:lang w:val="id-ID"/>
        </w:rPr>
        <w:t xml:space="preserve"> = -</w:t>
      </w:r>
      <w:r w:rsidRPr="00E629DC">
        <w:rPr>
          <w:noProof/>
          <w:lang w:val="id-ID" w:eastAsia="id-ID"/>
        </w:rPr>
        <w:t>0,474</w:t>
      </w:r>
      <w:r w:rsidRPr="00E629DC">
        <w:rPr>
          <w:lang w:val="id-ID"/>
        </w:rPr>
        <w:t>.</w:t>
      </w:r>
      <w:proofErr w:type="gramEnd"/>
      <w:r w:rsidRPr="00E629DC">
        <w:rPr>
          <w:lang w:val="id-ID"/>
        </w:rPr>
        <w:t xml:space="preserve"> Koefisien </w:t>
      </w:r>
      <w:r w:rsidRPr="00E629DC">
        <w:rPr>
          <w:lang w:val="id-ID"/>
        </w:rPr>
        <w:sym w:font="Symbol" w:char="F062"/>
      </w:r>
      <w:r w:rsidRPr="00E629DC">
        <w:rPr>
          <w:vertAlign w:val="subscript"/>
          <w:lang w:val="id-ID"/>
        </w:rPr>
        <w:t>1</w:t>
      </w:r>
      <w:r w:rsidRPr="00E629DC">
        <w:rPr>
          <w:lang w:val="id-ID"/>
        </w:rPr>
        <w:t xml:space="preserve"> bertanda negatif menunjukkan besarnya pengaruh ROA terhadap DER yang berarti bahwa bila ROA meningkat maka DER</w:t>
      </w:r>
      <w:r w:rsidRPr="00E629DC">
        <w:rPr>
          <w:bCs/>
        </w:rPr>
        <w:t xml:space="preserve"> </w:t>
      </w:r>
      <w:r w:rsidRPr="00E629DC">
        <w:rPr>
          <w:bCs/>
          <w:lang w:val="id-ID"/>
        </w:rPr>
        <w:t xml:space="preserve">perusahaan pertambangan </w:t>
      </w:r>
      <w:r w:rsidRPr="00E629DC">
        <w:rPr>
          <w:lang w:val="id-ID"/>
        </w:rPr>
        <w:t>akan mengalami penurunan.</w:t>
      </w:r>
      <w:r>
        <w:rPr>
          <w:lang w:val="id-ID"/>
        </w:rPr>
        <w:t xml:space="preserve"> </w:t>
      </w:r>
    </w:p>
    <w:p w14:paraId="28E64C08" w14:textId="752BAA9E" w:rsidR="004A30A6" w:rsidRPr="00E9423D" w:rsidRDefault="00A42A92" w:rsidP="004A30A6">
      <w:pPr>
        <w:ind w:right="-1"/>
        <w:jc w:val="both"/>
        <w:rPr>
          <w:lang w:val="id-ID"/>
        </w:rPr>
      </w:pPr>
      <w:r>
        <w:rPr>
          <w:lang w:val="id-ID"/>
        </w:rPr>
        <w:tab/>
      </w:r>
      <w:r w:rsidR="004A30A6">
        <w:rPr>
          <w:lang w:val="id-ID"/>
        </w:rPr>
        <w:t xml:space="preserve">Kondisi ini menunjukkan bahwa manajemen akan memutuskan menurunkan tingkat penggunaan hutang pada saat profitabilitas (ROA) yang dihasilkan tinggi. </w:t>
      </w:r>
      <w:r w:rsidR="004A30A6" w:rsidRPr="003C48E1">
        <w:rPr>
          <w:lang w:val="id-ID"/>
        </w:rPr>
        <w:t>Hal ini sesuai dengan</w:t>
      </w:r>
      <w:r w:rsidR="004A30A6">
        <w:rPr>
          <w:lang w:val="id-ID"/>
        </w:rPr>
        <w:t xml:space="preserve"> </w:t>
      </w:r>
      <w:r w:rsidR="004A30A6" w:rsidRPr="00CD1958">
        <w:rPr>
          <w:i/>
          <w:lang w:val="id-ID"/>
        </w:rPr>
        <w:t>Pecking Order Theory</w:t>
      </w:r>
      <w:r w:rsidR="004A30A6">
        <w:rPr>
          <w:lang w:val="id-ID"/>
        </w:rPr>
        <w:t xml:space="preserve"> yang menyatakan </w:t>
      </w:r>
      <w:r w:rsidR="004A30A6" w:rsidRPr="00E629DC">
        <w:rPr>
          <w:lang w:val="id-ID"/>
        </w:rPr>
        <w:t xml:space="preserve"> </w:t>
      </w:r>
      <w:r w:rsidR="004A30A6">
        <w:rPr>
          <w:lang w:val="id-ID"/>
        </w:rPr>
        <w:t xml:space="preserve">bahwa manajemen memilih pembiayaan dari dalam untuk menambah kebutuhan modalnya. Penggunaan hutang hanya akan dilakukan jika pembiayaan dari dalam tidak mencukupi untuk menutup kebutuhan modal yang diperlukan. </w:t>
      </w:r>
      <w:r w:rsidR="004A30A6" w:rsidRPr="00E629DC">
        <w:rPr>
          <w:lang w:val="id-ID"/>
        </w:rPr>
        <w:t xml:space="preserve">Hasil penelitian ini diperkuat oleh penelitian </w:t>
      </w:r>
      <w:r w:rsidR="004A30A6" w:rsidRPr="00E629DC">
        <w:t xml:space="preserve">Cekrezi (2013) yang menemukan bahwa terdapat hubungan negatif signifikan antara profitabilitas dengan struktur modal. </w:t>
      </w:r>
    </w:p>
    <w:p w14:paraId="383129F8" w14:textId="77777777" w:rsidR="004A30A6" w:rsidRPr="004A30A6" w:rsidRDefault="004A30A6" w:rsidP="004A30A6"/>
    <w:p w14:paraId="78DB70B0" w14:textId="47E59807" w:rsidR="00A42A92" w:rsidRDefault="00A42A92" w:rsidP="00A42A92">
      <w:pPr>
        <w:pStyle w:val="Heading3"/>
        <w:rPr>
          <w:rFonts w:ascii="Times New Roman" w:hAnsi="Times New Roman" w:cs="Times New Roman"/>
          <w:color w:val="auto"/>
          <w:lang w:val="id-ID"/>
        </w:rPr>
      </w:pPr>
      <w:r w:rsidRPr="004A30A6">
        <w:rPr>
          <w:rFonts w:ascii="Times New Roman" w:hAnsi="Times New Roman" w:cs="Times New Roman"/>
          <w:color w:val="auto"/>
          <w:lang w:val="id-ID"/>
        </w:rPr>
        <w:t>Penga</w:t>
      </w:r>
      <w:r>
        <w:rPr>
          <w:rFonts w:ascii="Times New Roman" w:hAnsi="Times New Roman" w:cs="Times New Roman"/>
          <w:color w:val="auto"/>
          <w:lang w:val="id-ID"/>
        </w:rPr>
        <w:t xml:space="preserve">ruh </w:t>
      </w:r>
      <w:r w:rsidRPr="00A42A92">
        <w:rPr>
          <w:rFonts w:ascii="Times New Roman" w:hAnsi="Times New Roman" w:cs="Times New Roman"/>
          <w:i/>
          <w:color w:val="auto"/>
          <w:lang w:val="id-ID"/>
        </w:rPr>
        <w:t>Size</w:t>
      </w:r>
      <w:r w:rsidRPr="004A30A6">
        <w:rPr>
          <w:rFonts w:ascii="Times New Roman" w:hAnsi="Times New Roman" w:cs="Times New Roman"/>
          <w:color w:val="auto"/>
          <w:lang w:val="id-ID"/>
        </w:rPr>
        <w:t xml:space="preserve"> terhadap DER</w:t>
      </w:r>
    </w:p>
    <w:p w14:paraId="5BC58767" w14:textId="43E857EE" w:rsidR="00A42A92" w:rsidRDefault="00A42A92" w:rsidP="00A42A92">
      <w:pPr>
        <w:ind w:right="-1"/>
        <w:jc w:val="both"/>
        <w:rPr>
          <w:lang w:val="id-ID"/>
        </w:rPr>
      </w:pPr>
      <w:r>
        <w:tab/>
      </w:r>
      <w:proofErr w:type="gramStart"/>
      <w:r w:rsidRPr="00E629DC">
        <w:t xml:space="preserve">Berdasarkan hasil pengujian hipotesis didapatkan bahwa </w:t>
      </w:r>
      <w:r w:rsidRPr="00E629DC">
        <w:rPr>
          <w:i/>
        </w:rPr>
        <w:t xml:space="preserve">Size </w:t>
      </w:r>
      <w:r w:rsidRPr="00E629DC">
        <w:t xml:space="preserve">berpengaruh positif signifikan terhadap </w:t>
      </w:r>
      <w:r w:rsidRPr="00E629DC">
        <w:rPr>
          <w:i/>
        </w:rPr>
        <w:t xml:space="preserve">Debt to Equity Ratio </w:t>
      </w:r>
      <w:r w:rsidRPr="00E629DC">
        <w:t>(DER)</w:t>
      </w:r>
      <w:r w:rsidRPr="00E629DC">
        <w:rPr>
          <w:lang w:val="id-ID"/>
        </w:rPr>
        <w:t>, dimana</w:t>
      </w:r>
      <w:r w:rsidRPr="00E629DC">
        <w:t xml:space="preserve"> </w:t>
      </w:r>
      <w:r w:rsidRPr="00E629DC">
        <w:rPr>
          <w:lang w:val="id-ID"/>
        </w:rPr>
        <w:sym w:font="Symbol" w:char="F062"/>
      </w:r>
      <w:r w:rsidRPr="00E629DC">
        <w:rPr>
          <w:vertAlign w:val="subscript"/>
          <w:lang w:val="id-ID"/>
        </w:rPr>
        <w:t>2</w:t>
      </w:r>
      <w:r w:rsidRPr="00E629DC">
        <w:rPr>
          <w:lang w:val="id-ID"/>
        </w:rPr>
        <w:t xml:space="preserve"> = </w:t>
      </w:r>
      <w:r w:rsidRPr="00E629DC">
        <w:rPr>
          <w:noProof/>
          <w:lang w:val="id-ID" w:eastAsia="id-ID"/>
        </w:rPr>
        <w:t>0,332</w:t>
      </w:r>
      <w:r w:rsidRPr="00E629DC">
        <w:rPr>
          <w:lang w:val="id-ID"/>
        </w:rPr>
        <w:t>.</w:t>
      </w:r>
      <w:proofErr w:type="gramEnd"/>
      <w:r w:rsidRPr="00E629DC">
        <w:rPr>
          <w:lang w:val="id-ID"/>
        </w:rPr>
        <w:t xml:space="preserve"> Koefisien </w:t>
      </w:r>
      <w:r w:rsidRPr="00E629DC">
        <w:rPr>
          <w:lang w:val="id-ID"/>
        </w:rPr>
        <w:sym w:font="Symbol" w:char="F062"/>
      </w:r>
      <w:r w:rsidRPr="00E629DC">
        <w:rPr>
          <w:vertAlign w:val="subscript"/>
          <w:lang w:val="id-ID"/>
        </w:rPr>
        <w:t>2</w:t>
      </w:r>
      <w:r w:rsidRPr="00E629DC">
        <w:rPr>
          <w:lang w:val="id-ID"/>
        </w:rPr>
        <w:t xml:space="preserve"> bertanda positif menunjukkan besarnya pengaruh Size terhadap DER yang berarti bahwa bila Size perusahaan meningkat maka DER</w:t>
      </w:r>
      <w:r w:rsidRPr="00E629DC">
        <w:rPr>
          <w:bCs/>
        </w:rPr>
        <w:t xml:space="preserve"> </w:t>
      </w:r>
      <w:r w:rsidRPr="00E629DC">
        <w:rPr>
          <w:bCs/>
          <w:lang w:val="id-ID"/>
        </w:rPr>
        <w:t>perusahaan pertambangan juga</w:t>
      </w:r>
      <w:r w:rsidRPr="00E629DC">
        <w:rPr>
          <w:lang w:val="id-ID"/>
        </w:rPr>
        <w:t xml:space="preserve"> akan mengalami peningkatan.</w:t>
      </w:r>
    </w:p>
    <w:p w14:paraId="702BB356" w14:textId="3BC41C65" w:rsidR="00A42A92" w:rsidRDefault="00A42A92" w:rsidP="00A42A92">
      <w:pPr>
        <w:ind w:right="-1"/>
        <w:jc w:val="both"/>
      </w:pPr>
      <w:r>
        <w:rPr>
          <w:lang w:val="id-ID"/>
        </w:rPr>
        <w:tab/>
      </w:r>
      <w:r w:rsidRPr="00E629DC">
        <w:rPr>
          <w:lang w:val="id-ID"/>
        </w:rPr>
        <w:t xml:space="preserve">Rumusan masalah yang diajukan berdasarkan hasil penelitian, diperoleh jawaban bahwa </w:t>
      </w:r>
      <w:r w:rsidRPr="00E629DC">
        <w:rPr>
          <w:i/>
        </w:rPr>
        <w:t xml:space="preserve">Size </w:t>
      </w:r>
      <w:r w:rsidRPr="00E629DC">
        <w:t xml:space="preserve">berpengaruh positif signifikan terhadap (DER) </w:t>
      </w:r>
      <w:r w:rsidRPr="00E629DC">
        <w:rPr>
          <w:lang w:val="id-ID"/>
        </w:rPr>
        <w:t xml:space="preserve">pada perusahaan pertambangan yang </w:t>
      </w:r>
      <w:r w:rsidRPr="00E629DC">
        <w:rPr>
          <w:i/>
          <w:lang w:val="id-ID"/>
        </w:rPr>
        <w:t>listed</w:t>
      </w:r>
      <w:r w:rsidRPr="00E629DC">
        <w:rPr>
          <w:lang w:val="id-ID"/>
        </w:rPr>
        <w:t xml:space="preserve"> di Bursa Efek Indonesia tahun 2010 – 2013. Hasil penelitian ini diperkuat oleh penelitian </w:t>
      </w:r>
      <w:r w:rsidRPr="00E629DC">
        <w:t>Damayanti (2013) yang menyatakan bahwa variabel ukuran perusahaan (</w:t>
      </w:r>
      <w:r w:rsidRPr="00E629DC">
        <w:rPr>
          <w:i/>
        </w:rPr>
        <w:t>Size</w:t>
      </w:r>
      <w:r w:rsidRPr="00E629DC">
        <w:t>) mempunyai pengaruh positif signifikan terhadap struktur modal (DER</w:t>
      </w:r>
      <w:r>
        <w:t>).</w:t>
      </w:r>
    </w:p>
    <w:p w14:paraId="6D821426" w14:textId="324BDE42" w:rsidR="00A42A92" w:rsidRDefault="00A42A92" w:rsidP="00A42A92">
      <w:pPr>
        <w:ind w:right="-1"/>
        <w:jc w:val="both"/>
        <w:rPr>
          <w:b/>
        </w:rPr>
      </w:pPr>
      <w:r w:rsidRPr="00A42A92">
        <w:rPr>
          <w:b/>
        </w:rPr>
        <w:lastRenderedPageBreak/>
        <w:t xml:space="preserve">Pengaruh </w:t>
      </w:r>
      <w:r w:rsidRPr="00A42A92">
        <w:rPr>
          <w:b/>
          <w:i/>
        </w:rPr>
        <w:t>Sales Growth</w:t>
      </w:r>
      <w:r w:rsidRPr="00A42A92">
        <w:rPr>
          <w:b/>
        </w:rPr>
        <w:t xml:space="preserve"> terhadap DER</w:t>
      </w:r>
    </w:p>
    <w:p w14:paraId="5457E21F" w14:textId="4522C076" w:rsidR="00A42A92" w:rsidRPr="00E629DC" w:rsidRDefault="00A42A92" w:rsidP="00A42A92">
      <w:pPr>
        <w:ind w:right="-1"/>
        <w:jc w:val="both"/>
        <w:rPr>
          <w:lang w:val="id-ID"/>
        </w:rPr>
      </w:pPr>
      <w:r>
        <w:tab/>
      </w:r>
      <w:proofErr w:type="gramStart"/>
      <w:r w:rsidRPr="00E629DC">
        <w:t xml:space="preserve">Berdasarkan hasil pengujian hipotesis didapatkan bahwa </w:t>
      </w:r>
      <w:r w:rsidRPr="00E629DC">
        <w:rPr>
          <w:i/>
          <w:lang w:val="id-ID"/>
        </w:rPr>
        <w:t xml:space="preserve">Sales Growth </w:t>
      </w:r>
      <w:r w:rsidRPr="00E629DC">
        <w:rPr>
          <w:lang w:val="id-ID"/>
        </w:rPr>
        <w:t xml:space="preserve">berpengaruh positif tidak signifikan terhadap DER dimana </w:t>
      </w:r>
      <w:r w:rsidRPr="00E629DC">
        <w:rPr>
          <w:lang w:val="id-ID"/>
        </w:rPr>
        <w:sym w:font="Symbol" w:char="F062"/>
      </w:r>
      <w:r w:rsidRPr="00E629DC">
        <w:rPr>
          <w:vertAlign w:val="subscript"/>
        </w:rPr>
        <w:t>3</w:t>
      </w:r>
      <w:r w:rsidRPr="00E629DC">
        <w:rPr>
          <w:lang w:val="id-ID"/>
        </w:rPr>
        <w:t xml:space="preserve"> = </w:t>
      </w:r>
      <w:r w:rsidRPr="00E629DC">
        <w:rPr>
          <w:noProof/>
          <w:lang w:eastAsia="id-ID"/>
        </w:rPr>
        <w:t>0,</w:t>
      </w:r>
      <w:r w:rsidRPr="00E629DC">
        <w:rPr>
          <w:color w:val="000000"/>
          <w:lang w:val="id-ID"/>
        </w:rPr>
        <w:t>098</w:t>
      </w:r>
      <w:r w:rsidRPr="00E629DC">
        <w:rPr>
          <w:lang w:val="id-ID"/>
        </w:rPr>
        <w:t>.</w:t>
      </w:r>
      <w:proofErr w:type="gramEnd"/>
      <w:r w:rsidRPr="00E629DC">
        <w:rPr>
          <w:lang w:val="id-ID"/>
        </w:rPr>
        <w:t xml:space="preserve"> Koefisien </w:t>
      </w:r>
      <w:r w:rsidRPr="00E629DC">
        <w:rPr>
          <w:lang w:val="id-ID"/>
        </w:rPr>
        <w:sym w:font="Symbol" w:char="F062"/>
      </w:r>
      <w:r w:rsidRPr="00E629DC">
        <w:rPr>
          <w:vertAlign w:val="subscript"/>
          <w:lang w:val="id-ID"/>
        </w:rPr>
        <w:t>3</w:t>
      </w:r>
      <w:r w:rsidRPr="00E629DC">
        <w:rPr>
          <w:lang w:val="id-ID"/>
        </w:rPr>
        <w:t xml:space="preserve"> bertanda positif menunjukkan besarnya pengaruh </w:t>
      </w:r>
      <w:r w:rsidRPr="00E629DC">
        <w:rPr>
          <w:i/>
          <w:lang w:val="id-ID"/>
        </w:rPr>
        <w:t>Sales Growth</w:t>
      </w:r>
      <w:r w:rsidRPr="00E629DC">
        <w:rPr>
          <w:lang w:val="id-ID"/>
        </w:rPr>
        <w:t xml:space="preserve"> terhadap DER yang berarti bahwa bila </w:t>
      </w:r>
      <w:r w:rsidRPr="00E629DC">
        <w:rPr>
          <w:i/>
          <w:lang w:val="id-ID"/>
        </w:rPr>
        <w:t>Sales Growth</w:t>
      </w:r>
      <w:r w:rsidRPr="00E629DC">
        <w:rPr>
          <w:lang w:val="id-ID"/>
        </w:rPr>
        <w:t xml:space="preserve"> meningkat maka DER</w:t>
      </w:r>
      <w:r w:rsidRPr="00E629DC">
        <w:rPr>
          <w:bCs/>
        </w:rPr>
        <w:t xml:space="preserve"> </w:t>
      </w:r>
      <w:r w:rsidRPr="00E629DC">
        <w:rPr>
          <w:bCs/>
          <w:lang w:val="id-ID"/>
        </w:rPr>
        <w:t>perusahaan pertambangan juga</w:t>
      </w:r>
      <w:r w:rsidRPr="00E629DC">
        <w:rPr>
          <w:lang w:val="id-ID"/>
        </w:rPr>
        <w:t xml:space="preserve"> akan mengalami peningkatan.</w:t>
      </w:r>
    </w:p>
    <w:p w14:paraId="4A8AAD2F" w14:textId="77777777" w:rsidR="00A42A92" w:rsidRDefault="00A42A92" w:rsidP="00A42A92">
      <w:pPr>
        <w:ind w:right="-1"/>
        <w:jc w:val="both"/>
      </w:pPr>
      <w:r w:rsidRPr="00E629DC">
        <w:rPr>
          <w:b/>
          <w:bCs/>
          <w:lang w:val="id-ID"/>
        </w:rPr>
        <w:tab/>
      </w:r>
      <w:r w:rsidRPr="00E629DC">
        <w:rPr>
          <w:lang w:val="id-ID"/>
        </w:rPr>
        <w:t xml:space="preserve">Rumusan masalah yang diajukan berdasarkan hasil penelitian, diperoleh jawaban bahwa </w:t>
      </w:r>
      <w:r w:rsidRPr="00E629DC">
        <w:rPr>
          <w:i/>
          <w:lang w:val="id-ID"/>
        </w:rPr>
        <w:t xml:space="preserve">Sales Growth </w:t>
      </w:r>
      <w:r w:rsidRPr="00E629DC">
        <w:rPr>
          <w:lang w:val="id-ID"/>
        </w:rPr>
        <w:t xml:space="preserve">berpengaruh positif tidak signifikan terhadap DER pada perusahaan pertambangan yang </w:t>
      </w:r>
      <w:r w:rsidRPr="00E629DC">
        <w:rPr>
          <w:i/>
          <w:lang w:val="id-ID"/>
        </w:rPr>
        <w:t>listed</w:t>
      </w:r>
      <w:r w:rsidRPr="00E629DC">
        <w:rPr>
          <w:lang w:val="id-ID"/>
        </w:rPr>
        <w:t xml:space="preserve"> di Bursa Efek Indonesia tahun 2010 – 2013. </w:t>
      </w:r>
      <w:r>
        <w:rPr>
          <w:lang w:val="id-ID"/>
        </w:rPr>
        <w:t xml:space="preserve">Berdasarkan data statistik terlihat bahwa standar deviasi untuk </w:t>
      </w:r>
      <w:r w:rsidRPr="00E629DC">
        <w:rPr>
          <w:i/>
          <w:lang w:val="id-ID"/>
        </w:rPr>
        <w:t xml:space="preserve">Sales Growth </w:t>
      </w:r>
      <w:r>
        <w:rPr>
          <w:lang w:val="id-ID"/>
        </w:rPr>
        <w:t>lebih kecil dari nilai rata-ratanya (</w:t>
      </w:r>
      <w:r w:rsidRPr="0073185C">
        <w:rPr>
          <w:i/>
          <w:lang w:val="id-ID"/>
        </w:rPr>
        <w:t>mean</w:t>
      </w:r>
      <w:r>
        <w:rPr>
          <w:lang w:val="id-ID"/>
        </w:rPr>
        <w:t xml:space="preserve">), hal ini berarti variasi </w:t>
      </w:r>
      <w:r w:rsidRPr="00E629DC">
        <w:rPr>
          <w:i/>
          <w:lang w:val="id-ID"/>
        </w:rPr>
        <w:t xml:space="preserve">Sales Growth </w:t>
      </w:r>
      <w:r>
        <w:rPr>
          <w:lang w:val="id-ID"/>
        </w:rPr>
        <w:t xml:space="preserve">pada sampel perusahaan kecil. Variasi </w:t>
      </w:r>
      <w:r w:rsidRPr="00E629DC">
        <w:rPr>
          <w:i/>
          <w:lang w:val="id-ID"/>
        </w:rPr>
        <w:t xml:space="preserve">Sales Growth </w:t>
      </w:r>
      <w:r>
        <w:rPr>
          <w:lang w:val="id-ID"/>
        </w:rPr>
        <w:t xml:space="preserve">yang kecil ini akan berdampak pada pengaruh </w:t>
      </w:r>
      <w:r w:rsidRPr="00E629DC">
        <w:rPr>
          <w:i/>
          <w:lang w:val="id-ID"/>
        </w:rPr>
        <w:t xml:space="preserve">Sales Growth </w:t>
      </w:r>
      <w:r>
        <w:rPr>
          <w:lang w:val="id-ID"/>
        </w:rPr>
        <w:t>terhadap DER yang tidak bermakna (tidak signifikan). Hal ini didukung oleh penelitian Indriani dan Widyarti (2013) yang menyatakan bahwa terdapat pengaruh positif tidak signifikan antara variabel Pertumbuhan penjualan (</w:t>
      </w:r>
      <w:r w:rsidRPr="00024246">
        <w:rPr>
          <w:i/>
          <w:lang w:val="id-ID"/>
        </w:rPr>
        <w:t>Sales Growth</w:t>
      </w:r>
      <w:r>
        <w:rPr>
          <w:lang w:val="id-ID"/>
        </w:rPr>
        <w:t xml:space="preserve">) terhadap struktur modal (DER). </w:t>
      </w:r>
      <w:proofErr w:type="gramStart"/>
      <w:r w:rsidRPr="00E629DC">
        <w:t>Hasil penelitian ini tidak sesuai dengan hipotesis yang telah dirumuskan sebelumnya.</w:t>
      </w:r>
      <w:proofErr w:type="gramEnd"/>
    </w:p>
    <w:p w14:paraId="613E4748" w14:textId="77777777" w:rsidR="00A42A92" w:rsidRDefault="00A42A92" w:rsidP="00A42A92">
      <w:pPr>
        <w:ind w:right="-1"/>
        <w:jc w:val="both"/>
      </w:pPr>
    </w:p>
    <w:p w14:paraId="2D417BE2" w14:textId="74DD91FC" w:rsidR="00A42A92" w:rsidRPr="00A42A92" w:rsidRDefault="00A42A92" w:rsidP="00A42A92">
      <w:pPr>
        <w:ind w:right="-1"/>
        <w:jc w:val="both"/>
        <w:rPr>
          <w:b/>
          <w:lang w:val="id-ID"/>
        </w:rPr>
      </w:pPr>
      <w:r w:rsidRPr="00A42A92">
        <w:rPr>
          <w:b/>
          <w:lang w:val="id-ID"/>
        </w:rPr>
        <w:t>Pengaruh ROA terhadap PBV</w:t>
      </w:r>
    </w:p>
    <w:p w14:paraId="75801DCC" w14:textId="77777777" w:rsidR="00A42A92" w:rsidRDefault="00A42A92" w:rsidP="00A42A92">
      <w:pPr>
        <w:ind w:right="-1"/>
        <w:jc w:val="both"/>
      </w:pPr>
      <w:r>
        <w:rPr>
          <w:lang w:val="id-ID"/>
        </w:rPr>
        <w:tab/>
      </w:r>
      <w:r w:rsidRPr="00E629DC">
        <w:rPr>
          <w:lang w:val="id-ID"/>
        </w:rPr>
        <w:t xml:space="preserve">Rumusan masalah yang diajukan berdasarkan hasil penelitian, diperoleh jawaban bahwa </w:t>
      </w:r>
      <w:r w:rsidRPr="00E629DC">
        <w:t xml:space="preserve">ROA </w:t>
      </w:r>
      <w:r w:rsidRPr="00E629DC">
        <w:rPr>
          <w:noProof/>
          <w:lang w:eastAsia="id-ID"/>
        </w:rPr>
        <w:t xml:space="preserve">berpengaruh </w:t>
      </w:r>
      <w:r w:rsidRPr="00E629DC">
        <w:rPr>
          <w:noProof/>
          <w:lang w:val="id-ID" w:eastAsia="id-ID"/>
        </w:rPr>
        <w:t xml:space="preserve">positif </w:t>
      </w:r>
      <w:r w:rsidRPr="00E629DC">
        <w:rPr>
          <w:noProof/>
          <w:lang w:eastAsia="id-ID"/>
        </w:rPr>
        <w:t>signifikan</w:t>
      </w:r>
      <w:r w:rsidRPr="00E629DC">
        <w:rPr>
          <w:noProof/>
          <w:lang w:val="id-ID" w:eastAsia="id-ID"/>
        </w:rPr>
        <w:t xml:space="preserve"> </w:t>
      </w:r>
      <w:r w:rsidRPr="00E629DC">
        <w:rPr>
          <w:noProof/>
          <w:lang w:eastAsia="id-ID"/>
        </w:rPr>
        <w:t xml:space="preserve">terhadap </w:t>
      </w:r>
      <w:r w:rsidRPr="00E629DC">
        <w:rPr>
          <w:color w:val="000000"/>
          <w:lang w:val="id-ID"/>
        </w:rPr>
        <w:t xml:space="preserve">(PBV) </w:t>
      </w:r>
      <w:r w:rsidRPr="00E629DC">
        <w:rPr>
          <w:lang w:val="id-ID"/>
        </w:rPr>
        <w:t xml:space="preserve">pada perusahaan pertambangan yang </w:t>
      </w:r>
      <w:r w:rsidRPr="00E629DC">
        <w:rPr>
          <w:i/>
          <w:lang w:val="id-ID"/>
        </w:rPr>
        <w:t>listed</w:t>
      </w:r>
      <w:r w:rsidRPr="00E629DC">
        <w:rPr>
          <w:lang w:val="id-ID"/>
        </w:rPr>
        <w:t xml:space="preserve"> di Bursa Efek Indonesia tahun 2010 – 2013. </w:t>
      </w:r>
      <w:r w:rsidRPr="00B97C67">
        <w:t xml:space="preserve">Hal ini menunjukkan bahwa perusahaan yang mempunyai kemampuan yang tinggi dalam menghasilkan laba melalui pemanfaatan aset yang dimilikinya akan mempunyai kas yang besar pada tahun mendatang, hal tersebut akan membuat perusahaan untuk terus menempatkan dananya pada pos-pos investasi yang menguntungkan di masa mendatang. Hasil ini mendukung teori </w:t>
      </w:r>
      <w:r w:rsidRPr="00B97C67">
        <w:rPr>
          <w:i/>
        </w:rPr>
        <w:t>signalling</w:t>
      </w:r>
      <w:r w:rsidRPr="00B97C67">
        <w:t xml:space="preserve">, dimana sinyal positif yang ditunjukkan perusahaan melalui tingkat profitabilitas yang tinggi </w:t>
      </w:r>
      <w:proofErr w:type="gramStart"/>
      <w:r w:rsidRPr="00B97C67">
        <w:t>akan</w:t>
      </w:r>
      <w:proofErr w:type="gramEnd"/>
      <w:r w:rsidRPr="00B97C67">
        <w:t xml:space="preserve"> memberikan nilai lebih bagi perusahaan. </w:t>
      </w:r>
    </w:p>
    <w:p w14:paraId="0300E4D8" w14:textId="6C8FD2AF" w:rsidR="00A42A92" w:rsidRDefault="00A42A92" w:rsidP="00A42A92">
      <w:pPr>
        <w:ind w:right="-1"/>
        <w:jc w:val="both"/>
      </w:pPr>
      <w:r>
        <w:tab/>
      </w:r>
      <w:r w:rsidRPr="00B97C67">
        <w:rPr>
          <w:lang w:val="pt-BR"/>
        </w:rPr>
        <w:t xml:space="preserve">Profitabilitas perusahaan yang tinggi mengindikasikan bahwa perusahaan tersebut berkinerja baik dan sehat, sehingga akan menarik minat investor untuk menanamkan modalnya pada perusahaan tersebut. Tingginya minat investor akan berakibat pada naiknya harga saham yang secara langsung akan berdampak pada meningkatnya nilai perusahaan. Perusahaan yang </w:t>
      </w:r>
      <w:r w:rsidRPr="00B97C67">
        <w:rPr>
          <w:i/>
          <w:lang w:val="pt-BR"/>
        </w:rPr>
        <w:t>profitable</w:t>
      </w:r>
      <w:r w:rsidRPr="00B97C67">
        <w:rPr>
          <w:lang w:val="pt-BR"/>
        </w:rPr>
        <w:t xml:space="preserve"> dengan sengaja akan memberikan sinyal pada pasar yang berupa informasi secara efektif, sehingga dapat ditangkap pasar dan dipersepsikan dengan baik, sehingga tidak mudah ditiru oleh perusahaan yang berkualitas buruk (Husnan, 1998). </w:t>
      </w:r>
      <w:r w:rsidRPr="00E629DC">
        <w:rPr>
          <w:lang w:val="id-ID"/>
        </w:rPr>
        <w:t xml:space="preserve">Hasil penelitian ini diperkuat oleh penelitian </w:t>
      </w:r>
      <w:r w:rsidRPr="00E629DC">
        <w:t>Chen dan Chen (2011) yang menemukan bahwa profitabilitas memiliki pengaruh positif signifikan terhadap nilai perusahaan.</w:t>
      </w:r>
    </w:p>
    <w:p w14:paraId="64928127" w14:textId="77777777" w:rsidR="00A42A92" w:rsidRDefault="00A42A92" w:rsidP="00A42A92">
      <w:pPr>
        <w:ind w:right="-1"/>
        <w:jc w:val="both"/>
      </w:pPr>
    </w:p>
    <w:p w14:paraId="63719F7D" w14:textId="190074F3" w:rsidR="00A42A92" w:rsidRPr="00A42A92" w:rsidRDefault="00A42A92" w:rsidP="00A42A92">
      <w:pPr>
        <w:ind w:right="-1"/>
        <w:jc w:val="both"/>
        <w:rPr>
          <w:b/>
        </w:rPr>
      </w:pPr>
      <w:r w:rsidRPr="00A42A92">
        <w:rPr>
          <w:b/>
        </w:rPr>
        <w:t xml:space="preserve">Pengaruh </w:t>
      </w:r>
      <w:r w:rsidRPr="00A42A92">
        <w:rPr>
          <w:b/>
          <w:i/>
        </w:rPr>
        <w:t>Size</w:t>
      </w:r>
      <w:r w:rsidRPr="00A42A92">
        <w:rPr>
          <w:b/>
        </w:rPr>
        <w:t xml:space="preserve"> terhadap PBV</w:t>
      </w:r>
    </w:p>
    <w:p w14:paraId="3FC05146" w14:textId="61DB21A7" w:rsidR="00A42A92" w:rsidRPr="00E629DC" w:rsidRDefault="00A42A92" w:rsidP="00A42A92">
      <w:pPr>
        <w:ind w:right="-1"/>
        <w:jc w:val="both"/>
        <w:rPr>
          <w:lang w:val="id-ID"/>
        </w:rPr>
      </w:pPr>
      <w:r>
        <w:tab/>
      </w:r>
      <w:proofErr w:type="gramStart"/>
      <w:r w:rsidRPr="00E629DC">
        <w:t>Berdasarkan hasil pengujian hipotesis didapatkan bahwa ukuran perusahaan (</w:t>
      </w:r>
      <w:r w:rsidRPr="00E629DC">
        <w:rPr>
          <w:i/>
        </w:rPr>
        <w:t>Size</w:t>
      </w:r>
      <w:r w:rsidRPr="00E629DC">
        <w:t xml:space="preserve">) </w:t>
      </w:r>
      <w:r w:rsidRPr="00E629DC">
        <w:rPr>
          <w:noProof/>
          <w:lang w:eastAsia="id-ID"/>
        </w:rPr>
        <w:t xml:space="preserve">berpengaruh </w:t>
      </w:r>
      <w:r w:rsidRPr="00E629DC">
        <w:rPr>
          <w:noProof/>
          <w:lang w:val="id-ID" w:eastAsia="id-ID"/>
        </w:rPr>
        <w:t xml:space="preserve">positif </w:t>
      </w:r>
      <w:r w:rsidRPr="00E629DC">
        <w:rPr>
          <w:noProof/>
          <w:lang w:eastAsia="id-ID"/>
        </w:rPr>
        <w:t>signifikan</w:t>
      </w:r>
      <w:r w:rsidRPr="00E629DC">
        <w:rPr>
          <w:noProof/>
          <w:lang w:val="id-ID" w:eastAsia="id-ID"/>
        </w:rPr>
        <w:t xml:space="preserve"> </w:t>
      </w:r>
      <w:r w:rsidRPr="00E629DC">
        <w:rPr>
          <w:noProof/>
          <w:lang w:eastAsia="id-ID"/>
        </w:rPr>
        <w:t xml:space="preserve">terhadap </w:t>
      </w:r>
      <w:r w:rsidRPr="00E629DC">
        <w:rPr>
          <w:i/>
          <w:color w:val="000000"/>
          <w:lang w:val="id-ID"/>
        </w:rPr>
        <w:t>Price to Book Value</w:t>
      </w:r>
      <w:r w:rsidRPr="00E629DC">
        <w:rPr>
          <w:color w:val="000000"/>
          <w:lang w:val="id-ID"/>
        </w:rPr>
        <w:t xml:space="preserve"> (PBV), dimana</w:t>
      </w:r>
      <w:r w:rsidRPr="00E629DC">
        <w:t xml:space="preserve"> </w:t>
      </w:r>
      <w:r w:rsidRPr="00E629DC">
        <w:rPr>
          <w:lang w:val="id-ID"/>
        </w:rPr>
        <w:sym w:font="Symbol" w:char="F062"/>
      </w:r>
      <w:r w:rsidRPr="00E629DC">
        <w:rPr>
          <w:vertAlign w:val="subscript"/>
          <w:lang w:val="id-ID"/>
        </w:rPr>
        <w:t>2</w:t>
      </w:r>
      <w:r w:rsidRPr="00E629DC">
        <w:rPr>
          <w:lang w:val="id-ID"/>
        </w:rPr>
        <w:t xml:space="preserve"> = </w:t>
      </w:r>
      <w:r>
        <w:rPr>
          <w:noProof/>
          <w:lang w:val="id-ID" w:eastAsia="id-ID"/>
        </w:rPr>
        <w:t>0,15</w:t>
      </w:r>
      <w:r w:rsidRPr="00E629DC">
        <w:rPr>
          <w:noProof/>
          <w:lang w:val="id-ID" w:eastAsia="id-ID"/>
        </w:rPr>
        <w:t>2</w:t>
      </w:r>
      <w:r w:rsidRPr="00E629DC">
        <w:rPr>
          <w:lang w:val="id-ID"/>
        </w:rPr>
        <w:t>.</w:t>
      </w:r>
      <w:proofErr w:type="gramEnd"/>
      <w:r w:rsidRPr="00E629DC">
        <w:rPr>
          <w:lang w:val="id-ID"/>
        </w:rPr>
        <w:t xml:space="preserve"> Koefisien </w:t>
      </w:r>
      <w:r w:rsidRPr="00E629DC">
        <w:rPr>
          <w:lang w:val="id-ID"/>
        </w:rPr>
        <w:sym w:font="Symbol" w:char="F062"/>
      </w:r>
      <w:r w:rsidRPr="00E629DC">
        <w:rPr>
          <w:vertAlign w:val="subscript"/>
          <w:lang w:val="id-ID"/>
        </w:rPr>
        <w:t>2</w:t>
      </w:r>
      <w:r w:rsidRPr="00E629DC">
        <w:rPr>
          <w:lang w:val="id-ID"/>
        </w:rPr>
        <w:t xml:space="preserve"> bertanda positif menunjukkan besarnya pengaruh Size terhadap PBV yang berarti bahwa bila Size mengalami peningkatan maka PBV</w:t>
      </w:r>
      <w:r w:rsidRPr="00E629DC">
        <w:rPr>
          <w:bCs/>
        </w:rPr>
        <w:t xml:space="preserve"> </w:t>
      </w:r>
      <w:r w:rsidRPr="00E629DC">
        <w:rPr>
          <w:bCs/>
          <w:lang w:val="id-ID"/>
        </w:rPr>
        <w:t>perusahaan pertambangan juga</w:t>
      </w:r>
      <w:r w:rsidRPr="00E629DC">
        <w:rPr>
          <w:lang w:val="id-ID"/>
        </w:rPr>
        <w:t xml:space="preserve"> akan meningkat.</w:t>
      </w:r>
    </w:p>
    <w:p w14:paraId="4FFAC16C" w14:textId="77777777" w:rsidR="00A42A92" w:rsidRPr="00E9423D" w:rsidRDefault="00A42A92" w:rsidP="00A42A92">
      <w:pPr>
        <w:ind w:right="-1"/>
        <w:jc w:val="both"/>
        <w:rPr>
          <w:lang w:val="id-ID"/>
        </w:rPr>
      </w:pPr>
      <w:r w:rsidRPr="00E629DC">
        <w:rPr>
          <w:lang w:val="id-ID"/>
        </w:rPr>
        <w:tab/>
        <w:t xml:space="preserve">Rumusan masalah yang diajukan berdasarkan hasil penelitian, diperoleh jawaban bahwa </w:t>
      </w:r>
      <w:r w:rsidRPr="00E629DC">
        <w:rPr>
          <w:i/>
        </w:rPr>
        <w:t>Size</w:t>
      </w:r>
      <w:r w:rsidRPr="00E629DC">
        <w:t xml:space="preserve"> </w:t>
      </w:r>
      <w:r w:rsidRPr="00E629DC">
        <w:rPr>
          <w:noProof/>
          <w:lang w:eastAsia="id-ID"/>
        </w:rPr>
        <w:t xml:space="preserve">berpengaruh </w:t>
      </w:r>
      <w:r w:rsidRPr="00E629DC">
        <w:rPr>
          <w:noProof/>
          <w:lang w:val="id-ID" w:eastAsia="id-ID"/>
        </w:rPr>
        <w:t xml:space="preserve">positif </w:t>
      </w:r>
      <w:r>
        <w:rPr>
          <w:noProof/>
          <w:lang w:val="id-ID" w:eastAsia="id-ID"/>
        </w:rPr>
        <w:t xml:space="preserve">tidak </w:t>
      </w:r>
      <w:r w:rsidRPr="00E629DC">
        <w:rPr>
          <w:noProof/>
          <w:lang w:eastAsia="id-ID"/>
        </w:rPr>
        <w:t>signifikan</w:t>
      </w:r>
      <w:r w:rsidRPr="00E629DC">
        <w:rPr>
          <w:noProof/>
          <w:lang w:val="id-ID" w:eastAsia="id-ID"/>
        </w:rPr>
        <w:t xml:space="preserve"> </w:t>
      </w:r>
      <w:r w:rsidRPr="00E629DC">
        <w:rPr>
          <w:noProof/>
          <w:lang w:eastAsia="id-ID"/>
        </w:rPr>
        <w:t xml:space="preserve">terhadap </w:t>
      </w:r>
      <w:r w:rsidRPr="00E629DC">
        <w:rPr>
          <w:color w:val="000000"/>
          <w:lang w:val="id-ID"/>
        </w:rPr>
        <w:t xml:space="preserve">(PBV) </w:t>
      </w:r>
      <w:r w:rsidRPr="00E629DC">
        <w:rPr>
          <w:lang w:val="id-ID"/>
        </w:rPr>
        <w:t xml:space="preserve">pada perusahaan pertambangan yang </w:t>
      </w:r>
      <w:r w:rsidRPr="00E629DC">
        <w:rPr>
          <w:i/>
          <w:lang w:val="id-ID"/>
        </w:rPr>
        <w:t>listed</w:t>
      </w:r>
      <w:r w:rsidRPr="00E629DC">
        <w:rPr>
          <w:lang w:val="id-ID"/>
        </w:rPr>
        <w:t xml:space="preserve"> di Bursa Efek Indonesia tahun 2010 – 2013. </w:t>
      </w:r>
      <w:r>
        <w:rPr>
          <w:lang w:val="id-ID"/>
        </w:rPr>
        <w:t>Hasil penelitian ini sejalan dengan penelitian Dewi dan Wirajaya (2013) yang menyatakan bahwa ukuran perusahaan (</w:t>
      </w:r>
      <w:r w:rsidRPr="0073185C">
        <w:rPr>
          <w:i/>
          <w:lang w:val="id-ID"/>
        </w:rPr>
        <w:t>Size</w:t>
      </w:r>
      <w:r>
        <w:rPr>
          <w:lang w:val="id-ID"/>
        </w:rPr>
        <w:t xml:space="preserve">) tidak berpengaruh </w:t>
      </w:r>
      <w:r>
        <w:rPr>
          <w:lang w:val="id-ID"/>
        </w:rPr>
        <w:lastRenderedPageBreak/>
        <w:t>terhadap nilai perusahaan. Berdasarkan data statistik terlihat bahwa standar deviasi untuk ukuran perusahaan (</w:t>
      </w:r>
      <w:r w:rsidRPr="0073185C">
        <w:rPr>
          <w:i/>
          <w:lang w:val="id-ID"/>
        </w:rPr>
        <w:t>Size</w:t>
      </w:r>
      <w:r>
        <w:rPr>
          <w:lang w:val="id-ID"/>
        </w:rPr>
        <w:t>) lebih kecil dari nilai rata-ratanya (</w:t>
      </w:r>
      <w:r w:rsidRPr="0073185C">
        <w:rPr>
          <w:i/>
          <w:lang w:val="id-ID"/>
        </w:rPr>
        <w:t>mean</w:t>
      </w:r>
      <w:r>
        <w:rPr>
          <w:lang w:val="id-ID"/>
        </w:rPr>
        <w:t>), hal ini berarti variasi ukuran perusahaan (</w:t>
      </w:r>
      <w:r w:rsidRPr="0073185C">
        <w:rPr>
          <w:i/>
          <w:lang w:val="id-ID"/>
        </w:rPr>
        <w:t>Size</w:t>
      </w:r>
      <w:r>
        <w:rPr>
          <w:lang w:val="id-ID"/>
        </w:rPr>
        <w:t>) pada sampel perusahaan kecil. Variasi ukuran perusahaan (</w:t>
      </w:r>
      <w:r w:rsidRPr="0073185C">
        <w:rPr>
          <w:i/>
          <w:lang w:val="id-ID"/>
        </w:rPr>
        <w:t>Size</w:t>
      </w:r>
      <w:r>
        <w:rPr>
          <w:lang w:val="id-ID"/>
        </w:rPr>
        <w:t>) yang kecil ini akan berdampak pada pengaruh ukuran perusahaan (</w:t>
      </w:r>
      <w:r w:rsidRPr="0073185C">
        <w:rPr>
          <w:i/>
          <w:lang w:val="id-ID"/>
        </w:rPr>
        <w:t>Size</w:t>
      </w:r>
      <w:r>
        <w:rPr>
          <w:lang w:val="id-ID"/>
        </w:rPr>
        <w:t xml:space="preserve">) terhadap nilai perusahaan yang tidak bermakna (tidak signifikan). </w:t>
      </w:r>
      <w:proofErr w:type="gramStart"/>
      <w:r w:rsidRPr="00E629DC">
        <w:t>Hasil penelitian ini tidak sesuai dengan hipotesis yang telah dirumuskan sebelumnya.</w:t>
      </w:r>
      <w:proofErr w:type="gramEnd"/>
    </w:p>
    <w:p w14:paraId="548B852A" w14:textId="77777777" w:rsidR="004A30A6" w:rsidRDefault="004A30A6" w:rsidP="004A30A6">
      <w:pPr>
        <w:spacing w:after="120"/>
        <w:rPr>
          <w:b/>
          <w:iCs/>
          <w:lang w:val="id-ID"/>
        </w:rPr>
      </w:pPr>
    </w:p>
    <w:p w14:paraId="2EA6E035" w14:textId="52F4113E" w:rsidR="00A42A92" w:rsidRDefault="00A42A92" w:rsidP="004A30A6">
      <w:pPr>
        <w:spacing w:after="120"/>
        <w:rPr>
          <w:b/>
          <w:iCs/>
          <w:lang w:val="id-ID"/>
        </w:rPr>
      </w:pPr>
      <w:r>
        <w:rPr>
          <w:b/>
          <w:iCs/>
          <w:lang w:val="id-ID"/>
        </w:rPr>
        <w:t xml:space="preserve">Pengaruh </w:t>
      </w:r>
      <w:r w:rsidRPr="00A42A92">
        <w:rPr>
          <w:b/>
          <w:i/>
          <w:iCs/>
          <w:lang w:val="id-ID"/>
        </w:rPr>
        <w:t>Sales Growth</w:t>
      </w:r>
      <w:r>
        <w:rPr>
          <w:b/>
          <w:iCs/>
          <w:lang w:val="id-ID"/>
        </w:rPr>
        <w:t xml:space="preserve"> terhadap PBV</w:t>
      </w:r>
    </w:p>
    <w:p w14:paraId="573FE6FD" w14:textId="4D2FC84D" w:rsidR="00A42A92" w:rsidRPr="00E629DC" w:rsidRDefault="00A42A92" w:rsidP="00A42A92">
      <w:pPr>
        <w:ind w:right="-1"/>
        <w:jc w:val="both"/>
        <w:rPr>
          <w:lang w:val="id-ID"/>
        </w:rPr>
      </w:pPr>
      <w:r>
        <w:tab/>
      </w:r>
      <w:proofErr w:type="gramStart"/>
      <w:r w:rsidRPr="00E629DC">
        <w:t xml:space="preserve">Berdasarkan hasil pengujian hipotesis didapatkan bahwa </w:t>
      </w:r>
      <w:r w:rsidRPr="00E629DC">
        <w:rPr>
          <w:bCs/>
          <w:lang w:val="id-ID"/>
        </w:rPr>
        <w:t>Pertumbuhan penjualan (</w:t>
      </w:r>
      <w:r w:rsidRPr="00E629DC">
        <w:rPr>
          <w:i/>
        </w:rPr>
        <w:t>Sales Growth</w:t>
      </w:r>
      <w:r w:rsidRPr="00E629DC">
        <w:t xml:space="preserve">) berpengaruh negatif dan signifikan terhadap </w:t>
      </w:r>
      <w:r w:rsidRPr="00E629DC">
        <w:rPr>
          <w:i/>
          <w:color w:val="000000"/>
          <w:lang w:val="id-ID"/>
        </w:rPr>
        <w:t>Price to Book Value</w:t>
      </w:r>
      <w:r w:rsidRPr="00E629DC">
        <w:rPr>
          <w:color w:val="000000"/>
          <w:lang w:val="id-ID"/>
        </w:rPr>
        <w:t xml:space="preserve"> (PBV), dimana </w:t>
      </w:r>
      <w:r w:rsidRPr="00E629DC">
        <w:rPr>
          <w:lang w:val="id-ID"/>
        </w:rPr>
        <w:sym w:font="Symbol" w:char="F062"/>
      </w:r>
      <w:r w:rsidRPr="00E629DC">
        <w:rPr>
          <w:vertAlign w:val="subscript"/>
        </w:rPr>
        <w:t>3</w:t>
      </w:r>
      <w:r>
        <w:rPr>
          <w:lang w:val="id-ID"/>
        </w:rPr>
        <w:t xml:space="preserve"> = -0,211</w:t>
      </w:r>
      <w:r w:rsidRPr="00E629DC">
        <w:rPr>
          <w:lang w:val="id-ID"/>
        </w:rPr>
        <w:t>.</w:t>
      </w:r>
      <w:proofErr w:type="gramEnd"/>
      <w:r w:rsidRPr="00E629DC">
        <w:rPr>
          <w:lang w:val="id-ID"/>
        </w:rPr>
        <w:t xml:space="preserve"> Koefisien </w:t>
      </w:r>
      <w:r w:rsidRPr="00E629DC">
        <w:rPr>
          <w:lang w:val="id-ID"/>
        </w:rPr>
        <w:sym w:font="Symbol" w:char="F062"/>
      </w:r>
      <w:r w:rsidRPr="00E629DC">
        <w:rPr>
          <w:vertAlign w:val="subscript"/>
          <w:lang w:val="id-ID"/>
        </w:rPr>
        <w:t>3</w:t>
      </w:r>
      <w:r w:rsidRPr="00E629DC">
        <w:rPr>
          <w:lang w:val="id-ID"/>
        </w:rPr>
        <w:t xml:space="preserve"> bertanda negatif menunjukkan besarnya pengaruh </w:t>
      </w:r>
      <w:r w:rsidRPr="00E629DC">
        <w:rPr>
          <w:i/>
          <w:lang w:val="id-ID"/>
        </w:rPr>
        <w:t>Sales Growth</w:t>
      </w:r>
      <w:r w:rsidRPr="00E629DC">
        <w:rPr>
          <w:lang w:val="id-ID"/>
        </w:rPr>
        <w:t xml:space="preserve"> terhadap PBV yang berarti bahwa bila </w:t>
      </w:r>
      <w:r w:rsidRPr="00E629DC">
        <w:rPr>
          <w:i/>
          <w:lang w:val="id-ID"/>
        </w:rPr>
        <w:t>Sales Growth</w:t>
      </w:r>
      <w:r w:rsidRPr="00E629DC">
        <w:rPr>
          <w:lang w:val="id-ID"/>
        </w:rPr>
        <w:t xml:space="preserve"> mengalami peningkatan maka PBV</w:t>
      </w:r>
      <w:r w:rsidRPr="00E629DC">
        <w:rPr>
          <w:bCs/>
        </w:rPr>
        <w:t xml:space="preserve"> </w:t>
      </w:r>
      <w:r w:rsidRPr="00E629DC">
        <w:rPr>
          <w:bCs/>
          <w:lang w:val="id-ID"/>
        </w:rPr>
        <w:t xml:space="preserve">perusahaan pertambangan </w:t>
      </w:r>
      <w:r w:rsidRPr="00E629DC">
        <w:rPr>
          <w:lang w:val="id-ID"/>
        </w:rPr>
        <w:t>akan mengalami penurunan.</w:t>
      </w:r>
    </w:p>
    <w:p w14:paraId="498D4F80" w14:textId="77777777" w:rsidR="00A42A92" w:rsidRDefault="00A42A92" w:rsidP="00A42A92">
      <w:pPr>
        <w:ind w:right="-1"/>
        <w:jc w:val="both"/>
      </w:pPr>
      <w:r w:rsidRPr="00E629DC">
        <w:rPr>
          <w:lang w:val="id-ID"/>
        </w:rPr>
        <w:tab/>
      </w:r>
      <w:r w:rsidRPr="00E962EB">
        <w:rPr>
          <w:lang w:val="id-ID"/>
        </w:rPr>
        <w:t xml:space="preserve">Rumusan masalah yang diajukan berdasarkan hasil penelitian, diperoleh jawaban bahwa </w:t>
      </w:r>
      <w:r w:rsidRPr="00E962EB">
        <w:rPr>
          <w:i/>
        </w:rPr>
        <w:t>Sales Growth</w:t>
      </w:r>
      <w:r w:rsidRPr="00E962EB">
        <w:t xml:space="preserve"> berpengaruh negatif dan signifikan terhadap </w:t>
      </w:r>
      <w:r w:rsidRPr="00E962EB">
        <w:rPr>
          <w:color w:val="000000"/>
          <w:lang w:val="id-ID"/>
        </w:rPr>
        <w:t xml:space="preserve">(PBV) </w:t>
      </w:r>
      <w:r w:rsidRPr="00E962EB">
        <w:rPr>
          <w:lang w:val="id-ID"/>
        </w:rPr>
        <w:t xml:space="preserve">pada perusahaan pertambangan yang </w:t>
      </w:r>
      <w:r w:rsidRPr="00E962EB">
        <w:rPr>
          <w:i/>
          <w:lang w:val="id-ID"/>
        </w:rPr>
        <w:t>listed</w:t>
      </w:r>
      <w:r w:rsidRPr="00E962EB">
        <w:rPr>
          <w:lang w:val="id-ID"/>
        </w:rPr>
        <w:t xml:space="preserve"> di Bursa Efek Indonesia tahun 2010 – 2013. Hal ini disebabkan oleh fluktuasi data </w:t>
      </w:r>
      <w:r w:rsidRPr="00E962EB">
        <w:rPr>
          <w:i/>
          <w:lang w:val="id-ID"/>
        </w:rPr>
        <w:t xml:space="preserve">Sales Growth </w:t>
      </w:r>
      <w:r w:rsidRPr="00E962EB">
        <w:rPr>
          <w:lang w:val="id-ID"/>
        </w:rPr>
        <w:t xml:space="preserve">dari sampel penelitian yang ada menunjukkan  pergerakan yang tidak begitu tinggi dari tahun ke tahun. Hasil penelitian ini sejalan dengan penelitian Chowdhury dan Chowdhury (2010) serta Hansen dan Juniarty (2014) yang menyatakan bahwa  </w:t>
      </w:r>
      <w:r w:rsidRPr="00E962EB">
        <w:rPr>
          <w:bCs/>
          <w:lang w:val="id-ID"/>
        </w:rPr>
        <w:t>pertumbuhan penjualan (</w:t>
      </w:r>
      <w:r w:rsidRPr="00E962EB">
        <w:rPr>
          <w:i/>
        </w:rPr>
        <w:t>Sales Growth</w:t>
      </w:r>
      <w:r w:rsidRPr="00E962EB">
        <w:t>) berpengaruh negatif terhadap nilai perusahaan. Hal ini mencerminkan bahwa untuk perusahaan pertambangan, variabel pertumbuhan penjualan (</w:t>
      </w:r>
      <w:r w:rsidRPr="00E962EB">
        <w:rPr>
          <w:i/>
        </w:rPr>
        <w:t>Sales Growth</w:t>
      </w:r>
      <w:r w:rsidRPr="00E962EB">
        <w:t xml:space="preserve">) tidak dapat dijadikan indikator dalam menentukan nilai perusahaan (PBV) </w:t>
      </w:r>
      <w:proofErr w:type="gramStart"/>
      <w:r w:rsidRPr="00E962EB">
        <w:t xml:space="preserve">karena </w:t>
      </w:r>
      <w:r w:rsidRPr="00E962EB">
        <w:rPr>
          <w:lang w:val="id-ID"/>
        </w:rPr>
        <w:t xml:space="preserve"> </w:t>
      </w:r>
      <w:r w:rsidRPr="00E962EB">
        <w:rPr>
          <w:bCs/>
          <w:lang w:val="id-ID"/>
        </w:rPr>
        <w:t>pertumbuhan</w:t>
      </w:r>
      <w:proofErr w:type="gramEnd"/>
      <w:r w:rsidRPr="00E962EB">
        <w:rPr>
          <w:bCs/>
          <w:lang w:val="id-ID"/>
        </w:rPr>
        <w:t xml:space="preserve"> penjualan (</w:t>
      </w:r>
      <w:r w:rsidRPr="00E962EB">
        <w:rPr>
          <w:i/>
        </w:rPr>
        <w:t>Sales Growth</w:t>
      </w:r>
      <w:r w:rsidRPr="00E962EB">
        <w:t xml:space="preserve">) seharusnya memiliki dampak psoitif pada perusahaan. </w:t>
      </w:r>
      <w:proofErr w:type="gramStart"/>
      <w:r w:rsidRPr="00E962EB">
        <w:t>Hasil penelitian ini tidak sesuai dengan hipotesis yang telah dirumuskan sebelumnya.</w:t>
      </w:r>
      <w:proofErr w:type="gramEnd"/>
    </w:p>
    <w:p w14:paraId="3D2413E8" w14:textId="77777777" w:rsidR="00A42A92" w:rsidRDefault="00A42A92" w:rsidP="00A42A92">
      <w:pPr>
        <w:ind w:right="-1"/>
        <w:jc w:val="both"/>
      </w:pPr>
    </w:p>
    <w:p w14:paraId="2C1C6E45" w14:textId="59BF0F60" w:rsidR="00A42A92" w:rsidRPr="00A42A92" w:rsidRDefault="00A42A92" w:rsidP="00A42A92">
      <w:pPr>
        <w:ind w:right="-1"/>
        <w:jc w:val="both"/>
        <w:rPr>
          <w:b/>
          <w:lang w:val="id-ID"/>
        </w:rPr>
      </w:pPr>
      <w:r w:rsidRPr="00A42A92">
        <w:rPr>
          <w:b/>
        </w:rPr>
        <w:t>Pengaruh DER terhadap PBV</w:t>
      </w:r>
    </w:p>
    <w:p w14:paraId="52EBDE76" w14:textId="60274929" w:rsidR="00A42A92" w:rsidRPr="00E629DC" w:rsidRDefault="00A42A92" w:rsidP="00A42A92">
      <w:pPr>
        <w:jc w:val="both"/>
        <w:rPr>
          <w:lang w:val="id-ID"/>
        </w:rPr>
      </w:pPr>
      <w:r>
        <w:tab/>
      </w:r>
      <w:r w:rsidRPr="00E629DC">
        <w:t xml:space="preserve">Berdasarkan hasil pengujian hipotesis didapatkan bahwa </w:t>
      </w:r>
      <w:r w:rsidRPr="00E629DC">
        <w:rPr>
          <w:bCs/>
          <w:i/>
          <w:lang w:val="id-ID"/>
        </w:rPr>
        <w:t>Debt to Equity Ratio</w:t>
      </w:r>
      <w:r w:rsidRPr="00E629DC">
        <w:t xml:space="preserve"> (</w:t>
      </w:r>
      <w:r w:rsidRPr="00E629DC">
        <w:rPr>
          <w:noProof/>
          <w:lang w:val="id-ID" w:eastAsia="id-ID"/>
        </w:rPr>
        <w:t xml:space="preserve">DER) </w:t>
      </w:r>
      <w:r w:rsidRPr="00E629DC">
        <w:rPr>
          <w:noProof/>
          <w:lang w:eastAsia="id-ID"/>
        </w:rPr>
        <w:t xml:space="preserve">terbukti berpengaruh </w:t>
      </w:r>
      <w:r w:rsidRPr="00E629DC">
        <w:rPr>
          <w:noProof/>
          <w:lang w:val="id-ID" w:eastAsia="id-ID"/>
        </w:rPr>
        <w:t xml:space="preserve">positif </w:t>
      </w:r>
      <w:r w:rsidRPr="00E629DC">
        <w:rPr>
          <w:noProof/>
          <w:lang w:eastAsia="id-ID"/>
        </w:rPr>
        <w:t>signifikan</w:t>
      </w:r>
      <w:r w:rsidRPr="00E629DC">
        <w:rPr>
          <w:noProof/>
          <w:lang w:val="id-ID" w:eastAsia="id-ID"/>
        </w:rPr>
        <w:t xml:space="preserve"> </w:t>
      </w:r>
      <w:r w:rsidRPr="00E629DC">
        <w:rPr>
          <w:noProof/>
          <w:lang w:eastAsia="id-ID"/>
        </w:rPr>
        <w:t xml:space="preserve">terhadap </w:t>
      </w:r>
      <w:r w:rsidRPr="00E629DC">
        <w:rPr>
          <w:i/>
          <w:color w:val="000000"/>
          <w:lang w:val="id-ID"/>
        </w:rPr>
        <w:t>Price to Book Value</w:t>
      </w:r>
      <w:r w:rsidRPr="00E629DC">
        <w:rPr>
          <w:color w:val="000000"/>
          <w:lang w:val="id-ID"/>
        </w:rPr>
        <w:t xml:space="preserve"> (PBV), dimana </w:t>
      </w:r>
      <w:r w:rsidRPr="00E629DC">
        <w:rPr>
          <w:lang w:val="id-ID"/>
        </w:rPr>
        <w:sym w:font="Symbol" w:char="F062"/>
      </w:r>
      <w:r w:rsidRPr="00E629DC">
        <w:rPr>
          <w:vertAlign w:val="subscript"/>
          <w:lang w:val="id-ID"/>
        </w:rPr>
        <w:t>5</w:t>
      </w:r>
      <w:r w:rsidRPr="00E629DC">
        <w:rPr>
          <w:lang w:val="id-ID"/>
        </w:rPr>
        <w:t xml:space="preserve"> </w:t>
      </w:r>
      <w:r>
        <w:rPr>
          <w:lang w:val="id-ID"/>
        </w:rPr>
        <w:t xml:space="preserve">= </w:t>
      </w:r>
      <w:proofErr w:type="gramStart"/>
      <w:r>
        <w:rPr>
          <w:lang w:val="id-ID"/>
        </w:rPr>
        <w:t>0,330</w:t>
      </w:r>
      <w:r w:rsidRPr="00E629DC">
        <w:rPr>
          <w:lang w:val="id-ID"/>
        </w:rPr>
        <w:t xml:space="preserve"> .</w:t>
      </w:r>
      <w:proofErr w:type="gramEnd"/>
      <w:r w:rsidRPr="00E629DC">
        <w:rPr>
          <w:lang w:val="id-ID"/>
        </w:rPr>
        <w:t xml:space="preserve"> Koefisien </w:t>
      </w:r>
      <w:r w:rsidRPr="00E629DC">
        <w:rPr>
          <w:lang w:val="id-ID"/>
        </w:rPr>
        <w:sym w:font="Symbol" w:char="F062"/>
      </w:r>
      <w:r w:rsidRPr="00E629DC">
        <w:rPr>
          <w:vertAlign w:val="subscript"/>
          <w:lang w:val="id-ID"/>
        </w:rPr>
        <w:t>5</w:t>
      </w:r>
      <w:r w:rsidRPr="00E629DC">
        <w:rPr>
          <w:lang w:val="id-ID"/>
        </w:rPr>
        <w:t xml:space="preserve"> bertanda positif menunjukkan besarnya pengaruh DER terhadap PBV yang berarti bahwa bila DER mengalami peningkatan maka PBV</w:t>
      </w:r>
      <w:r w:rsidRPr="00E629DC">
        <w:rPr>
          <w:bCs/>
        </w:rPr>
        <w:t xml:space="preserve"> </w:t>
      </w:r>
      <w:r w:rsidRPr="00E629DC">
        <w:rPr>
          <w:bCs/>
          <w:lang w:val="id-ID"/>
        </w:rPr>
        <w:t>perusahaan pertambangan juga</w:t>
      </w:r>
      <w:r w:rsidRPr="00E629DC">
        <w:rPr>
          <w:lang w:val="id-ID"/>
        </w:rPr>
        <w:t xml:space="preserve"> akan meningkat.</w:t>
      </w:r>
    </w:p>
    <w:p w14:paraId="2CD80284" w14:textId="5D0F3C89" w:rsidR="004A30A6" w:rsidRDefault="00A42A92" w:rsidP="0017629E">
      <w:pPr>
        <w:jc w:val="both"/>
        <w:rPr>
          <w:lang w:val="id-ID"/>
        </w:rPr>
      </w:pPr>
      <w:r w:rsidRPr="00E629DC">
        <w:rPr>
          <w:lang w:val="id-ID"/>
        </w:rPr>
        <w:tab/>
        <w:t xml:space="preserve">Rumusan masalah yang diajukan berdasarkan hasil penelitian, diperoleh jawaban bahwa </w:t>
      </w:r>
      <w:r w:rsidRPr="00E629DC">
        <w:rPr>
          <w:noProof/>
          <w:lang w:val="id-ID" w:eastAsia="id-ID"/>
        </w:rPr>
        <w:t xml:space="preserve">DER </w:t>
      </w:r>
      <w:r w:rsidRPr="00E629DC">
        <w:rPr>
          <w:noProof/>
          <w:lang w:eastAsia="id-ID"/>
        </w:rPr>
        <w:t xml:space="preserve">terbukti berpengaruh </w:t>
      </w:r>
      <w:r w:rsidRPr="00E629DC">
        <w:rPr>
          <w:noProof/>
          <w:lang w:val="id-ID" w:eastAsia="id-ID"/>
        </w:rPr>
        <w:t xml:space="preserve">positif </w:t>
      </w:r>
      <w:r w:rsidRPr="00E629DC">
        <w:rPr>
          <w:noProof/>
          <w:lang w:eastAsia="id-ID"/>
        </w:rPr>
        <w:t>signifikan</w:t>
      </w:r>
      <w:r w:rsidRPr="00E629DC">
        <w:rPr>
          <w:noProof/>
          <w:lang w:val="id-ID" w:eastAsia="id-ID"/>
        </w:rPr>
        <w:t xml:space="preserve"> </w:t>
      </w:r>
      <w:r w:rsidRPr="00E629DC">
        <w:rPr>
          <w:noProof/>
          <w:lang w:eastAsia="id-ID"/>
        </w:rPr>
        <w:t xml:space="preserve">terhadap </w:t>
      </w:r>
      <w:r w:rsidRPr="00E629DC">
        <w:rPr>
          <w:color w:val="000000"/>
          <w:lang w:val="id-ID"/>
        </w:rPr>
        <w:t xml:space="preserve">PBV </w:t>
      </w:r>
      <w:r w:rsidRPr="00E629DC">
        <w:rPr>
          <w:lang w:val="id-ID"/>
        </w:rPr>
        <w:t xml:space="preserve">pada perusahaan pertambangan yang </w:t>
      </w:r>
      <w:r w:rsidRPr="00E629DC">
        <w:rPr>
          <w:i/>
          <w:lang w:val="id-ID"/>
        </w:rPr>
        <w:t>listed</w:t>
      </w:r>
      <w:r w:rsidRPr="00E629DC">
        <w:rPr>
          <w:lang w:val="id-ID"/>
        </w:rPr>
        <w:t xml:space="preserve"> di Bursa Efek Indonesia tahun 2010 – 2013. Hasil penelitian ini diperkuat oleh penelitian </w:t>
      </w:r>
      <w:r w:rsidRPr="00E629DC">
        <w:t xml:space="preserve">Bukit (2012) yang menyatakan bahwa struktur modal berpengaruh positif dan signifikan terhadap nilai perusahaan yang diukur dengan </w:t>
      </w:r>
      <w:r>
        <w:rPr>
          <w:i/>
        </w:rPr>
        <w:t>Price to Book V</w:t>
      </w:r>
      <w:r w:rsidRPr="00E629DC">
        <w:rPr>
          <w:i/>
        </w:rPr>
        <w:t xml:space="preserve">alue </w:t>
      </w:r>
      <w:r w:rsidRPr="00E629DC">
        <w:t>(PBV).</w:t>
      </w:r>
      <w:r w:rsidRPr="00E629DC">
        <w:rPr>
          <w:lang w:val="id-ID"/>
        </w:rPr>
        <w:tab/>
      </w:r>
    </w:p>
    <w:p w14:paraId="2C9234BA" w14:textId="77777777" w:rsidR="0017629E" w:rsidRDefault="0017629E" w:rsidP="0017629E">
      <w:pPr>
        <w:jc w:val="both"/>
        <w:rPr>
          <w:lang w:val="id-ID"/>
        </w:rPr>
      </w:pPr>
    </w:p>
    <w:p w14:paraId="7FFD9F0E" w14:textId="0473A42B" w:rsidR="0017629E" w:rsidRPr="0017629E" w:rsidRDefault="0017629E" w:rsidP="0017629E">
      <w:pPr>
        <w:jc w:val="both"/>
        <w:rPr>
          <w:b/>
          <w:lang w:val="id-ID"/>
        </w:rPr>
      </w:pPr>
      <w:r w:rsidRPr="0017629E">
        <w:rPr>
          <w:b/>
          <w:lang w:val="id-ID"/>
        </w:rPr>
        <w:t>Pengaruh ROA terhadap PBV yang dimediasi oleh DER</w:t>
      </w:r>
    </w:p>
    <w:p w14:paraId="4E289684" w14:textId="0D734CD2" w:rsidR="0017629E" w:rsidRPr="00E629DC" w:rsidRDefault="0017629E" w:rsidP="0017629E">
      <w:pPr>
        <w:ind w:right="-1"/>
        <w:jc w:val="both"/>
        <w:rPr>
          <w:lang w:val="id-ID"/>
        </w:rPr>
      </w:pPr>
      <w:r>
        <w:rPr>
          <w:bCs/>
          <w:lang w:val="id-ID"/>
        </w:rPr>
        <w:tab/>
      </w:r>
      <w:r w:rsidRPr="00E629DC">
        <w:rPr>
          <w:bCs/>
          <w:lang w:val="id-ID"/>
        </w:rPr>
        <w:t xml:space="preserve">Berdasarkan hasil uji </w:t>
      </w:r>
      <w:r w:rsidRPr="00E629DC">
        <w:rPr>
          <w:bCs/>
          <w:i/>
          <w:lang w:val="id-ID"/>
        </w:rPr>
        <w:t>sobel test</w:t>
      </w:r>
      <w:r w:rsidRPr="00E629DC">
        <w:rPr>
          <w:bCs/>
          <w:lang w:val="id-ID"/>
        </w:rPr>
        <w:t xml:space="preserve"> didapatkan bahwa </w:t>
      </w:r>
      <w:r w:rsidRPr="00E629DC">
        <w:rPr>
          <w:bCs/>
          <w:i/>
          <w:lang w:val="id-ID"/>
        </w:rPr>
        <w:t>Debt to Equity Ratio</w:t>
      </w:r>
      <w:r w:rsidRPr="00E629DC">
        <w:rPr>
          <w:bCs/>
          <w:lang w:val="id-ID"/>
        </w:rPr>
        <w:t xml:space="preserve"> (DER) tidak memiliki pengaruh mediasi terhadap hubungan antara </w:t>
      </w:r>
      <w:r w:rsidRPr="00E629DC">
        <w:rPr>
          <w:bCs/>
          <w:i/>
          <w:lang w:val="id-ID"/>
        </w:rPr>
        <w:t>Return on Asset</w:t>
      </w:r>
      <w:r w:rsidRPr="00E629DC">
        <w:rPr>
          <w:bCs/>
          <w:lang w:val="id-ID"/>
        </w:rPr>
        <w:t xml:space="preserve"> (ROA) dengan </w:t>
      </w:r>
      <w:r w:rsidRPr="00E629DC">
        <w:rPr>
          <w:bCs/>
          <w:i/>
          <w:lang w:val="id-ID"/>
        </w:rPr>
        <w:t>Price to Book Value</w:t>
      </w:r>
      <w:r w:rsidRPr="00E629DC">
        <w:rPr>
          <w:bCs/>
          <w:lang w:val="id-ID"/>
        </w:rPr>
        <w:t xml:space="preserve"> (PBV).  Hasil tersebut dapat dilihat dari nilai t hitung </w:t>
      </w:r>
      <w:r w:rsidRPr="00E629DC">
        <w:t xml:space="preserve">sebesar </w:t>
      </w:r>
      <w:r>
        <w:rPr>
          <w:lang w:val="id-ID"/>
        </w:rPr>
        <w:t>-2,318</w:t>
      </w:r>
      <w:r w:rsidRPr="00E629DC">
        <w:t xml:space="preserve"> </w:t>
      </w:r>
      <w:r w:rsidRPr="00E629DC">
        <w:rPr>
          <w:lang w:val="id-ID"/>
        </w:rPr>
        <w:t>lebih</w:t>
      </w:r>
      <w:r w:rsidRPr="00E629DC">
        <w:t xml:space="preserve"> </w:t>
      </w:r>
      <w:r w:rsidRPr="00E629DC">
        <w:rPr>
          <w:lang w:val="id-ID"/>
        </w:rPr>
        <w:t>kecil</w:t>
      </w:r>
      <w:r w:rsidRPr="00E629DC">
        <w:t xml:space="preserve"> dari t tabel sebesar 1,96</w:t>
      </w:r>
      <w:r w:rsidRPr="00E629DC">
        <w:rPr>
          <w:lang w:val="id-ID"/>
        </w:rPr>
        <w:t xml:space="preserve">0 </w:t>
      </w:r>
      <w:r w:rsidRPr="00E629DC">
        <w:t xml:space="preserve">dengan tingkat signifikansi 0,05. Rumusan masalah yang diajukan dengan berdasarkan hasil penelitian, diperoleh jawaban yaitu DER tidak memediasi pengaruh antara ROA terhadap PBV </w:t>
      </w:r>
      <w:r w:rsidRPr="00E629DC">
        <w:rPr>
          <w:lang w:val="id-ID"/>
        </w:rPr>
        <w:t xml:space="preserve">pada perusahaan pertambangan yang </w:t>
      </w:r>
      <w:r w:rsidRPr="00E629DC">
        <w:rPr>
          <w:i/>
          <w:lang w:val="id-ID"/>
        </w:rPr>
        <w:t>listed</w:t>
      </w:r>
      <w:r w:rsidRPr="00E629DC">
        <w:rPr>
          <w:lang w:val="id-ID"/>
        </w:rPr>
        <w:t xml:space="preserve"> di Bursa Efek Indonesia tahun 2010 – 2013. </w:t>
      </w:r>
    </w:p>
    <w:p w14:paraId="062325F1" w14:textId="77777777" w:rsidR="0017629E" w:rsidRDefault="0017629E" w:rsidP="0017629E">
      <w:pPr>
        <w:jc w:val="both"/>
        <w:rPr>
          <w:iCs/>
          <w:lang w:val="id-ID"/>
        </w:rPr>
      </w:pPr>
      <w:r w:rsidRPr="00E629DC">
        <w:rPr>
          <w:lang w:val="id-ID"/>
        </w:rPr>
        <w:lastRenderedPageBreak/>
        <w:tab/>
        <w:t xml:space="preserve">Penelitian ini juga menunjukkan </w:t>
      </w:r>
      <w:r>
        <w:rPr>
          <w:lang w:val="id-ID"/>
        </w:rPr>
        <w:t xml:space="preserve">besarnya </w:t>
      </w:r>
      <w:r w:rsidRPr="00E629DC">
        <w:rPr>
          <w:lang w:val="id-ID"/>
        </w:rPr>
        <w:t>pengaruh hubungan langsung</w:t>
      </w:r>
      <w:r>
        <w:rPr>
          <w:lang w:val="id-ID"/>
        </w:rPr>
        <w:t xml:space="preserve"> sebesar</w:t>
      </w:r>
      <w:r w:rsidRPr="00E629DC">
        <w:rPr>
          <w:lang w:val="id-ID"/>
        </w:rPr>
        <w:t xml:space="preserve"> </w:t>
      </w:r>
      <w:r>
        <w:rPr>
          <w:lang w:val="id-ID"/>
        </w:rPr>
        <w:t>0,511. Sedangkan besarnya pengaruh hubungan tidak langsung sebesar</w:t>
      </w:r>
      <w:r w:rsidRPr="00E629DC">
        <w:rPr>
          <w:iCs/>
          <w:lang w:val="id-ID"/>
        </w:rPr>
        <w:t xml:space="preserve"> </w:t>
      </w:r>
      <w:r>
        <w:rPr>
          <w:iCs/>
          <w:lang w:val="id-ID"/>
        </w:rPr>
        <w:t xml:space="preserve">-0,156 dengan total pengaruh hubungan </w:t>
      </w:r>
      <w:r w:rsidRPr="00E629DC">
        <w:rPr>
          <w:iCs/>
          <w:lang w:val="id-ID"/>
        </w:rPr>
        <w:t xml:space="preserve">adalah </w:t>
      </w:r>
      <w:r>
        <w:rPr>
          <w:iCs/>
          <w:lang w:val="id-ID"/>
        </w:rPr>
        <w:t>sebesar 0,335. Hal tersebut dapat diartikan bahwa pengaruh langsung ROA ke PBV lebih kuat daripada pengaruh tidak langsung ROA ke PBV melalui DER.</w:t>
      </w:r>
    </w:p>
    <w:p w14:paraId="6AE71FA0" w14:textId="77777777" w:rsidR="0017629E" w:rsidRDefault="0017629E" w:rsidP="0017629E">
      <w:pPr>
        <w:jc w:val="both"/>
        <w:rPr>
          <w:iCs/>
          <w:lang w:val="id-ID"/>
        </w:rPr>
      </w:pPr>
    </w:p>
    <w:p w14:paraId="21D72C8D" w14:textId="611605E8" w:rsidR="0017629E" w:rsidRPr="0017629E" w:rsidRDefault="0017629E" w:rsidP="0017629E">
      <w:pPr>
        <w:jc w:val="both"/>
        <w:rPr>
          <w:b/>
          <w:lang w:val="id-ID"/>
        </w:rPr>
      </w:pPr>
      <w:r>
        <w:rPr>
          <w:b/>
          <w:lang w:val="id-ID"/>
        </w:rPr>
        <w:t xml:space="preserve">Pengaruh </w:t>
      </w:r>
      <w:r>
        <w:rPr>
          <w:b/>
          <w:i/>
          <w:lang w:val="id-ID"/>
        </w:rPr>
        <w:t>Size</w:t>
      </w:r>
      <w:r w:rsidRPr="0017629E">
        <w:rPr>
          <w:b/>
          <w:lang w:val="id-ID"/>
        </w:rPr>
        <w:t xml:space="preserve"> terhadap PBV yang dimediasi oleh DER</w:t>
      </w:r>
    </w:p>
    <w:p w14:paraId="0AA01598" w14:textId="708B887A" w:rsidR="0017629E" w:rsidRPr="00E629DC" w:rsidRDefault="0017629E" w:rsidP="0017629E">
      <w:pPr>
        <w:ind w:right="-1"/>
        <w:jc w:val="both"/>
        <w:rPr>
          <w:lang w:val="id-ID"/>
        </w:rPr>
      </w:pPr>
      <w:r>
        <w:rPr>
          <w:bCs/>
          <w:lang w:val="id-ID"/>
        </w:rPr>
        <w:tab/>
      </w:r>
      <w:r w:rsidRPr="00E629DC">
        <w:rPr>
          <w:bCs/>
          <w:lang w:val="id-ID"/>
        </w:rPr>
        <w:t xml:space="preserve">Berdasarkan hasil uji </w:t>
      </w:r>
      <w:r w:rsidRPr="00E629DC">
        <w:rPr>
          <w:bCs/>
          <w:i/>
          <w:lang w:val="id-ID"/>
        </w:rPr>
        <w:t>sobel test</w:t>
      </w:r>
      <w:r w:rsidRPr="00E629DC">
        <w:rPr>
          <w:bCs/>
          <w:lang w:val="id-ID"/>
        </w:rPr>
        <w:t xml:space="preserve"> didapatkan bahwa </w:t>
      </w:r>
      <w:r w:rsidRPr="00E629DC">
        <w:rPr>
          <w:bCs/>
          <w:i/>
          <w:lang w:val="id-ID"/>
        </w:rPr>
        <w:t>Debt to Equity Ratio</w:t>
      </w:r>
      <w:r w:rsidRPr="00E629DC">
        <w:rPr>
          <w:bCs/>
          <w:lang w:val="id-ID"/>
        </w:rPr>
        <w:t xml:space="preserve"> (DER) tidak memiliki pengaruh mediasi terhadap hubungan antara ukuran perusahaan (</w:t>
      </w:r>
      <w:r w:rsidRPr="00E629DC">
        <w:rPr>
          <w:bCs/>
          <w:i/>
          <w:lang w:val="id-ID"/>
        </w:rPr>
        <w:t>Size</w:t>
      </w:r>
      <w:r w:rsidRPr="00E629DC">
        <w:rPr>
          <w:bCs/>
          <w:lang w:val="id-ID"/>
        </w:rPr>
        <w:t>)</w:t>
      </w:r>
      <w:r w:rsidRPr="00E629DC">
        <w:rPr>
          <w:bCs/>
          <w:i/>
          <w:lang w:val="id-ID"/>
        </w:rPr>
        <w:t xml:space="preserve"> </w:t>
      </w:r>
      <w:r w:rsidRPr="00E629DC">
        <w:rPr>
          <w:bCs/>
          <w:lang w:val="id-ID"/>
        </w:rPr>
        <w:t xml:space="preserve">dengan </w:t>
      </w:r>
      <w:r w:rsidRPr="00E629DC">
        <w:rPr>
          <w:bCs/>
          <w:i/>
          <w:lang w:val="id-ID"/>
        </w:rPr>
        <w:t>Price to Book Value</w:t>
      </w:r>
      <w:r w:rsidRPr="00E629DC">
        <w:rPr>
          <w:bCs/>
          <w:lang w:val="id-ID"/>
        </w:rPr>
        <w:t xml:space="preserve"> (PBV).  Hasil tersebut dapat dilihat dari nilai t hitung </w:t>
      </w:r>
      <w:r w:rsidRPr="00E629DC">
        <w:t xml:space="preserve">sebesar </w:t>
      </w:r>
      <w:r>
        <w:rPr>
          <w:lang w:val="id-ID"/>
        </w:rPr>
        <w:t>2,005</w:t>
      </w:r>
      <w:r w:rsidRPr="00E629DC">
        <w:t xml:space="preserve"> </w:t>
      </w:r>
      <w:r w:rsidRPr="00E629DC">
        <w:rPr>
          <w:lang w:val="id-ID"/>
        </w:rPr>
        <w:t>lebih</w:t>
      </w:r>
      <w:r w:rsidRPr="00E629DC">
        <w:t xml:space="preserve"> </w:t>
      </w:r>
      <w:r>
        <w:rPr>
          <w:lang w:val="id-ID"/>
        </w:rPr>
        <w:t>besar</w:t>
      </w:r>
      <w:r w:rsidRPr="00E629DC">
        <w:t xml:space="preserve"> dari t tabel sebesar 1,96</w:t>
      </w:r>
      <w:r w:rsidRPr="00E629DC">
        <w:rPr>
          <w:lang w:val="id-ID"/>
        </w:rPr>
        <w:t xml:space="preserve">0 </w:t>
      </w:r>
      <w:r w:rsidRPr="00E629DC">
        <w:t>dengan tingkat signifikansi 0,05. Rumusan masalah yang diajukan dengan berdasarkan hasil penelitian, d</w:t>
      </w:r>
      <w:r>
        <w:t>iperoleh jawaban yaitu DER</w:t>
      </w:r>
      <w:r w:rsidRPr="00E629DC">
        <w:t xml:space="preserve"> memediasi pengaruh antara </w:t>
      </w:r>
      <w:r w:rsidRPr="00E629DC">
        <w:rPr>
          <w:i/>
        </w:rPr>
        <w:t>Size</w:t>
      </w:r>
      <w:r w:rsidRPr="00E629DC">
        <w:t xml:space="preserve"> terhadap PBV </w:t>
      </w:r>
      <w:r w:rsidRPr="00E629DC">
        <w:rPr>
          <w:lang w:val="id-ID"/>
        </w:rPr>
        <w:t xml:space="preserve">pada perusahaan pertambangan yang </w:t>
      </w:r>
      <w:r w:rsidRPr="00E629DC">
        <w:rPr>
          <w:i/>
          <w:lang w:val="id-ID"/>
        </w:rPr>
        <w:t>listed</w:t>
      </w:r>
      <w:r w:rsidRPr="00E629DC">
        <w:rPr>
          <w:lang w:val="id-ID"/>
        </w:rPr>
        <w:t xml:space="preserve"> di Bursa Efek Indonesia tahun 2010 – 2013. </w:t>
      </w:r>
    </w:p>
    <w:p w14:paraId="50B6E71E" w14:textId="6F892003" w:rsidR="0070531E" w:rsidRDefault="0017629E" w:rsidP="0017629E">
      <w:pPr>
        <w:jc w:val="both"/>
        <w:rPr>
          <w:iCs/>
          <w:lang w:val="id-ID"/>
        </w:rPr>
      </w:pPr>
      <w:r w:rsidRPr="00E629DC">
        <w:rPr>
          <w:lang w:val="id-ID"/>
        </w:rPr>
        <w:tab/>
        <w:t xml:space="preserve">Penelitian ini juga menunjukkan </w:t>
      </w:r>
      <w:r>
        <w:rPr>
          <w:lang w:val="id-ID"/>
        </w:rPr>
        <w:t xml:space="preserve">besarnya </w:t>
      </w:r>
      <w:r w:rsidRPr="00E629DC">
        <w:rPr>
          <w:lang w:val="id-ID"/>
        </w:rPr>
        <w:t>pengaruh hubungan langsung</w:t>
      </w:r>
      <w:r>
        <w:rPr>
          <w:lang w:val="id-ID"/>
        </w:rPr>
        <w:t xml:space="preserve"> sebesar</w:t>
      </w:r>
      <w:r w:rsidRPr="00E629DC">
        <w:rPr>
          <w:lang w:val="id-ID"/>
        </w:rPr>
        <w:t xml:space="preserve"> </w:t>
      </w:r>
      <w:r>
        <w:rPr>
          <w:lang w:val="id-ID"/>
        </w:rPr>
        <w:t>0,152. Sedangkan besarnya pengaruh hubungan tidak langsung sebesar</w:t>
      </w:r>
      <w:r w:rsidRPr="00E629DC">
        <w:rPr>
          <w:iCs/>
          <w:lang w:val="id-ID"/>
        </w:rPr>
        <w:t xml:space="preserve"> </w:t>
      </w:r>
      <w:r>
        <w:rPr>
          <w:iCs/>
          <w:lang w:val="id-ID"/>
        </w:rPr>
        <w:t xml:space="preserve">-0,110 dengan total pengaruh hubungan </w:t>
      </w:r>
      <w:r w:rsidRPr="00E629DC">
        <w:rPr>
          <w:iCs/>
          <w:lang w:val="id-ID"/>
        </w:rPr>
        <w:t xml:space="preserve">adalah </w:t>
      </w:r>
      <w:r>
        <w:rPr>
          <w:iCs/>
          <w:lang w:val="id-ID"/>
        </w:rPr>
        <w:t xml:space="preserve">sebesar 0,262. Sehingga disimpulkan bahwa ada pengaruh mediasi yang signifikan. </w:t>
      </w:r>
    </w:p>
    <w:p w14:paraId="7A9E0CEC" w14:textId="77777777" w:rsidR="0017629E" w:rsidRDefault="0017629E" w:rsidP="0017629E">
      <w:pPr>
        <w:jc w:val="both"/>
        <w:rPr>
          <w:iCs/>
          <w:lang w:val="id-ID"/>
        </w:rPr>
      </w:pPr>
    </w:p>
    <w:p w14:paraId="0EC9A8E0" w14:textId="2672AD55" w:rsidR="0017629E" w:rsidRPr="0017629E" w:rsidRDefault="0017629E" w:rsidP="0017629E">
      <w:pPr>
        <w:jc w:val="both"/>
        <w:rPr>
          <w:b/>
          <w:lang w:val="id-ID"/>
        </w:rPr>
      </w:pPr>
      <w:r>
        <w:rPr>
          <w:b/>
          <w:lang w:val="id-ID"/>
        </w:rPr>
        <w:t xml:space="preserve">Pengaruh </w:t>
      </w:r>
      <w:r>
        <w:rPr>
          <w:b/>
          <w:i/>
          <w:lang w:val="id-ID"/>
        </w:rPr>
        <w:t>Sales Growth</w:t>
      </w:r>
      <w:r w:rsidRPr="0017629E">
        <w:rPr>
          <w:b/>
          <w:lang w:val="id-ID"/>
        </w:rPr>
        <w:t xml:space="preserve"> terhadap PBV yang dimediasi oleh DER</w:t>
      </w:r>
    </w:p>
    <w:p w14:paraId="302AFBC7" w14:textId="215956D4" w:rsidR="0017629E" w:rsidRPr="00E629DC" w:rsidRDefault="0017629E" w:rsidP="0017629E">
      <w:pPr>
        <w:ind w:right="-1"/>
        <w:jc w:val="both"/>
        <w:rPr>
          <w:lang w:val="id-ID"/>
        </w:rPr>
      </w:pPr>
      <w:r>
        <w:rPr>
          <w:bCs/>
          <w:lang w:val="id-ID"/>
        </w:rPr>
        <w:tab/>
      </w:r>
      <w:r w:rsidRPr="00E629DC">
        <w:rPr>
          <w:bCs/>
          <w:lang w:val="id-ID"/>
        </w:rPr>
        <w:t xml:space="preserve">Berdasarkan hasil uji </w:t>
      </w:r>
      <w:r w:rsidRPr="00E629DC">
        <w:rPr>
          <w:bCs/>
          <w:i/>
          <w:lang w:val="id-ID"/>
        </w:rPr>
        <w:t>sobel test</w:t>
      </w:r>
      <w:r w:rsidRPr="00E629DC">
        <w:rPr>
          <w:bCs/>
          <w:lang w:val="id-ID"/>
        </w:rPr>
        <w:t xml:space="preserve"> didapatkan bahwa </w:t>
      </w:r>
      <w:r w:rsidRPr="00E629DC">
        <w:rPr>
          <w:bCs/>
          <w:i/>
          <w:lang w:val="id-ID"/>
        </w:rPr>
        <w:t>Debt to Equity Ratio</w:t>
      </w:r>
      <w:r w:rsidRPr="00E629DC">
        <w:rPr>
          <w:bCs/>
          <w:lang w:val="id-ID"/>
        </w:rPr>
        <w:t xml:space="preserve"> (DER) tidak memiliki pengaruh mediasi terhadap hubungan antara pertumbuhan penjualan (</w:t>
      </w:r>
      <w:r w:rsidRPr="00E629DC">
        <w:rPr>
          <w:bCs/>
          <w:i/>
          <w:lang w:val="id-ID"/>
        </w:rPr>
        <w:t>Sales Growth</w:t>
      </w:r>
      <w:r w:rsidRPr="00E629DC">
        <w:rPr>
          <w:bCs/>
          <w:lang w:val="id-ID"/>
        </w:rPr>
        <w:t>)</w:t>
      </w:r>
      <w:r w:rsidRPr="00E629DC">
        <w:rPr>
          <w:bCs/>
          <w:i/>
          <w:lang w:val="id-ID"/>
        </w:rPr>
        <w:t xml:space="preserve"> </w:t>
      </w:r>
      <w:r w:rsidRPr="00E629DC">
        <w:rPr>
          <w:bCs/>
          <w:lang w:val="id-ID"/>
        </w:rPr>
        <w:t xml:space="preserve">dengan </w:t>
      </w:r>
      <w:r w:rsidRPr="00E629DC">
        <w:rPr>
          <w:bCs/>
          <w:i/>
          <w:lang w:val="id-ID"/>
        </w:rPr>
        <w:t>Price to Book Value</w:t>
      </w:r>
      <w:r w:rsidRPr="00E629DC">
        <w:rPr>
          <w:bCs/>
          <w:lang w:val="id-ID"/>
        </w:rPr>
        <w:t xml:space="preserve"> (PBV).  Hasil tersebut dapat dilihat dari nilai t hitung </w:t>
      </w:r>
      <w:r w:rsidRPr="00E629DC">
        <w:t xml:space="preserve">sebesar </w:t>
      </w:r>
      <w:r>
        <w:rPr>
          <w:lang w:val="id-ID"/>
        </w:rPr>
        <w:t xml:space="preserve">0,831 </w:t>
      </w:r>
      <w:r w:rsidRPr="00E629DC">
        <w:rPr>
          <w:lang w:val="id-ID"/>
        </w:rPr>
        <w:t>lebih</w:t>
      </w:r>
      <w:r w:rsidRPr="00E629DC">
        <w:t xml:space="preserve"> </w:t>
      </w:r>
      <w:r w:rsidRPr="00E629DC">
        <w:rPr>
          <w:lang w:val="id-ID"/>
        </w:rPr>
        <w:t>kecil</w:t>
      </w:r>
      <w:r w:rsidRPr="00E629DC">
        <w:t xml:space="preserve"> dari t tabel sebesar 1,96</w:t>
      </w:r>
      <w:r w:rsidRPr="00E629DC">
        <w:rPr>
          <w:lang w:val="id-ID"/>
        </w:rPr>
        <w:t xml:space="preserve">0 </w:t>
      </w:r>
      <w:r w:rsidRPr="00E629DC">
        <w:t xml:space="preserve">dengan tingkat signifikansi 0,05. Rumusan masalah yang diajukan dengan berdasarkan hasil penelitian, diperoleh jawaban yaitu DER tidak memediasi pengaruh antara </w:t>
      </w:r>
      <w:r w:rsidRPr="00E629DC">
        <w:rPr>
          <w:i/>
        </w:rPr>
        <w:t xml:space="preserve">Sales Growth </w:t>
      </w:r>
      <w:r w:rsidRPr="00E629DC">
        <w:t xml:space="preserve">terhadap PBV </w:t>
      </w:r>
      <w:r w:rsidRPr="00E629DC">
        <w:rPr>
          <w:lang w:val="id-ID"/>
        </w:rPr>
        <w:t xml:space="preserve">pada perusahaan pertambangan yang </w:t>
      </w:r>
      <w:r w:rsidRPr="00E629DC">
        <w:rPr>
          <w:i/>
          <w:lang w:val="id-ID"/>
        </w:rPr>
        <w:t>listed</w:t>
      </w:r>
      <w:r w:rsidRPr="00E629DC">
        <w:rPr>
          <w:lang w:val="id-ID"/>
        </w:rPr>
        <w:t xml:space="preserve"> di Bursa Efek Indonesia tahun 2010 – 2013. </w:t>
      </w:r>
    </w:p>
    <w:p w14:paraId="7C09DC67" w14:textId="77777777" w:rsidR="0017629E" w:rsidRPr="003F6EBC" w:rsidRDefault="0017629E" w:rsidP="0017629E">
      <w:pPr>
        <w:jc w:val="both"/>
        <w:rPr>
          <w:iCs/>
          <w:lang w:val="id-ID"/>
        </w:rPr>
      </w:pPr>
      <w:r w:rsidRPr="00E629DC">
        <w:rPr>
          <w:lang w:val="id-ID"/>
        </w:rPr>
        <w:tab/>
        <w:t xml:space="preserve">Penelitian ini juga menunjukkan </w:t>
      </w:r>
      <w:r>
        <w:rPr>
          <w:lang w:val="id-ID"/>
        </w:rPr>
        <w:t xml:space="preserve">besarnya </w:t>
      </w:r>
      <w:r w:rsidRPr="00E629DC">
        <w:rPr>
          <w:lang w:val="id-ID"/>
        </w:rPr>
        <w:t>pengaruh hubungan langsung</w:t>
      </w:r>
      <w:r>
        <w:rPr>
          <w:lang w:val="id-ID"/>
        </w:rPr>
        <w:t xml:space="preserve"> sebesar</w:t>
      </w:r>
      <w:r w:rsidRPr="00E629DC">
        <w:rPr>
          <w:lang w:val="id-ID"/>
        </w:rPr>
        <w:t xml:space="preserve"> </w:t>
      </w:r>
      <w:r>
        <w:rPr>
          <w:lang w:val="id-ID"/>
        </w:rPr>
        <w:t>-0,211. Sedangkan besarnya pengaruh hubungan tidak langsung sebesar</w:t>
      </w:r>
      <w:r w:rsidRPr="00E629DC">
        <w:rPr>
          <w:iCs/>
          <w:lang w:val="id-ID"/>
        </w:rPr>
        <w:t xml:space="preserve"> </w:t>
      </w:r>
      <w:r>
        <w:rPr>
          <w:iCs/>
          <w:lang w:val="id-ID"/>
        </w:rPr>
        <w:t xml:space="preserve">-0,032 dengan total pengaruh hubungan </w:t>
      </w:r>
      <w:r w:rsidRPr="00E629DC">
        <w:rPr>
          <w:iCs/>
          <w:lang w:val="id-ID"/>
        </w:rPr>
        <w:t xml:space="preserve">adalah </w:t>
      </w:r>
      <w:r>
        <w:rPr>
          <w:iCs/>
          <w:lang w:val="id-ID"/>
        </w:rPr>
        <w:t xml:space="preserve">sebesar -0,179. Hal tersebut dapat diartikan bahwa pengaruh tidak langsung </w:t>
      </w:r>
      <w:r>
        <w:rPr>
          <w:i/>
          <w:iCs/>
          <w:lang w:val="id-ID"/>
        </w:rPr>
        <w:t>Sales Growth</w:t>
      </w:r>
      <w:r>
        <w:rPr>
          <w:iCs/>
          <w:lang w:val="id-ID"/>
        </w:rPr>
        <w:t xml:space="preserve"> ke PBV lebih kuat daripada pengaruh langsung </w:t>
      </w:r>
      <w:r w:rsidRPr="003F6EBC">
        <w:rPr>
          <w:i/>
          <w:iCs/>
          <w:lang w:val="id-ID"/>
        </w:rPr>
        <w:t>S</w:t>
      </w:r>
      <w:r>
        <w:rPr>
          <w:i/>
          <w:iCs/>
          <w:lang w:val="id-ID"/>
        </w:rPr>
        <w:t>ales Growth</w:t>
      </w:r>
      <w:r>
        <w:rPr>
          <w:iCs/>
          <w:lang w:val="id-ID"/>
        </w:rPr>
        <w:t xml:space="preserve"> ke PBV melalui DER.</w:t>
      </w:r>
    </w:p>
    <w:p w14:paraId="1C62A110" w14:textId="77777777" w:rsidR="0017629E" w:rsidRPr="0017629E" w:rsidRDefault="0017629E" w:rsidP="0017629E">
      <w:pPr>
        <w:jc w:val="both"/>
        <w:rPr>
          <w:iCs/>
          <w:lang w:val="id-ID"/>
        </w:rPr>
      </w:pPr>
    </w:p>
    <w:p w14:paraId="7E15D096" w14:textId="77777777" w:rsidR="0070531E" w:rsidRDefault="0070531E" w:rsidP="0070531E">
      <w:pPr>
        <w:jc w:val="both"/>
      </w:pPr>
    </w:p>
    <w:p w14:paraId="47F97EF8" w14:textId="7B64BCC8" w:rsidR="00927484" w:rsidRDefault="0017629E" w:rsidP="0070531E">
      <w:pPr>
        <w:jc w:val="both"/>
        <w:rPr>
          <w:b/>
        </w:rPr>
      </w:pPr>
      <w:r w:rsidRPr="0017629E">
        <w:rPr>
          <w:b/>
        </w:rPr>
        <w:t>KESIMPULAN DAN SARAN</w:t>
      </w:r>
    </w:p>
    <w:p w14:paraId="62AB4695" w14:textId="77777777" w:rsidR="0017629E" w:rsidRDefault="0017629E" w:rsidP="0070531E">
      <w:pPr>
        <w:jc w:val="both"/>
        <w:rPr>
          <w:b/>
        </w:rPr>
      </w:pPr>
    </w:p>
    <w:p w14:paraId="5FBF9AC4" w14:textId="54A14CD5" w:rsidR="0017629E" w:rsidRPr="0017629E" w:rsidRDefault="0017629E" w:rsidP="0070531E">
      <w:pPr>
        <w:jc w:val="both"/>
        <w:rPr>
          <w:b/>
        </w:rPr>
      </w:pPr>
      <w:r>
        <w:rPr>
          <w:b/>
        </w:rPr>
        <w:t>Kesimpulan</w:t>
      </w:r>
    </w:p>
    <w:p w14:paraId="56D774FD" w14:textId="5643CB79" w:rsidR="00927484" w:rsidRDefault="00752C74" w:rsidP="00927484">
      <w:pPr>
        <w:jc w:val="both"/>
      </w:pPr>
      <w:r>
        <w:tab/>
        <w:t xml:space="preserve">Berdasarkan hasil analisi yang ada, dapat direkomendasikan beberapa implikasi manajerial bagi perusahaan antara </w:t>
      </w:r>
      <w:proofErr w:type="gramStart"/>
      <w:r>
        <w:t>lain :</w:t>
      </w:r>
      <w:proofErr w:type="gramEnd"/>
    </w:p>
    <w:p w14:paraId="4F8DCA54" w14:textId="77777777" w:rsidR="00752C74" w:rsidRPr="00440598" w:rsidRDefault="00752C74" w:rsidP="00752C74">
      <w:pPr>
        <w:pStyle w:val="ListParagraph"/>
        <w:numPr>
          <w:ilvl w:val="0"/>
          <w:numId w:val="9"/>
        </w:numPr>
        <w:ind w:left="426"/>
        <w:jc w:val="both"/>
        <w:rPr>
          <w:noProof/>
          <w:lang w:eastAsia="id-ID"/>
        </w:rPr>
      </w:pPr>
      <w:r w:rsidRPr="00440598">
        <w:t xml:space="preserve">Profitabilitas yang diproksi oleh ROA mempunyai pengaruh negatif terhadap struktur modal (DER) dan struktur modal (DER) mempunyai pengaruh positif </w:t>
      </w:r>
      <w:proofErr w:type="gramStart"/>
      <w:r w:rsidRPr="00440598">
        <w:t>terhadap  nilai</w:t>
      </w:r>
      <w:proofErr w:type="gramEnd"/>
      <w:r w:rsidRPr="00440598">
        <w:t xml:space="preserve"> perusahaan (PBV). Jika profitabilitas naik maka DER </w:t>
      </w:r>
      <w:proofErr w:type="gramStart"/>
      <w:r w:rsidRPr="00440598">
        <w:t>akan</w:t>
      </w:r>
      <w:proofErr w:type="gramEnd"/>
      <w:r w:rsidRPr="00440598">
        <w:t xml:space="preserve"> turun tetapi jika DER naik maka nilai perusahaan akan naik.  Oleh karena kebijakan manjerial diarahkan untuk mengendalikan penggunaan sumber </w:t>
      </w:r>
      <w:proofErr w:type="gramStart"/>
      <w:r w:rsidRPr="00440598">
        <w:t>dana</w:t>
      </w:r>
      <w:proofErr w:type="gramEnd"/>
      <w:r w:rsidRPr="00440598">
        <w:t xml:space="preserve"> baik dari internal (</w:t>
      </w:r>
      <w:r w:rsidRPr="00440598">
        <w:rPr>
          <w:i/>
        </w:rPr>
        <w:t>equity</w:t>
      </w:r>
      <w:r w:rsidRPr="00440598">
        <w:t xml:space="preserve">) maupun eksternal </w:t>
      </w:r>
      <w:r w:rsidRPr="00440598">
        <w:rPr>
          <w:i/>
        </w:rPr>
        <w:t>(debt</w:t>
      </w:r>
      <w:r w:rsidRPr="00440598">
        <w:t xml:space="preserve">) secara lebih berhati-hati. Crutchely dan Hansen (1989) menyatakan bahwa peggunaan rasio hutang yang relatif tinggi </w:t>
      </w:r>
      <w:proofErr w:type="gramStart"/>
      <w:r w:rsidRPr="00440598">
        <w:t>akan</w:t>
      </w:r>
      <w:proofErr w:type="gramEnd"/>
      <w:r w:rsidRPr="00440598">
        <w:t xml:space="preserve"> membuat perusahaan menanggung biaya keagenan (hutang), karena penggunaan hutang ada batas maksimalnya. Struktur modal yang optimal berdasarkan </w:t>
      </w:r>
      <w:r w:rsidRPr="00440598">
        <w:rPr>
          <w:i/>
        </w:rPr>
        <w:lastRenderedPageBreak/>
        <w:t>balancing theory</w:t>
      </w:r>
      <w:r w:rsidRPr="00440598">
        <w:t xml:space="preserve"> adalah didasarkan pada keseimbangan antara manfaat dari penghematan pajak atas pengenaan hutang terhadap biaya kebangkrutan. </w:t>
      </w:r>
    </w:p>
    <w:p w14:paraId="0D97CE50" w14:textId="77777777" w:rsidR="00752C74" w:rsidRPr="00440598" w:rsidRDefault="00752C74" w:rsidP="00752C74">
      <w:pPr>
        <w:pStyle w:val="ListParagraph"/>
        <w:numPr>
          <w:ilvl w:val="0"/>
          <w:numId w:val="9"/>
        </w:numPr>
        <w:ind w:left="426"/>
        <w:jc w:val="both"/>
        <w:rPr>
          <w:noProof/>
          <w:lang w:eastAsia="id-ID"/>
        </w:rPr>
      </w:pPr>
      <w:r w:rsidRPr="00440598">
        <w:rPr>
          <w:i/>
        </w:rPr>
        <w:t>Size</w:t>
      </w:r>
      <w:r w:rsidRPr="00440598">
        <w:t xml:space="preserve"> mempunyai pengaruh positif terhadap DER dan DER mempunyai pengaruh positif terhadap PBV. Jika ukuran perusahaan (</w:t>
      </w:r>
      <w:r w:rsidRPr="00440598">
        <w:rPr>
          <w:i/>
        </w:rPr>
        <w:t>Size</w:t>
      </w:r>
      <w:r w:rsidRPr="00440598">
        <w:t xml:space="preserve">) naik maka struktur modal (DER) juga </w:t>
      </w:r>
      <w:proofErr w:type="gramStart"/>
      <w:r w:rsidRPr="00440598">
        <w:t>akan</w:t>
      </w:r>
      <w:proofErr w:type="gramEnd"/>
      <w:r w:rsidRPr="00440598">
        <w:t xml:space="preserve"> naik, dimana akan meningkatkan nilai perusahaan. Oleh karena itu, kebijakan manajerial diarahkan untuk peningkatan ukuran perusahaan dengan melakukan pengendalian yang cermat atas penggunaan sumber </w:t>
      </w:r>
      <w:proofErr w:type="gramStart"/>
      <w:r w:rsidRPr="00440598">
        <w:t>dana</w:t>
      </w:r>
      <w:proofErr w:type="gramEnd"/>
      <w:r w:rsidRPr="00440598">
        <w:t xml:space="preserve"> baik dari internal maupun eksternal sehingga dapat memberikan sinyal positif bagi investor yang akan memberikan efek terhadap peningkatan nilai perusahaan.</w:t>
      </w:r>
    </w:p>
    <w:p w14:paraId="13D29CB8" w14:textId="77777777" w:rsidR="00752C74" w:rsidRPr="00440598" w:rsidRDefault="00752C74" w:rsidP="00752C74">
      <w:pPr>
        <w:pStyle w:val="ListParagraph"/>
        <w:numPr>
          <w:ilvl w:val="0"/>
          <w:numId w:val="9"/>
        </w:numPr>
        <w:ind w:left="426"/>
        <w:jc w:val="both"/>
        <w:rPr>
          <w:noProof/>
          <w:lang w:eastAsia="id-ID"/>
        </w:rPr>
      </w:pPr>
      <w:r w:rsidRPr="00440598">
        <w:rPr>
          <w:i/>
        </w:rPr>
        <w:t xml:space="preserve">Sales Growth </w:t>
      </w:r>
      <w:r w:rsidRPr="00440598">
        <w:t>mempunyai pengaruh positif terhadap DER dan DER mempunyai pengaruh positif terhadap PBV. Jika pertumbuhan penjualan (</w:t>
      </w:r>
      <w:r w:rsidRPr="00440598">
        <w:rPr>
          <w:i/>
        </w:rPr>
        <w:t>Sales Growth</w:t>
      </w:r>
      <w:r w:rsidRPr="00440598">
        <w:t xml:space="preserve">) naik, maka struktur modal (DER) juga </w:t>
      </w:r>
      <w:proofErr w:type="gramStart"/>
      <w:r w:rsidRPr="00440598">
        <w:t>akan</w:t>
      </w:r>
      <w:proofErr w:type="gramEnd"/>
      <w:r w:rsidRPr="00440598">
        <w:t xml:space="preserve"> naik, dimana kenaikan tersebut akan meningkatkan nilai perusahaan. Oleh karena itu, kebijakan manajerial diarahkan untuk meningkatkan pertumbuhan penjualan dengan tetap mengendalikan kebutuhan modal dengan cara menurunkan </w:t>
      </w:r>
      <w:r w:rsidRPr="00440598">
        <w:rPr>
          <w:i/>
        </w:rPr>
        <w:t>cost production</w:t>
      </w:r>
      <w:r w:rsidRPr="00440598">
        <w:t xml:space="preserve">, </w:t>
      </w:r>
      <w:r w:rsidRPr="00440598">
        <w:rPr>
          <w:i/>
        </w:rPr>
        <w:t>cost effectiveness</w:t>
      </w:r>
      <w:r w:rsidRPr="00440598">
        <w:t xml:space="preserve"> sehingga meningkatkan nilai perusahaan.</w:t>
      </w:r>
    </w:p>
    <w:p w14:paraId="11D30787" w14:textId="5E606850" w:rsidR="00752C74" w:rsidRPr="00440598" w:rsidRDefault="00752C74" w:rsidP="00752C74">
      <w:pPr>
        <w:pStyle w:val="ListParagraph"/>
        <w:numPr>
          <w:ilvl w:val="0"/>
          <w:numId w:val="9"/>
        </w:numPr>
        <w:ind w:left="426"/>
        <w:jc w:val="both"/>
        <w:rPr>
          <w:noProof/>
          <w:lang w:eastAsia="id-ID"/>
        </w:rPr>
      </w:pPr>
      <w:r w:rsidRPr="00440598">
        <w:t xml:space="preserve">DER mempunyai pengaruh langsung positif terhadap PBV. Jika struktur modal (DER) naik maka nilai perusahaan (PBV) juga </w:t>
      </w:r>
      <w:proofErr w:type="gramStart"/>
      <w:r w:rsidRPr="00440598">
        <w:t>akan</w:t>
      </w:r>
      <w:proofErr w:type="gramEnd"/>
      <w:r w:rsidRPr="00440598">
        <w:t xml:space="preserve"> naik. Pendanaa</w:t>
      </w:r>
      <w:r>
        <w:t>n</w:t>
      </w:r>
      <w:r w:rsidRPr="00440598">
        <w:t xml:space="preserve"> eksternal (</w:t>
      </w:r>
      <w:r w:rsidRPr="00440598">
        <w:rPr>
          <w:i/>
        </w:rPr>
        <w:t>debt</w:t>
      </w:r>
      <w:r w:rsidRPr="00440598">
        <w:t xml:space="preserve">) menimbulkan konsekuensi bagi perusahaan untuk melakukan angsuran pembayaran hutang dan beban keuangan lainnya yang dapat mengurangi masalah agensi penggunaan arus kas bebas. Penggunaan hutang </w:t>
      </w:r>
      <w:proofErr w:type="gramStart"/>
      <w:r w:rsidRPr="00440598">
        <w:t>akan</w:t>
      </w:r>
      <w:proofErr w:type="gramEnd"/>
      <w:r w:rsidRPr="00440598">
        <w:t xml:space="preserve"> menimbulkan pengawasan tambahan dari pihak pemberi hutang agar manajemen bekerja untuk meningkatkan kepentingan perusahaan. Kondisi ini </w:t>
      </w:r>
      <w:proofErr w:type="gramStart"/>
      <w:r w:rsidRPr="00440598">
        <w:t>akan</w:t>
      </w:r>
      <w:proofErr w:type="gramEnd"/>
      <w:r w:rsidRPr="00440598">
        <w:t xml:space="preserve"> direspon secara positif oleh pemegang sahan yang tercermin dalam peningkatan harga saham perusahaan sehingga nilai perusahaan akan meningkat (Garcia-Marco &amp; Ocana, 1999).</w:t>
      </w:r>
    </w:p>
    <w:p w14:paraId="67D480DC" w14:textId="77777777" w:rsidR="00752C74" w:rsidRDefault="00752C74" w:rsidP="00752C74">
      <w:pPr>
        <w:pStyle w:val="ListParagraph"/>
        <w:numPr>
          <w:ilvl w:val="0"/>
          <w:numId w:val="9"/>
        </w:numPr>
        <w:ind w:left="426"/>
        <w:jc w:val="both"/>
        <w:rPr>
          <w:noProof/>
          <w:lang w:eastAsia="id-ID"/>
        </w:rPr>
      </w:pPr>
      <w:r w:rsidRPr="00440598">
        <w:t xml:space="preserve">Para investor maupun calon investor yang </w:t>
      </w:r>
      <w:proofErr w:type="gramStart"/>
      <w:r w:rsidRPr="00440598">
        <w:t>akan</w:t>
      </w:r>
      <w:proofErr w:type="gramEnd"/>
      <w:r w:rsidRPr="00440598">
        <w:t xml:space="preserve"> berinvestasi ke perusahaan pertambangan dengan tujuan mendapatkan keuntungan berdasarkan </w:t>
      </w:r>
      <w:r w:rsidRPr="00440598">
        <w:rPr>
          <w:i/>
        </w:rPr>
        <w:t>price to book value</w:t>
      </w:r>
      <w:r w:rsidRPr="00440598">
        <w:t xml:space="preserve"> dapat mempertimbangkan </w:t>
      </w:r>
      <w:r w:rsidRPr="00440598">
        <w:rPr>
          <w:i/>
        </w:rPr>
        <w:t>debt to equity ratio</w:t>
      </w:r>
      <w:r w:rsidRPr="00440598">
        <w:t xml:space="preserve"> yang dipengaruhi profitabilitas, ukuran perusahaan (</w:t>
      </w:r>
      <w:r w:rsidRPr="00440598">
        <w:rPr>
          <w:i/>
        </w:rPr>
        <w:t>size</w:t>
      </w:r>
      <w:r w:rsidRPr="00440598">
        <w:t>), dan pertumbuhan penjualan (</w:t>
      </w:r>
      <w:r w:rsidRPr="00440598">
        <w:rPr>
          <w:i/>
        </w:rPr>
        <w:t>sales growth</w:t>
      </w:r>
      <w:r w:rsidRPr="00440598">
        <w:t>).</w:t>
      </w:r>
    </w:p>
    <w:p w14:paraId="3B5E62C8" w14:textId="77777777" w:rsidR="00752C74" w:rsidRDefault="00752C74" w:rsidP="00752C74">
      <w:pPr>
        <w:jc w:val="both"/>
        <w:rPr>
          <w:noProof/>
          <w:lang w:eastAsia="id-ID"/>
        </w:rPr>
      </w:pPr>
    </w:p>
    <w:p w14:paraId="2D8A49E5" w14:textId="77777777" w:rsidR="00752C74" w:rsidRDefault="00752C74" w:rsidP="00752C74">
      <w:pPr>
        <w:jc w:val="both"/>
        <w:rPr>
          <w:b/>
          <w:noProof/>
          <w:lang w:eastAsia="id-ID"/>
        </w:rPr>
      </w:pPr>
      <w:r w:rsidRPr="00752C74">
        <w:rPr>
          <w:b/>
          <w:noProof/>
          <w:lang w:eastAsia="id-ID"/>
        </w:rPr>
        <w:t>Saran</w:t>
      </w:r>
    </w:p>
    <w:p w14:paraId="48D909A3" w14:textId="77777777" w:rsidR="00752C74" w:rsidRDefault="00752C74" w:rsidP="00752C74">
      <w:pPr>
        <w:jc w:val="both"/>
      </w:pPr>
      <w:r>
        <w:rPr>
          <w:b/>
          <w:noProof/>
          <w:lang w:eastAsia="id-ID"/>
        </w:rPr>
        <w:tab/>
      </w:r>
      <w:r>
        <w:t xml:space="preserve">Hasil penelitian ini memilki nilai koefisien deterinasi yang rendah sehingga pengaruh antara variabel independen terhadap variabel dependen memiliki pengaruh yang lemah dan diperkirakan ada variabel independen </w:t>
      </w:r>
      <w:proofErr w:type="gramStart"/>
      <w:r>
        <w:t>lain</w:t>
      </w:r>
      <w:proofErr w:type="gramEnd"/>
      <w:r>
        <w:t xml:space="preserve"> yang mempengaruhi nilai perusahaan. </w:t>
      </w:r>
    </w:p>
    <w:p w14:paraId="0F7BF9F3" w14:textId="6B538C0A" w:rsidR="00752C74" w:rsidRPr="00752C74" w:rsidRDefault="00752C74" w:rsidP="00752C74">
      <w:pPr>
        <w:jc w:val="both"/>
        <w:rPr>
          <w:b/>
          <w:noProof/>
          <w:lang w:eastAsia="id-ID"/>
        </w:rPr>
      </w:pPr>
      <w:r>
        <w:tab/>
      </w:r>
      <w:proofErr w:type="gramStart"/>
      <w:r>
        <w:t xml:space="preserve">Selain itu periode pengamatan </w:t>
      </w:r>
      <w:r>
        <w:rPr>
          <w:noProof/>
          <w:lang w:eastAsia="id-ID"/>
        </w:rPr>
        <w:t>yang perlu ditambahkan agar hasil penelitan menjadi lebih baik</w:t>
      </w:r>
      <w:r>
        <w:rPr>
          <w:noProof/>
          <w:lang w:eastAsia="id-ID"/>
        </w:rPr>
        <w:t>.</w:t>
      </w:r>
      <w:proofErr w:type="gramEnd"/>
      <w:r>
        <w:rPr>
          <w:noProof/>
          <w:lang w:eastAsia="id-ID"/>
        </w:rPr>
        <w:t xml:space="preserve"> </w:t>
      </w:r>
      <w:r>
        <w:rPr>
          <w:noProof/>
          <w:lang w:eastAsia="id-ID"/>
        </w:rPr>
        <w:t>Ada beberapa hasil penelitian yang tidak sesuai</w:t>
      </w:r>
      <w:r>
        <w:rPr>
          <w:noProof/>
          <w:lang w:eastAsia="id-ID"/>
        </w:rPr>
        <w:t xml:space="preserve"> dengan penelitian sebelumnya, h</w:t>
      </w:r>
      <w:r>
        <w:rPr>
          <w:noProof/>
          <w:lang w:eastAsia="id-ID"/>
        </w:rPr>
        <w:t>al ini disebabkan oleh karakteristik, perilaku dan budaya para investor maupun calon investor pasar modal di indonesia yang berbeda dengan pasar modal di negara-negara lainnya.</w:t>
      </w:r>
      <w:r>
        <w:rPr>
          <w:noProof/>
          <w:lang w:eastAsia="id-ID"/>
        </w:rPr>
        <w:t xml:space="preserve"> </w:t>
      </w:r>
      <w:r w:rsidRPr="00440598">
        <w:rPr>
          <w:noProof/>
          <w:lang w:eastAsia="id-ID"/>
        </w:rPr>
        <w:t>Penggunaan analisis jalur (</w:t>
      </w:r>
      <w:r w:rsidRPr="00752C74">
        <w:rPr>
          <w:i/>
          <w:noProof/>
          <w:lang w:eastAsia="id-ID"/>
        </w:rPr>
        <w:t>Path Analysis</w:t>
      </w:r>
      <w:r w:rsidRPr="00440598">
        <w:rPr>
          <w:noProof/>
          <w:lang w:eastAsia="id-ID"/>
        </w:rPr>
        <w:t>) menguji hipotesis yang kompleks dan juga untuk mengetahui pengaruh langsung dan tidak langsung dari variabel-variabel bebas terhadap variabel terikat.</w:t>
      </w:r>
    </w:p>
    <w:p w14:paraId="7C4DF884" w14:textId="148C51D5" w:rsidR="00752C74" w:rsidRPr="00927484" w:rsidRDefault="00752C74" w:rsidP="00927484">
      <w:pPr>
        <w:jc w:val="both"/>
      </w:pPr>
    </w:p>
    <w:p w14:paraId="286E3D33" w14:textId="77777777" w:rsidR="00927484" w:rsidRPr="00927484" w:rsidRDefault="00927484" w:rsidP="00927484">
      <w:pPr>
        <w:jc w:val="both"/>
      </w:pPr>
    </w:p>
    <w:p w14:paraId="0E47DCFD" w14:textId="77777777" w:rsidR="00927484" w:rsidRPr="00927484" w:rsidRDefault="00927484" w:rsidP="00927484">
      <w:pPr>
        <w:jc w:val="both"/>
      </w:pPr>
    </w:p>
    <w:p w14:paraId="485BA760" w14:textId="77777777" w:rsidR="00DE08B9" w:rsidRPr="00DE08B9" w:rsidRDefault="00DE08B9" w:rsidP="00DE08B9">
      <w:pPr>
        <w:jc w:val="both"/>
      </w:pPr>
    </w:p>
    <w:p w14:paraId="2131AE77" w14:textId="77777777" w:rsidR="00DE08B9" w:rsidRPr="005534C4" w:rsidRDefault="00DE08B9" w:rsidP="00DE08B9">
      <w:pPr>
        <w:jc w:val="both"/>
      </w:pPr>
    </w:p>
    <w:p w14:paraId="5966E00F" w14:textId="77777777" w:rsidR="00005492" w:rsidRDefault="00005492" w:rsidP="00C47253"/>
    <w:sectPr w:rsidR="00005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BE9"/>
    <w:multiLevelType w:val="multilevel"/>
    <w:tmpl w:val="34B4277A"/>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230BB8"/>
    <w:multiLevelType w:val="hybridMultilevel"/>
    <w:tmpl w:val="8F14799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FF411A1"/>
    <w:multiLevelType w:val="hybridMultilevel"/>
    <w:tmpl w:val="AE3CB7D6"/>
    <w:lvl w:ilvl="0" w:tplc="BDACEDA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A44F8F"/>
    <w:multiLevelType w:val="hybridMultilevel"/>
    <w:tmpl w:val="83502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8DF1E54"/>
    <w:multiLevelType w:val="hybridMultilevel"/>
    <w:tmpl w:val="74E01768"/>
    <w:lvl w:ilvl="0" w:tplc="0409000F">
      <w:start w:val="1"/>
      <w:numFmt w:val="decimal"/>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5">
    <w:nsid w:val="59001D2E"/>
    <w:multiLevelType w:val="hybridMultilevel"/>
    <w:tmpl w:val="FC3410AC"/>
    <w:lvl w:ilvl="0" w:tplc="AD82DDE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D4459"/>
    <w:multiLevelType w:val="hybridMultilevel"/>
    <w:tmpl w:val="ABC07D5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6063095B"/>
    <w:multiLevelType w:val="hybridMultilevel"/>
    <w:tmpl w:val="34B4277A"/>
    <w:lvl w:ilvl="0" w:tplc="423C8CF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B4F1A"/>
    <w:multiLevelType w:val="hybridMultilevel"/>
    <w:tmpl w:val="1C400ED8"/>
    <w:lvl w:ilvl="0" w:tplc="423C8CF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8E6586"/>
    <w:multiLevelType w:val="hybridMultilevel"/>
    <w:tmpl w:val="F05A4542"/>
    <w:lvl w:ilvl="0" w:tplc="423C8CF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57581"/>
    <w:multiLevelType w:val="hybridMultilevel"/>
    <w:tmpl w:val="67B62AA4"/>
    <w:lvl w:ilvl="0" w:tplc="7152D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0"/>
  </w:num>
  <w:num w:numId="5">
    <w:abstractNumId w:val="9"/>
  </w:num>
  <w:num w:numId="6">
    <w:abstractNumId w:val="7"/>
  </w:num>
  <w:num w:numId="7">
    <w:abstractNumId w:val="5"/>
  </w:num>
  <w:num w:numId="8">
    <w:abstractNumId w:val="8"/>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7C"/>
    <w:rsid w:val="00005492"/>
    <w:rsid w:val="00050494"/>
    <w:rsid w:val="00060939"/>
    <w:rsid w:val="0008314E"/>
    <w:rsid w:val="0011075E"/>
    <w:rsid w:val="0017629E"/>
    <w:rsid w:val="00285923"/>
    <w:rsid w:val="002B0543"/>
    <w:rsid w:val="003351CB"/>
    <w:rsid w:val="003E1AFE"/>
    <w:rsid w:val="004A30A6"/>
    <w:rsid w:val="0070531E"/>
    <w:rsid w:val="00720958"/>
    <w:rsid w:val="00752C74"/>
    <w:rsid w:val="0081287C"/>
    <w:rsid w:val="008401A0"/>
    <w:rsid w:val="008C5655"/>
    <w:rsid w:val="00927484"/>
    <w:rsid w:val="0098599D"/>
    <w:rsid w:val="00A42A92"/>
    <w:rsid w:val="00B51F78"/>
    <w:rsid w:val="00C47253"/>
    <w:rsid w:val="00C85263"/>
    <w:rsid w:val="00CD1D8D"/>
    <w:rsid w:val="00CF0B86"/>
    <w:rsid w:val="00D8312C"/>
    <w:rsid w:val="00D97805"/>
    <w:rsid w:val="00DE08B9"/>
    <w:rsid w:val="00E54BF8"/>
    <w:rsid w:val="00E75E0A"/>
    <w:rsid w:val="00EC3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0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8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1287C"/>
    <w:pPr>
      <w:keepNext/>
      <w:keepLines/>
      <w:spacing w:before="480"/>
      <w:jc w:val="center"/>
      <w:outlineLvl w:val="0"/>
    </w:pPr>
    <w:rPr>
      <w:rFonts w:eastAsiaTheme="majorEastAsia" w:cstheme="majorBidi"/>
      <w:b/>
      <w:bCs/>
      <w:sz w:val="28"/>
      <w:szCs w:val="28"/>
    </w:rPr>
  </w:style>
  <w:style w:type="paragraph" w:styleId="Heading3">
    <w:name w:val="heading 3"/>
    <w:basedOn w:val="Normal"/>
    <w:next w:val="Normal"/>
    <w:link w:val="Heading3Char"/>
    <w:uiPriority w:val="9"/>
    <w:semiHidden/>
    <w:unhideWhenUsed/>
    <w:qFormat/>
    <w:rsid w:val="004A30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1287C"/>
    <w:pPr>
      <w:spacing w:line="480" w:lineRule="auto"/>
      <w:ind w:left="630"/>
    </w:pPr>
  </w:style>
  <w:style w:type="character" w:customStyle="1" w:styleId="BodyTextIndentChar">
    <w:name w:val="Body Text Indent Char"/>
    <w:basedOn w:val="DefaultParagraphFont"/>
    <w:link w:val="BodyTextIndent"/>
    <w:rsid w:val="0081287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1287C"/>
    <w:rPr>
      <w:rFonts w:ascii="Times New Roman" w:eastAsiaTheme="majorEastAsia" w:hAnsi="Times New Roman" w:cstheme="majorBidi"/>
      <w:b/>
      <w:bCs/>
      <w:sz w:val="28"/>
      <w:szCs w:val="28"/>
    </w:rPr>
  </w:style>
  <w:style w:type="paragraph" w:styleId="ListParagraph">
    <w:name w:val="List Paragraph"/>
    <w:basedOn w:val="Normal"/>
    <w:uiPriority w:val="34"/>
    <w:qFormat/>
    <w:rsid w:val="00D97805"/>
    <w:pPr>
      <w:ind w:left="720"/>
      <w:contextualSpacing/>
    </w:pPr>
  </w:style>
  <w:style w:type="character" w:customStyle="1" w:styleId="fullpost">
    <w:name w:val="fullpost"/>
    <w:basedOn w:val="DefaultParagraphFont"/>
    <w:rsid w:val="002B0543"/>
  </w:style>
  <w:style w:type="paragraph" w:styleId="HTMLPreformatted">
    <w:name w:val="HTML Preformatted"/>
    <w:basedOn w:val="Normal"/>
    <w:link w:val="HTMLPreformattedChar"/>
    <w:uiPriority w:val="99"/>
    <w:unhideWhenUsed/>
    <w:rsid w:val="003E1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id-ID"/>
    </w:rPr>
  </w:style>
  <w:style w:type="character" w:customStyle="1" w:styleId="HTMLPreformattedChar">
    <w:name w:val="HTML Preformatted Char"/>
    <w:basedOn w:val="DefaultParagraphFont"/>
    <w:link w:val="HTMLPreformatted"/>
    <w:uiPriority w:val="99"/>
    <w:rsid w:val="003E1AFE"/>
    <w:rPr>
      <w:rFonts w:ascii="Courier" w:eastAsiaTheme="minorEastAsia" w:hAnsi="Courier" w:cs="Courier"/>
      <w:sz w:val="20"/>
      <w:szCs w:val="20"/>
      <w:lang w:val="id-ID"/>
    </w:rPr>
  </w:style>
  <w:style w:type="paragraph" w:styleId="BalloonText">
    <w:name w:val="Balloon Text"/>
    <w:basedOn w:val="Normal"/>
    <w:link w:val="BalloonTextChar"/>
    <w:uiPriority w:val="99"/>
    <w:semiHidden/>
    <w:unhideWhenUsed/>
    <w:rsid w:val="00E75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E0A"/>
    <w:rPr>
      <w:rFonts w:ascii="Lucida Grande" w:eastAsia="Times New Roman" w:hAnsi="Lucida Grande" w:cs="Lucida Grande"/>
      <w:sz w:val="18"/>
      <w:szCs w:val="18"/>
    </w:rPr>
  </w:style>
  <w:style w:type="character" w:styleId="Hyperlink">
    <w:name w:val="Hyperlink"/>
    <w:basedOn w:val="DefaultParagraphFont"/>
    <w:uiPriority w:val="99"/>
    <w:unhideWhenUsed/>
    <w:rsid w:val="0098599D"/>
    <w:rPr>
      <w:color w:val="0000FF" w:themeColor="hyperlink"/>
      <w:u w:val="single"/>
    </w:rPr>
  </w:style>
  <w:style w:type="table" w:styleId="TableGrid">
    <w:name w:val="Table Grid"/>
    <w:basedOn w:val="TableNormal"/>
    <w:uiPriority w:val="59"/>
    <w:rsid w:val="0072095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20958"/>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927484"/>
    <w:pPr>
      <w:spacing w:after="120"/>
    </w:pPr>
  </w:style>
  <w:style w:type="character" w:customStyle="1" w:styleId="BodyTextChar">
    <w:name w:val="Body Text Char"/>
    <w:basedOn w:val="DefaultParagraphFont"/>
    <w:link w:val="BodyText"/>
    <w:uiPriority w:val="99"/>
    <w:semiHidden/>
    <w:rsid w:val="0092748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A30A6"/>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8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1287C"/>
    <w:pPr>
      <w:keepNext/>
      <w:keepLines/>
      <w:spacing w:before="480"/>
      <w:jc w:val="center"/>
      <w:outlineLvl w:val="0"/>
    </w:pPr>
    <w:rPr>
      <w:rFonts w:eastAsiaTheme="majorEastAsia" w:cstheme="majorBidi"/>
      <w:b/>
      <w:bCs/>
      <w:sz w:val="28"/>
      <w:szCs w:val="28"/>
    </w:rPr>
  </w:style>
  <w:style w:type="paragraph" w:styleId="Heading3">
    <w:name w:val="heading 3"/>
    <w:basedOn w:val="Normal"/>
    <w:next w:val="Normal"/>
    <w:link w:val="Heading3Char"/>
    <w:uiPriority w:val="9"/>
    <w:semiHidden/>
    <w:unhideWhenUsed/>
    <w:qFormat/>
    <w:rsid w:val="004A30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1287C"/>
    <w:pPr>
      <w:spacing w:line="480" w:lineRule="auto"/>
      <w:ind w:left="630"/>
    </w:pPr>
  </w:style>
  <w:style w:type="character" w:customStyle="1" w:styleId="BodyTextIndentChar">
    <w:name w:val="Body Text Indent Char"/>
    <w:basedOn w:val="DefaultParagraphFont"/>
    <w:link w:val="BodyTextIndent"/>
    <w:rsid w:val="0081287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1287C"/>
    <w:rPr>
      <w:rFonts w:ascii="Times New Roman" w:eastAsiaTheme="majorEastAsia" w:hAnsi="Times New Roman" w:cstheme="majorBidi"/>
      <w:b/>
      <w:bCs/>
      <w:sz w:val="28"/>
      <w:szCs w:val="28"/>
    </w:rPr>
  </w:style>
  <w:style w:type="paragraph" w:styleId="ListParagraph">
    <w:name w:val="List Paragraph"/>
    <w:basedOn w:val="Normal"/>
    <w:uiPriority w:val="34"/>
    <w:qFormat/>
    <w:rsid w:val="00D97805"/>
    <w:pPr>
      <w:ind w:left="720"/>
      <w:contextualSpacing/>
    </w:pPr>
  </w:style>
  <w:style w:type="character" w:customStyle="1" w:styleId="fullpost">
    <w:name w:val="fullpost"/>
    <w:basedOn w:val="DefaultParagraphFont"/>
    <w:rsid w:val="002B0543"/>
  </w:style>
  <w:style w:type="paragraph" w:styleId="HTMLPreformatted">
    <w:name w:val="HTML Preformatted"/>
    <w:basedOn w:val="Normal"/>
    <w:link w:val="HTMLPreformattedChar"/>
    <w:uiPriority w:val="99"/>
    <w:unhideWhenUsed/>
    <w:rsid w:val="003E1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id-ID"/>
    </w:rPr>
  </w:style>
  <w:style w:type="character" w:customStyle="1" w:styleId="HTMLPreformattedChar">
    <w:name w:val="HTML Preformatted Char"/>
    <w:basedOn w:val="DefaultParagraphFont"/>
    <w:link w:val="HTMLPreformatted"/>
    <w:uiPriority w:val="99"/>
    <w:rsid w:val="003E1AFE"/>
    <w:rPr>
      <w:rFonts w:ascii="Courier" w:eastAsiaTheme="minorEastAsia" w:hAnsi="Courier" w:cs="Courier"/>
      <w:sz w:val="20"/>
      <w:szCs w:val="20"/>
      <w:lang w:val="id-ID"/>
    </w:rPr>
  </w:style>
  <w:style w:type="paragraph" w:styleId="BalloonText">
    <w:name w:val="Balloon Text"/>
    <w:basedOn w:val="Normal"/>
    <w:link w:val="BalloonTextChar"/>
    <w:uiPriority w:val="99"/>
    <w:semiHidden/>
    <w:unhideWhenUsed/>
    <w:rsid w:val="00E75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E0A"/>
    <w:rPr>
      <w:rFonts w:ascii="Lucida Grande" w:eastAsia="Times New Roman" w:hAnsi="Lucida Grande" w:cs="Lucida Grande"/>
      <w:sz w:val="18"/>
      <w:szCs w:val="18"/>
    </w:rPr>
  </w:style>
  <w:style w:type="character" w:styleId="Hyperlink">
    <w:name w:val="Hyperlink"/>
    <w:basedOn w:val="DefaultParagraphFont"/>
    <w:uiPriority w:val="99"/>
    <w:unhideWhenUsed/>
    <w:rsid w:val="0098599D"/>
    <w:rPr>
      <w:color w:val="0000FF" w:themeColor="hyperlink"/>
      <w:u w:val="single"/>
    </w:rPr>
  </w:style>
  <w:style w:type="table" w:styleId="TableGrid">
    <w:name w:val="Table Grid"/>
    <w:basedOn w:val="TableNormal"/>
    <w:uiPriority w:val="59"/>
    <w:rsid w:val="0072095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20958"/>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927484"/>
    <w:pPr>
      <w:spacing w:after="120"/>
    </w:pPr>
  </w:style>
  <w:style w:type="character" w:customStyle="1" w:styleId="BodyTextChar">
    <w:name w:val="Body Text Char"/>
    <w:basedOn w:val="DefaultParagraphFont"/>
    <w:link w:val="BodyText"/>
    <w:uiPriority w:val="99"/>
    <w:semiHidden/>
    <w:rsid w:val="0092748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A30A6"/>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idx.co.i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17</Pages>
  <Words>6751</Words>
  <Characters>38481</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 Dharmawan</dc:creator>
  <cp:lastModifiedBy>Febriansyah Dharmawan</cp:lastModifiedBy>
  <cp:revision>17</cp:revision>
  <dcterms:created xsi:type="dcterms:W3CDTF">2015-09-05T12:46:00Z</dcterms:created>
  <dcterms:modified xsi:type="dcterms:W3CDTF">2015-09-08T12:51:00Z</dcterms:modified>
</cp:coreProperties>
</file>