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4E" w:rsidRPr="006177C0" w:rsidRDefault="0073134E" w:rsidP="007760FD">
      <w:pPr>
        <w:tabs>
          <w:tab w:val="left" w:pos="6750"/>
        </w:tabs>
        <w:jc w:val="center"/>
        <w:rPr>
          <w:b/>
          <w:sz w:val="28"/>
          <w:szCs w:val="28"/>
          <w:lang w:val="id-ID"/>
        </w:rPr>
      </w:pPr>
      <w:r w:rsidRPr="006177C0">
        <w:rPr>
          <w:b/>
          <w:sz w:val="28"/>
          <w:szCs w:val="28"/>
          <w:lang w:val="id-ID"/>
        </w:rPr>
        <w:t>ANALISIS PENGARUH NILAI TUKAR DOLLAR/ RUPIAH, HARGA EMAS DUNIA, HARGA MINYAK DUNIA, INDEKS DJIA, INDEKS NIKKEI, PEMBELIAN BERSIH ASING TERHADAP INDEKS HARGA SAHAM GABUNGAN DI BURSA EFEK INDONESIA</w:t>
      </w:r>
    </w:p>
    <w:p w:rsidR="0073134E" w:rsidRPr="006177C0" w:rsidRDefault="0073134E" w:rsidP="007760FD">
      <w:pPr>
        <w:tabs>
          <w:tab w:val="left" w:pos="6750"/>
        </w:tabs>
        <w:jc w:val="center"/>
        <w:rPr>
          <w:b/>
          <w:sz w:val="28"/>
          <w:szCs w:val="28"/>
          <w:lang w:val="id-ID"/>
        </w:rPr>
      </w:pPr>
      <w:r w:rsidRPr="006177C0">
        <w:rPr>
          <w:b/>
          <w:sz w:val="28"/>
          <w:szCs w:val="28"/>
          <w:lang w:val="id-ID"/>
        </w:rPr>
        <w:t>PERIODE TAHUN 2003 - 2013</w:t>
      </w:r>
    </w:p>
    <w:p w:rsidR="0073134E" w:rsidRPr="006177C0" w:rsidRDefault="0073134E" w:rsidP="00596D79">
      <w:pPr>
        <w:jc w:val="both"/>
        <w:rPr>
          <w:lang w:val="id-ID"/>
        </w:rPr>
      </w:pPr>
    </w:p>
    <w:p w:rsidR="0073134E" w:rsidRPr="006177C0" w:rsidRDefault="0073134E" w:rsidP="00596D79">
      <w:pPr>
        <w:jc w:val="center"/>
        <w:rPr>
          <w:b/>
          <w:lang w:val="id-ID"/>
        </w:rPr>
      </w:pPr>
    </w:p>
    <w:p w:rsidR="0073134E" w:rsidRPr="006177C0" w:rsidRDefault="00937262" w:rsidP="00596D79">
      <w:pPr>
        <w:jc w:val="center"/>
        <w:outlineLvl w:val="0"/>
        <w:rPr>
          <w:b/>
          <w:lang w:val="id-ID"/>
        </w:rPr>
      </w:pPr>
      <w:r w:rsidRPr="006177C0">
        <w:rPr>
          <w:b/>
          <w:lang w:val="id-ID"/>
        </w:rPr>
        <w:t>Ginanjar Firdaus</w:t>
      </w:r>
    </w:p>
    <w:p w:rsidR="0073134E" w:rsidRPr="006177C0" w:rsidRDefault="00937262" w:rsidP="00596D79">
      <w:pPr>
        <w:jc w:val="center"/>
        <w:outlineLvl w:val="0"/>
        <w:rPr>
          <w:b/>
          <w:sz w:val="22"/>
          <w:szCs w:val="22"/>
          <w:lang w:val="id-ID"/>
        </w:rPr>
      </w:pPr>
      <w:r w:rsidRPr="006177C0">
        <w:rPr>
          <w:b/>
          <w:sz w:val="22"/>
          <w:szCs w:val="22"/>
          <w:lang w:val="id-ID"/>
        </w:rPr>
        <w:t>Program Studi Magister Manajemen, Universitas Diponegoro, Semarang</w:t>
      </w:r>
    </w:p>
    <w:p w:rsidR="007760FD" w:rsidRPr="00D86A88" w:rsidRDefault="007760FD" w:rsidP="00596D79">
      <w:pPr>
        <w:jc w:val="center"/>
        <w:outlineLvl w:val="0"/>
        <w:rPr>
          <w:b/>
          <w:sz w:val="22"/>
          <w:szCs w:val="22"/>
          <w:lang w:val="en-US"/>
        </w:rPr>
      </w:pPr>
      <w:r w:rsidRPr="006177C0">
        <w:rPr>
          <w:b/>
          <w:sz w:val="22"/>
          <w:szCs w:val="22"/>
          <w:lang w:val="id-ID"/>
        </w:rPr>
        <w:t xml:space="preserve">email : </w:t>
      </w:r>
      <w:r w:rsidR="00D86A88">
        <w:rPr>
          <w:b/>
          <w:sz w:val="22"/>
          <w:szCs w:val="22"/>
          <w:lang w:val="id-ID"/>
        </w:rPr>
        <w:fldChar w:fldCharType="begin"/>
      </w:r>
      <w:r w:rsidR="00D86A88">
        <w:rPr>
          <w:b/>
          <w:sz w:val="22"/>
          <w:szCs w:val="22"/>
          <w:lang w:val="id-ID"/>
        </w:rPr>
        <w:instrText xml:space="preserve"> HYPERLINK "mailto:</w:instrText>
      </w:r>
      <w:r w:rsidR="00D86A88" w:rsidRPr="006177C0">
        <w:rPr>
          <w:b/>
          <w:sz w:val="22"/>
          <w:szCs w:val="22"/>
          <w:lang w:val="id-ID"/>
        </w:rPr>
        <w:instrText>ginanjar.firdaus@hotmail.com</w:instrText>
      </w:r>
      <w:r w:rsidR="00D86A88">
        <w:rPr>
          <w:b/>
          <w:sz w:val="22"/>
          <w:szCs w:val="22"/>
          <w:lang w:val="id-ID"/>
        </w:rPr>
        <w:instrText xml:space="preserve">" </w:instrText>
      </w:r>
      <w:r w:rsidR="00D86A88">
        <w:rPr>
          <w:b/>
          <w:sz w:val="22"/>
          <w:szCs w:val="22"/>
          <w:lang w:val="id-ID"/>
        </w:rPr>
        <w:fldChar w:fldCharType="separate"/>
      </w:r>
      <w:r w:rsidR="00D86A88" w:rsidRPr="00E0165D">
        <w:rPr>
          <w:rStyle w:val="Hyperlink"/>
          <w:b/>
          <w:sz w:val="22"/>
          <w:szCs w:val="22"/>
          <w:lang w:val="id-ID"/>
        </w:rPr>
        <w:t>ginanjar.firdaus@hotmail.com</w:t>
      </w:r>
      <w:r w:rsidR="00D86A88">
        <w:rPr>
          <w:b/>
          <w:sz w:val="22"/>
          <w:szCs w:val="22"/>
          <w:lang w:val="id-ID"/>
        </w:rPr>
        <w:fldChar w:fldCharType="end"/>
      </w:r>
      <w:r w:rsidR="00D86A88">
        <w:rPr>
          <w:b/>
          <w:sz w:val="22"/>
          <w:szCs w:val="22"/>
          <w:lang w:val="en-US"/>
        </w:rPr>
        <w:t xml:space="preserve"> </w:t>
      </w:r>
    </w:p>
    <w:p w:rsidR="00B4493A" w:rsidRPr="006177C0" w:rsidRDefault="00B4493A" w:rsidP="00596D79">
      <w:pPr>
        <w:rPr>
          <w:lang w:val="id-ID"/>
        </w:rPr>
      </w:pPr>
    </w:p>
    <w:p w:rsidR="00937262" w:rsidRPr="006177C0" w:rsidRDefault="00937262" w:rsidP="00596D79">
      <w:pPr>
        <w:rPr>
          <w:lang w:val="id-ID"/>
        </w:rPr>
      </w:pPr>
    </w:p>
    <w:p w:rsidR="00937262" w:rsidRPr="006177C0" w:rsidRDefault="00937262" w:rsidP="00676EC8">
      <w:pPr>
        <w:jc w:val="center"/>
        <w:rPr>
          <w:b/>
          <w:bCs/>
          <w:sz w:val="26"/>
          <w:szCs w:val="26"/>
          <w:lang w:val="id-ID"/>
        </w:rPr>
      </w:pPr>
      <w:r w:rsidRPr="006177C0">
        <w:rPr>
          <w:b/>
          <w:bCs/>
          <w:sz w:val="26"/>
          <w:szCs w:val="26"/>
          <w:lang w:val="id-ID"/>
        </w:rPr>
        <w:t>Abstract</w:t>
      </w:r>
    </w:p>
    <w:p w:rsidR="00937262" w:rsidRPr="006177C0" w:rsidRDefault="00937262" w:rsidP="00596D79">
      <w:pPr>
        <w:ind w:firstLine="720"/>
        <w:jc w:val="both"/>
        <w:rPr>
          <w:b/>
          <w:bCs/>
          <w:sz w:val="26"/>
          <w:szCs w:val="26"/>
          <w:lang w:val="id-ID"/>
        </w:rPr>
      </w:pPr>
    </w:p>
    <w:p w:rsidR="00937262" w:rsidRPr="006177C0" w:rsidRDefault="00937262" w:rsidP="00596D79">
      <w:pPr>
        <w:ind w:firstLine="720"/>
        <w:jc w:val="both"/>
        <w:rPr>
          <w:rFonts w:ascii="TimesNewRomanPSMT" w:hAnsi="TimesNewRomanPSMT"/>
          <w:sz w:val="22"/>
          <w:szCs w:val="22"/>
          <w:lang w:val="id-ID"/>
        </w:rPr>
      </w:pPr>
      <w:r w:rsidRPr="006177C0">
        <w:rPr>
          <w:rFonts w:ascii="TimesNewRomanPSMT" w:hAnsi="TimesNewRomanPSMT"/>
          <w:sz w:val="22"/>
          <w:szCs w:val="22"/>
          <w:lang w:val="id-ID"/>
        </w:rPr>
        <w:t>Despite global economy has not recovery yet, the growth of investment activity in financial sector rises quite rapidly. Indonesia as emerging markets that quite susceptible to the global economy’s conditions. To determine the condition of a country's financial markets is through the capital market that can be seen from the Composite Stock Price Index (CSPI). Factors that affect the movement of a country's stock index are changing of central bank interest rates, the stock price index of regional countries, the global economy situation, the energy prices level, currency exchange rates, politics stability of a country (Blanchard, 2006).</w:t>
      </w:r>
    </w:p>
    <w:p w:rsidR="00937262" w:rsidRPr="006177C0" w:rsidRDefault="00937262" w:rsidP="00596D79">
      <w:pPr>
        <w:ind w:firstLine="720"/>
        <w:jc w:val="both"/>
        <w:rPr>
          <w:rFonts w:ascii="TimesNewRomanPSMT" w:hAnsi="TimesNewRomanPSMT"/>
          <w:sz w:val="22"/>
          <w:szCs w:val="22"/>
          <w:lang w:val="id-ID"/>
        </w:rPr>
      </w:pPr>
      <w:r w:rsidRPr="006177C0">
        <w:rPr>
          <w:sz w:val="22"/>
          <w:szCs w:val="22"/>
          <w:lang w:val="id-ID"/>
        </w:rPr>
        <w:t>The purpose of this study is analysing the</w:t>
      </w:r>
      <w:r w:rsidRPr="006177C0">
        <w:rPr>
          <w:rFonts w:ascii="TimesNewRomanPSMT" w:hAnsi="TimesNewRomanPSMT"/>
          <w:sz w:val="22"/>
          <w:szCs w:val="22"/>
          <w:lang w:val="id-ID"/>
        </w:rPr>
        <w:t xml:space="preserve"> effect of the exchange rate of USD / IDR, the World Gold Price, the World Oil Price, the DJIA index, the Nikkei Index and the Foreign Net Purchases to the Composite Stock Price Index (IHSG) in Indonesia Stock Market (BEI) in 2003 to 2013 by using ARCH-GARCH models. We use secondary data from Bank Indonesia, Indonesia Stock Exchange, Stock Market Data Center, The London Bullion Market Association, the US Energy Information Administration, and Yahoo Finance. We use monthly data from the JCI closing price, the DJIA index closing price, the Nikkei index closing price, the middle rate of USD / IDR, the world gold prices, the world oil price and Net Purchases by Foreign Investors.</w:t>
      </w:r>
    </w:p>
    <w:p w:rsidR="00937262" w:rsidRPr="006177C0" w:rsidRDefault="00937262" w:rsidP="00596D79">
      <w:pPr>
        <w:ind w:firstLine="720"/>
        <w:jc w:val="both"/>
        <w:rPr>
          <w:rFonts w:ascii="TimesNewRomanPSMT" w:hAnsi="TimesNewRomanPSMT"/>
          <w:sz w:val="22"/>
          <w:szCs w:val="22"/>
          <w:lang w:val="id-ID"/>
        </w:rPr>
      </w:pPr>
      <w:r w:rsidRPr="006177C0">
        <w:rPr>
          <w:rFonts w:ascii="TimesNewRomanPSMT" w:hAnsi="TimesNewRomanPSMT"/>
          <w:sz w:val="22"/>
          <w:szCs w:val="22"/>
          <w:lang w:val="id-ID"/>
        </w:rPr>
        <w:t xml:space="preserve">This study </w:t>
      </w:r>
      <w:r w:rsidRPr="006177C0">
        <w:rPr>
          <w:iCs/>
          <w:sz w:val="22"/>
          <w:szCs w:val="22"/>
          <w:lang w:val="id-ID"/>
        </w:rPr>
        <w:t xml:space="preserve">show </w:t>
      </w:r>
      <w:r w:rsidRPr="006177C0">
        <w:rPr>
          <w:rFonts w:ascii="TimesNewRomanPSMT" w:hAnsi="TimesNewRomanPSMT"/>
          <w:sz w:val="22"/>
          <w:szCs w:val="22"/>
          <w:lang w:val="id-ID"/>
        </w:rPr>
        <w:t>that the exchange rate of USD / IDR, the World Gold Price, the World Oil Prices, and Dow Jones Index have positive and significant impact on IHSG. This condition indicates that increasing of those four variables value will raise  IHSG value, on the other  hand decreasing of those variables value will weaken IHSG value. The Nikkei 225 and Foreign Net Purchases have negative effect but not significant to IHSG.</w:t>
      </w:r>
    </w:p>
    <w:p w:rsidR="00937262" w:rsidRPr="006177C0" w:rsidRDefault="00937262" w:rsidP="00596D79">
      <w:pPr>
        <w:ind w:firstLine="720"/>
        <w:jc w:val="both"/>
        <w:rPr>
          <w:rFonts w:ascii="TimesNewRomanPSMT" w:hAnsi="TimesNewRomanPSMT"/>
          <w:sz w:val="22"/>
          <w:szCs w:val="22"/>
          <w:lang w:val="id-ID"/>
        </w:rPr>
      </w:pPr>
    </w:p>
    <w:p w:rsidR="008E6C70" w:rsidRPr="006177C0" w:rsidRDefault="00937262" w:rsidP="0061241F">
      <w:pPr>
        <w:jc w:val="both"/>
        <w:rPr>
          <w:rFonts w:ascii="TimesNewRomanPSMT" w:hAnsi="TimesNewRomanPSMT"/>
          <w:sz w:val="22"/>
          <w:szCs w:val="22"/>
          <w:lang w:val="id-ID"/>
        </w:rPr>
      </w:pPr>
      <w:r w:rsidRPr="006177C0">
        <w:rPr>
          <w:rFonts w:ascii="TimesNewRomanPSMT" w:hAnsi="TimesNewRomanPSMT"/>
          <w:sz w:val="22"/>
          <w:szCs w:val="22"/>
          <w:lang w:val="id-ID"/>
        </w:rPr>
        <w:t xml:space="preserve">Key Words: exchange rate of USD / IDR, World Gold Price, World Oil Prices, </w:t>
      </w:r>
    </w:p>
    <w:p w:rsidR="008E6C70" w:rsidRPr="006177C0" w:rsidRDefault="008E6C70" w:rsidP="008E6C70">
      <w:pPr>
        <w:ind w:firstLine="720"/>
        <w:jc w:val="both"/>
        <w:rPr>
          <w:rFonts w:ascii="TimesNewRomanPSMT" w:hAnsi="TimesNewRomanPSMT"/>
          <w:sz w:val="22"/>
          <w:szCs w:val="22"/>
          <w:lang w:val="id-ID"/>
        </w:rPr>
      </w:pPr>
      <w:r w:rsidRPr="006177C0">
        <w:rPr>
          <w:rFonts w:ascii="TimesNewRomanPSMT" w:hAnsi="TimesNewRomanPSMT"/>
          <w:sz w:val="22"/>
          <w:szCs w:val="22"/>
          <w:lang w:val="id-ID"/>
        </w:rPr>
        <w:t xml:space="preserve">        </w:t>
      </w:r>
      <w:r w:rsidR="00937262" w:rsidRPr="006177C0">
        <w:rPr>
          <w:rFonts w:ascii="TimesNewRomanPSMT" w:hAnsi="TimesNewRomanPSMT"/>
          <w:sz w:val="22"/>
          <w:szCs w:val="22"/>
          <w:lang w:val="id-ID"/>
        </w:rPr>
        <w:t>DJIA index, Nikkei Index, Foreign Net Purchases, Composite Stock Price</w:t>
      </w:r>
      <w:r w:rsidR="0061241F" w:rsidRPr="006177C0">
        <w:rPr>
          <w:rFonts w:ascii="TimesNewRomanPSMT" w:hAnsi="TimesNewRomanPSMT"/>
          <w:sz w:val="22"/>
          <w:szCs w:val="22"/>
          <w:lang w:val="id-ID"/>
        </w:rPr>
        <w:t xml:space="preserve"> </w:t>
      </w:r>
    </w:p>
    <w:p w:rsidR="00937262" w:rsidRPr="006177C0" w:rsidRDefault="008E6C70" w:rsidP="008E6C70">
      <w:pPr>
        <w:ind w:left="108" w:firstLine="720"/>
        <w:jc w:val="both"/>
        <w:rPr>
          <w:rFonts w:ascii="TimesNewRomanPSMT" w:hAnsi="TimesNewRomanPSMT"/>
          <w:sz w:val="22"/>
          <w:szCs w:val="22"/>
          <w:lang w:val="id-ID"/>
        </w:rPr>
      </w:pPr>
      <w:r w:rsidRPr="006177C0">
        <w:rPr>
          <w:rFonts w:ascii="TimesNewRomanPSMT" w:hAnsi="TimesNewRomanPSMT"/>
          <w:sz w:val="22"/>
          <w:szCs w:val="22"/>
          <w:lang w:val="id-ID"/>
        </w:rPr>
        <w:t xml:space="preserve">     </w:t>
      </w:r>
      <w:r w:rsidR="00937262" w:rsidRPr="006177C0">
        <w:rPr>
          <w:rFonts w:ascii="TimesNewRomanPSMT" w:hAnsi="TimesNewRomanPSMT"/>
          <w:sz w:val="22"/>
          <w:szCs w:val="22"/>
          <w:lang w:val="id-ID"/>
        </w:rPr>
        <w:t>Index (IHSG</w:t>
      </w:r>
      <w:r w:rsidRPr="006177C0">
        <w:rPr>
          <w:rFonts w:ascii="TimesNewRomanPSMT" w:hAnsi="TimesNewRomanPSMT"/>
          <w:sz w:val="22"/>
          <w:szCs w:val="22"/>
          <w:lang w:val="id-ID"/>
        </w:rPr>
        <w:t xml:space="preserve">), </w:t>
      </w:r>
      <w:r w:rsidR="00937262" w:rsidRPr="006177C0">
        <w:rPr>
          <w:rFonts w:ascii="TimesNewRomanPSMT" w:hAnsi="TimesNewRomanPSMT"/>
          <w:sz w:val="22"/>
          <w:szCs w:val="22"/>
          <w:lang w:val="id-ID"/>
        </w:rPr>
        <w:t>Indonesia Stock Exchange (BEI), ARCH-GARCH</w:t>
      </w:r>
    </w:p>
    <w:p w:rsidR="00937262" w:rsidRPr="006177C0" w:rsidRDefault="00937262" w:rsidP="00596D79">
      <w:pPr>
        <w:rPr>
          <w:lang w:val="id-ID"/>
        </w:rPr>
      </w:pPr>
    </w:p>
    <w:p w:rsidR="008E6C70" w:rsidRPr="006177C0" w:rsidRDefault="008E6C70" w:rsidP="00596D79">
      <w:pPr>
        <w:rPr>
          <w:lang w:val="id-ID"/>
        </w:rPr>
      </w:pPr>
    </w:p>
    <w:p w:rsidR="008E6C70" w:rsidRPr="006177C0" w:rsidRDefault="008E6C70" w:rsidP="00596D79">
      <w:pPr>
        <w:rPr>
          <w:lang w:val="id-ID"/>
        </w:rPr>
      </w:pPr>
    </w:p>
    <w:p w:rsidR="008E6C70" w:rsidRPr="006177C0" w:rsidRDefault="008E6C70" w:rsidP="00596D79">
      <w:pPr>
        <w:rPr>
          <w:lang w:val="id-ID"/>
        </w:rPr>
      </w:pPr>
    </w:p>
    <w:p w:rsidR="008E6C70" w:rsidRPr="006177C0" w:rsidRDefault="008E6C70" w:rsidP="00596D79">
      <w:pPr>
        <w:rPr>
          <w:lang w:val="id-ID"/>
        </w:rPr>
      </w:pPr>
    </w:p>
    <w:p w:rsidR="008E6C70" w:rsidRPr="006177C0" w:rsidRDefault="008E6C70" w:rsidP="00596D79">
      <w:pPr>
        <w:rPr>
          <w:lang w:val="id-ID"/>
        </w:rPr>
      </w:pPr>
    </w:p>
    <w:p w:rsidR="00937262" w:rsidRPr="006177C0" w:rsidRDefault="00937262" w:rsidP="00596D79">
      <w:pPr>
        <w:rPr>
          <w:lang w:val="id-ID"/>
        </w:rPr>
      </w:pPr>
    </w:p>
    <w:p w:rsidR="00937262" w:rsidRPr="006177C0" w:rsidRDefault="00937262" w:rsidP="0061241F">
      <w:pPr>
        <w:spacing w:line="360" w:lineRule="auto"/>
        <w:rPr>
          <w:b/>
          <w:lang w:val="id-ID"/>
        </w:rPr>
      </w:pPr>
      <w:r w:rsidRPr="006177C0">
        <w:rPr>
          <w:b/>
          <w:lang w:val="id-ID"/>
        </w:rPr>
        <w:lastRenderedPageBreak/>
        <w:t>Latar Belakang</w:t>
      </w:r>
    </w:p>
    <w:p w:rsidR="00596D79" w:rsidRPr="006177C0" w:rsidRDefault="00596D79" w:rsidP="0061241F">
      <w:pPr>
        <w:pStyle w:val="Default"/>
        <w:spacing w:line="360" w:lineRule="auto"/>
        <w:ind w:firstLine="720"/>
        <w:jc w:val="both"/>
        <w:rPr>
          <w:noProof/>
          <w:color w:val="auto"/>
          <w:lang w:val="id-ID"/>
        </w:rPr>
      </w:pPr>
      <w:r w:rsidRPr="006177C0">
        <w:rPr>
          <w:noProof/>
          <w:color w:val="auto"/>
          <w:lang w:val="id-ID"/>
        </w:rPr>
        <w:t>Perkembangan kegiatan investasi pada sektor keuangan telah mengalami kemajuan yang cukup pesat seiring dengan kemajuan teknologi informasi dan meningkatnya pengetahuan masyarakat.</w:t>
      </w:r>
      <w:r w:rsidRPr="006177C0">
        <w:rPr>
          <w:noProof/>
          <w:color w:val="000000" w:themeColor="text1"/>
          <w:lang w:val="id-ID"/>
        </w:rPr>
        <w:t xml:space="preserve"> </w:t>
      </w:r>
      <w:r w:rsidRPr="006177C0">
        <w:rPr>
          <w:noProof/>
          <w:color w:val="auto"/>
          <w:lang w:val="id-ID"/>
        </w:rPr>
        <w:t xml:space="preserve">Salah satu cara untuk mengetahui kondisi pasar keuangan suatu negara dapat dilihat dari Indeks Harga Saham Gabungan </w:t>
      </w:r>
      <w:r w:rsidR="00676EC8" w:rsidRPr="006177C0">
        <w:rPr>
          <w:color w:val="auto"/>
          <w:lang w:val="id-ID"/>
        </w:rPr>
        <w:t>n</w:t>
      </w:r>
      <w:r w:rsidRPr="006177C0">
        <w:rPr>
          <w:color w:val="auto"/>
          <w:lang w:val="id-ID"/>
        </w:rPr>
        <w:t>egara tersebut</w:t>
      </w:r>
      <w:r w:rsidR="00945FA7" w:rsidRPr="006177C0">
        <w:rPr>
          <w:noProof/>
          <w:color w:val="auto"/>
          <w:lang w:val="id-ID"/>
        </w:rPr>
        <w:t xml:space="preserve"> </w:t>
      </w:r>
      <w:r w:rsidRPr="006177C0">
        <w:rPr>
          <w:noProof/>
          <w:color w:val="auto"/>
          <w:lang w:val="id-ID"/>
        </w:rPr>
        <w:t>(</w:t>
      </w:r>
      <w:hyperlink r:id="rId8" w:history="1">
        <w:r w:rsidRPr="006177C0">
          <w:rPr>
            <w:rStyle w:val="Hyperlink"/>
            <w:noProof/>
            <w:color w:val="auto"/>
            <w:lang w:val="id-ID"/>
          </w:rPr>
          <w:t>http://www.idx.co.id</w:t>
        </w:r>
      </w:hyperlink>
      <w:r w:rsidRPr="006177C0">
        <w:rPr>
          <w:noProof/>
          <w:color w:val="auto"/>
          <w:lang w:val="id-ID"/>
        </w:rPr>
        <w:t>).</w:t>
      </w:r>
      <w:r w:rsidR="00945FA7" w:rsidRPr="006177C0">
        <w:rPr>
          <w:noProof/>
          <w:color w:val="auto"/>
          <w:lang w:val="id-ID"/>
        </w:rPr>
        <w:t xml:space="preserve"> </w:t>
      </w:r>
      <w:r w:rsidRPr="006177C0">
        <w:rPr>
          <w:noProof/>
          <w:lang w:val="id-ID"/>
        </w:rPr>
        <w:t xml:space="preserve">Dalam </w:t>
      </w:r>
      <w:r w:rsidRPr="006177C0">
        <w:rPr>
          <w:lang w:val="id-ID"/>
        </w:rPr>
        <w:t>satu dekade</w:t>
      </w:r>
      <w:r w:rsidRPr="006177C0">
        <w:rPr>
          <w:noProof/>
          <w:lang w:val="id-ID"/>
        </w:rPr>
        <w:t xml:space="preserve"> terakhir IHSG di BEI menunjukkan adanya peningkatan yang cukup signifikan, dari level 406,12 pada awal tahun 2003 menjadi 4.274,18 pada akhir tahun 2013. Namun demikian, IHSG juga mengalami penurunan pada tahun 2008 karena krisis </w:t>
      </w:r>
      <w:r w:rsidRPr="006177C0">
        <w:rPr>
          <w:i/>
          <w:noProof/>
          <w:lang w:val="id-ID"/>
        </w:rPr>
        <w:t xml:space="preserve">subprime </w:t>
      </w:r>
      <w:r w:rsidRPr="006177C0">
        <w:rPr>
          <w:i/>
          <w:noProof/>
          <w:color w:val="000000" w:themeColor="text1"/>
          <w:lang w:val="id-ID"/>
        </w:rPr>
        <w:t>mortgage</w:t>
      </w:r>
      <w:r w:rsidRPr="006177C0">
        <w:rPr>
          <w:noProof/>
          <w:color w:val="000000" w:themeColor="text1"/>
          <w:lang w:val="id-ID"/>
        </w:rPr>
        <w:t xml:space="preserve"> </w:t>
      </w:r>
      <w:r w:rsidRPr="006177C0">
        <w:rPr>
          <w:noProof/>
          <w:lang w:val="id-ID"/>
        </w:rPr>
        <w:t>Amerika Serikat, dimana IHSG turun sebesar 50,64 % dari tahun sebelumnya. Pada tahun 2013 IHSG juga mengalami penurunan sebesar 0,98% dari tahun sebelumnya karena ketidakpastian ekonomi global dan adanya rencana percepatan penghentian QE III (</w:t>
      </w:r>
      <w:r w:rsidRPr="006177C0">
        <w:rPr>
          <w:i/>
          <w:noProof/>
          <w:lang w:val="id-ID"/>
        </w:rPr>
        <w:t>Quantitative Easing</w:t>
      </w:r>
      <w:r w:rsidRPr="006177C0">
        <w:rPr>
          <w:noProof/>
          <w:lang w:val="id-ID"/>
        </w:rPr>
        <w:t xml:space="preserve">) dari the Fed. </w:t>
      </w:r>
    </w:p>
    <w:p w:rsidR="00596D79" w:rsidRPr="006177C0" w:rsidRDefault="00596D79" w:rsidP="0061241F">
      <w:pPr>
        <w:pStyle w:val="Default"/>
        <w:spacing w:line="360" w:lineRule="auto"/>
        <w:ind w:firstLine="720"/>
        <w:jc w:val="both"/>
        <w:rPr>
          <w:color w:val="000000" w:themeColor="text1"/>
          <w:lang w:val="id-ID"/>
        </w:rPr>
      </w:pPr>
      <w:r w:rsidRPr="006177C0">
        <w:rPr>
          <w:noProof/>
          <w:lang w:val="id-ID"/>
        </w:rPr>
        <w:t>Pergerakan</w:t>
      </w:r>
      <w:r w:rsidRPr="006177C0">
        <w:rPr>
          <w:lang w:val="id-ID"/>
        </w:rPr>
        <w:t xml:space="preserve"> indeks saham dipengaruhi oleh banyak faktor yaitu perekonomian makro negara, sentimen positif/ negatif dari aksi jual-beli investor asing dan indeks saham negara lain (Frensidy, 2008). </w:t>
      </w:r>
      <w:r w:rsidRPr="006177C0">
        <w:rPr>
          <w:noProof/>
          <w:lang w:val="id-ID"/>
        </w:rPr>
        <w:t>Menurut Blanchard (2006) faktor yang dapat mempengaruhi pergerakan indeks saham suatu negara, antara lain per</w:t>
      </w:r>
      <w:r w:rsidRPr="006177C0">
        <w:rPr>
          <w:noProof/>
          <w:color w:val="000000" w:themeColor="text1"/>
          <w:lang w:val="id-ID"/>
        </w:rPr>
        <w:t xml:space="preserve">ubahan tingkat suku bunga bank sentral, indeks harga saham negara  sekitarnya, keadaan ekonomi global, tingkat harga komoditas dunia terutama energi,  nilai tukar mata uang, kestabilan politik suatu negara. </w:t>
      </w:r>
      <w:r w:rsidR="00565650" w:rsidRPr="006177C0">
        <w:rPr>
          <w:color w:val="000000" w:themeColor="text1"/>
          <w:lang w:val="id-ID"/>
        </w:rPr>
        <w:t xml:space="preserve">Bodie, Kane dan Marcus (2006) </w:t>
      </w:r>
      <w:r w:rsidRPr="006177C0">
        <w:rPr>
          <w:color w:val="000000" w:themeColor="text1"/>
          <w:lang w:val="id-ID"/>
        </w:rPr>
        <w:t xml:space="preserve">mengemukakan bahwa tujuh faktor yang mempengaruhi perkembangan pasar saham bila dilihat dari makro ekonomi, yaitu </w:t>
      </w:r>
      <w:r w:rsidRPr="006177C0">
        <w:rPr>
          <w:i/>
          <w:color w:val="000000" w:themeColor="text1"/>
          <w:lang w:val="id-ID"/>
        </w:rPr>
        <w:t>Gross Domestic Product</w:t>
      </w:r>
      <w:r w:rsidRPr="006177C0">
        <w:rPr>
          <w:color w:val="000000" w:themeColor="text1"/>
          <w:lang w:val="id-ID"/>
        </w:rPr>
        <w:t xml:space="preserve"> (GDP), inflasi, suku bunga, nilai tukar, tingkat pengangguran, transaksi berjalan, defisit anggaran. </w:t>
      </w:r>
    </w:p>
    <w:p w:rsidR="00596D79" w:rsidRPr="006177C0" w:rsidRDefault="00596D79" w:rsidP="0061241F">
      <w:pPr>
        <w:pStyle w:val="NormalWeb"/>
        <w:shd w:val="clear" w:color="auto" w:fill="FFFFFF"/>
        <w:spacing w:before="0" w:beforeAutospacing="0" w:after="0" w:afterAutospacing="0" w:line="360" w:lineRule="auto"/>
        <w:ind w:firstLine="720"/>
        <w:jc w:val="both"/>
        <w:rPr>
          <w:lang w:val="id-ID"/>
        </w:rPr>
      </w:pPr>
      <w:r w:rsidRPr="006177C0">
        <w:rPr>
          <w:noProof/>
          <w:color w:val="000000" w:themeColor="text1"/>
          <w:lang w:val="id-ID"/>
        </w:rPr>
        <w:t>Nilai tukar rupiah pada tahun 2013 berada dalam tren melemah karena pengaruh ekonomi global yang melambat</w:t>
      </w:r>
      <w:r w:rsidRPr="006177C0">
        <w:rPr>
          <w:noProof/>
          <w:lang w:val="id-ID"/>
        </w:rPr>
        <w:t xml:space="preserve"> </w:t>
      </w:r>
      <w:r w:rsidRPr="006177C0">
        <w:rPr>
          <w:noProof/>
          <w:color w:val="000000" w:themeColor="text1"/>
          <w:lang w:val="id-ID"/>
        </w:rPr>
        <w:t>akibat rencana pengurangan stimulus moneter di AS (</w:t>
      </w:r>
      <w:r w:rsidRPr="006177C0">
        <w:rPr>
          <w:i/>
          <w:noProof/>
          <w:color w:val="000000" w:themeColor="text1"/>
          <w:lang w:val="id-ID"/>
        </w:rPr>
        <w:t>tapering off</w:t>
      </w:r>
      <w:r w:rsidRPr="006177C0">
        <w:rPr>
          <w:noProof/>
          <w:color w:val="000000" w:themeColor="text1"/>
          <w:lang w:val="id-ID"/>
        </w:rPr>
        <w:t>). Nilai tukar rupiah terhadap dolar Amerika Serikat (AS) melemah sebesar 22,1% sejak Juni hingga Desember 2013.</w:t>
      </w:r>
      <w:r w:rsidR="00565650" w:rsidRPr="006177C0">
        <w:rPr>
          <w:noProof/>
          <w:color w:val="000000" w:themeColor="text1"/>
          <w:lang w:val="id-ID"/>
        </w:rPr>
        <w:t xml:space="preserve"> </w:t>
      </w:r>
      <w:r w:rsidRPr="006177C0">
        <w:rPr>
          <w:lang w:val="id-ID"/>
        </w:rPr>
        <w:t xml:space="preserve">Kenaikan kurs/ nilai tukar </w:t>
      </w:r>
      <w:r w:rsidRPr="006177C0">
        <w:rPr>
          <w:noProof/>
          <w:color w:val="000000" w:themeColor="text1"/>
          <w:lang w:val="id-ID"/>
        </w:rPr>
        <w:t xml:space="preserve">dolar </w:t>
      </w:r>
      <w:r w:rsidRPr="006177C0">
        <w:rPr>
          <w:lang w:val="id-ID"/>
        </w:rPr>
        <w:t xml:space="preserve">yang tajam terhadap rupiah akan berdampak negatif terhadap emiten yang memiliki utang dalam </w:t>
      </w:r>
      <w:r w:rsidRPr="006177C0">
        <w:rPr>
          <w:i/>
          <w:lang w:val="id-ID"/>
        </w:rPr>
        <w:t>dollar</w:t>
      </w:r>
      <w:r w:rsidRPr="006177C0">
        <w:rPr>
          <w:lang w:val="id-ID"/>
        </w:rPr>
        <w:t xml:space="preserve"> sementara produk emiten tersebut dijual secara lokal. Sementara itu emiten yang berorientasi ekspor akan menerima dampak positif dari kenaikan </w:t>
      </w:r>
      <w:r w:rsidRPr="006177C0">
        <w:rPr>
          <w:i/>
          <w:lang w:val="id-ID"/>
        </w:rPr>
        <w:t>kurs</w:t>
      </w:r>
      <w:r w:rsidRPr="006177C0">
        <w:rPr>
          <w:lang w:val="id-ID"/>
        </w:rPr>
        <w:t xml:space="preserve"> </w:t>
      </w:r>
      <w:r w:rsidRPr="006177C0">
        <w:rPr>
          <w:noProof/>
          <w:color w:val="000000" w:themeColor="text1"/>
          <w:lang w:val="id-ID"/>
        </w:rPr>
        <w:t xml:space="preserve">dolar </w:t>
      </w:r>
      <w:r w:rsidRPr="006177C0">
        <w:rPr>
          <w:lang w:val="id-ID"/>
        </w:rPr>
        <w:t xml:space="preserve">tersebut. Harga saham emiten yang </w:t>
      </w:r>
      <w:r w:rsidRPr="006177C0">
        <w:rPr>
          <w:lang w:val="id-ID"/>
        </w:rPr>
        <w:lastRenderedPageBreak/>
        <w:t xml:space="preserve">terkena dampak negatif akan mengalami penurunan di Bursa Efek, sementara emiten yang terkena dampak positif akan meningkat harga sahamnya. Selanjutnya, IHSG juga akan terkena dampak negatif atau positif tergantung pada kelompok yang dominan dampaknya </w:t>
      </w:r>
      <w:r w:rsidRPr="006177C0">
        <w:rPr>
          <w:noProof/>
          <w:lang w:val="id-ID"/>
        </w:rPr>
        <w:t>(Samsul, 2006).</w:t>
      </w:r>
      <w:r w:rsidRPr="006177C0">
        <w:rPr>
          <w:lang w:val="id-ID"/>
        </w:rPr>
        <w:t xml:space="preserve"> </w:t>
      </w:r>
    </w:p>
    <w:p w:rsidR="00596D79" w:rsidRPr="006177C0" w:rsidRDefault="00596D79" w:rsidP="0061241F">
      <w:pPr>
        <w:pStyle w:val="Default"/>
        <w:spacing w:line="360" w:lineRule="auto"/>
        <w:ind w:firstLine="720"/>
        <w:jc w:val="both"/>
        <w:rPr>
          <w:noProof/>
          <w:color w:val="000000" w:themeColor="text1"/>
          <w:lang w:val="id-ID"/>
        </w:rPr>
      </w:pPr>
      <w:r w:rsidRPr="006177C0">
        <w:rPr>
          <w:noProof/>
          <w:color w:val="000000" w:themeColor="text1"/>
          <w:lang w:val="id-ID"/>
        </w:rPr>
        <w:t>Harga minyak mentah tahun 2013 turun sebesar 1 % dibandingka</w:t>
      </w:r>
      <w:r w:rsidR="00676EC8" w:rsidRPr="006177C0">
        <w:rPr>
          <w:noProof/>
          <w:color w:val="000000" w:themeColor="text1"/>
          <w:lang w:val="id-ID"/>
        </w:rPr>
        <w:t xml:space="preserve">n dengan harga tahun sebelumnya. </w:t>
      </w:r>
      <w:r w:rsidR="00E9343B" w:rsidRPr="006177C0">
        <w:rPr>
          <w:noProof/>
          <w:color w:val="000000" w:themeColor="text1"/>
          <w:lang w:val="id-ID"/>
        </w:rPr>
        <w:t>Hal ini</w:t>
      </w:r>
      <w:r w:rsidRPr="006177C0">
        <w:rPr>
          <w:noProof/>
          <w:color w:val="000000" w:themeColor="text1"/>
          <w:lang w:val="id-ID"/>
        </w:rPr>
        <w:t xml:space="preserve"> disebabkan masih lemahnya permintaan akibat melambatnya pertumbuhan ekonomi dunia. Penurunan harga minyak mentah juga disebabkan peningkatan pasokan dari negara-negara </w:t>
      </w:r>
      <w:r w:rsidRPr="006177C0">
        <w:rPr>
          <w:i/>
          <w:noProof/>
          <w:color w:val="000000" w:themeColor="text1"/>
          <w:lang w:val="id-ID"/>
        </w:rPr>
        <w:t>non</w:t>
      </w:r>
      <w:r w:rsidRPr="006177C0">
        <w:rPr>
          <w:noProof/>
          <w:color w:val="000000" w:themeColor="text1"/>
          <w:lang w:val="id-ID"/>
        </w:rPr>
        <w:t xml:space="preserve"> OPEC, terutama dari </w:t>
      </w:r>
      <w:r w:rsidRPr="006177C0">
        <w:rPr>
          <w:i/>
          <w:noProof/>
          <w:color w:val="000000" w:themeColor="text1"/>
          <w:lang w:val="id-ID"/>
        </w:rPr>
        <w:t>oil shale</w:t>
      </w:r>
      <w:r w:rsidRPr="006177C0">
        <w:rPr>
          <w:noProof/>
          <w:color w:val="000000" w:themeColor="text1"/>
          <w:lang w:val="id-ID"/>
        </w:rPr>
        <w:t xml:space="preserve"> di AS dan </w:t>
      </w:r>
      <w:r w:rsidRPr="006177C0">
        <w:rPr>
          <w:i/>
          <w:noProof/>
          <w:color w:val="000000" w:themeColor="text1"/>
          <w:lang w:val="id-ID"/>
        </w:rPr>
        <w:t>oil sand</w:t>
      </w:r>
      <w:r w:rsidRPr="006177C0">
        <w:rPr>
          <w:noProof/>
          <w:color w:val="000000" w:themeColor="text1"/>
          <w:lang w:val="id-ID"/>
        </w:rPr>
        <w:t xml:space="preserve"> di Kanada (Laporan Perekonomian Indonesia BI, 2013). Harga m</w:t>
      </w:r>
      <w:r w:rsidRPr="006177C0">
        <w:rPr>
          <w:noProof/>
          <w:lang w:val="id-ID" w:eastAsia="en-US"/>
        </w:rPr>
        <w:t xml:space="preserve">inyak mentah berhubungan erat dengan harga saham perusahaan tambang, kenaikan harga minyak dunia disinyalir mendorong kenaikan harga saham perusahaan tambang. Berdasarkan data Bursa Efek Indonesia (BEI) tahun 2013, nilai kapitalisasi sektor pertambangan mencapai 6.24% (peringkat ke 4). Selain itu pada bulan Desember 2013, volume transaksi sektor ini mencapai 16,49 % (peringkat ke 3) dan nilai transaksi mencapai 12,27 % (peringkat ke 4). </w:t>
      </w:r>
    </w:p>
    <w:p w:rsidR="00596D79" w:rsidRPr="006177C0" w:rsidRDefault="00A62C25" w:rsidP="0061241F">
      <w:pPr>
        <w:pStyle w:val="NormalWeb"/>
        <w:shd w:val="clear" w:color="auto" w:fill="FFFFFF"/>
        <w:spacing w:before="0" w:beforeAutospacing="0" w:after="0" w:afterAutospacing="0" w:line="360" w:lineRule="auto"/>
        <w:ind w:firstLine="720"/>
        <w:jc w:val="both"/>
        <w:rPr>
          <w:color w:val="000000" w:themeColor="text1"/>
          <w:lang w:val="id-ID"/>
        </w:rPr>
      </w:pPr>
      <w:r w:rsidRPr="006177C0">
        <w:rPr>
          <w:lang w:val="id-ID"/>
        </w:rPr>
        <w:t>P</w:t>
      </w:r>
      <w:r w:rsidR="00596D79" w:rsidRPr="006177C0">
        <w:rPr>
          <w:lang w:val="id-ID"/>
        </w:rPr>
        <w:t xml:space="preserve">erusahaan yang </w:t>
      </w:r>
      <w:r w:rsidR="00676EC8" w:rsidRPr="006177C0">
        <w:rPr>
          <w:lang w:val="id-ID"/>
        </w:rPr>
        <w:t xml:space="preserve">berskala internasional, </w:t>
      </w:r>
      <w:r w:rsidR="00596D79" w:rsidRPr="006177C0">
        <w:rPr>
          <w:lang w:val="id-ID"/>
        </w:rPr>
        <w:t xml:space="preserve">kondisi ekonomi Negara </w:t>
      </w:r>
      <w:r w:rsidR="00596D79" w:rsidRPr="006177C0">
        <w:rPr>
          <w:i/>
          <w:lang w:val="id-ID"/>
        </w:rPr>
        <w:t>counterpart</w:t>
      </w:r>
      <w:r w:rsidR="00596D79" w:rsidRPr="006177C0">
        <w:rPr>
          <w:lang w:val="id-ID"/>
        </w:rPr>
        <w:t xml:space="preserve"> sangat berpengaruh terhadap kinerja. </w:t>
      </w:r>
      <w:r w:rsidR="00596D79" w:rsidRPr="006177C0">
        <w:rPr>
          <w:noProof/>
          <w:color w:val="000000" w:themeColor="text1"/>
          <w:lang w:val="id-ID"/>
        </w:rPr>
        <w:t xml:space="preserve">Jepang dan Amerika Serikat merupakan negara tujuan ekspor </w:t>
      </w:r>
      <w:r w:rsidRPr="006177C0">
        <w:rPr>
          <w:noProof/>
          <w:color w:val="000000" w:themeColor="text1"/>
          <w:lang w:val="id-ID"/>
        </w:rPr>
        <w:t xml:space="preserve">(non-migas) </w:t>
      </w:r>
      <w:r w:rsidR="00596D79" w:rsidRPr="006177C0">
        <w:rPr>
          <w:noProof/>
          <w:color w:val="000000" w:themeColor="text1"/>
          <w:lang w:val="id-ID"/>
        </w:rPr>
        <w:t xml:space="preserve">nomor dua setelah China dengan porsi 10,73 % dan 10,06 % (BPS, 2013). </w:t>
      </w:r>
      <w:r w:rsidR="00596D79" w:rsidRPr="006177C0">
        <w:rPr>
          <w:noProof/>
          <w:color w:val="000000"/>
          <w:lang w:val="id-ID" w:eastAsia="id-ID"/>
        </w:rPr>
        <w:t xml:space="preserve">Amerika Serikat memiliki komposisi GDP paling besar yaitu </w:t>
      </w:r>
      <w:r w:rsidR="00596D79" w:rsidRPr="006177C0">
        <w:rPr>
          <w:noProof/>
          <w:lang w:val="id-ID" w:eastAsia="id-ID"/>
        </w:rPr>
        <w:t xml:space="preserve">22,45 </w:t>
      </w:r>
      <w:r w:rsidR="00596D79" w:rsidRPr="006177C0">
        <w:rPr>
          <w:noProof/>
          <w:color w:val="000000"/>
          <w:lang w:val="id-ID" w:eastAsia="id-ID"/>
        </w:rPr>
        <w:t xml:space="preserve">%, </w:t>
      </w:r>
      <w:r w:rsidR="001F5D1E" w:rsidRPr="006177C0">
        <w:rPr>
          <w:noProof/>
          <w:color w:val="000000"/>
          <w:lang w:val="id-ID" w:eastAsia="id-ID"/>
        </w:rPr>
        <w:t xml:space="preserve">sedangkan </w:t>
      </w:r>
      <w:r w:rsidR="00596D79" w:rsidRPr="006177C0">
        <w:rPr>
          <w:noProof/>
          <w:lang w:val="id-ID" w:eastAsia="id-ID"/>
        </w:rPr>
        <w:t xml:space="preserve">Jepang </w:t>
      </w:r>
      <w:r w:rsidR="001F5D1E" w:rsidRPr="006177C0">
        <w:rPr>
          <w:noProof/>
          <w:lang w:val="id-ID" w:eastAsia="id-ID"/>
        </w:rPr>
        <w:t xml:space="preserve">sebesar </w:t>
      </w:r>
      <w:r w:rsidR="00596D79" w:rsidRPr="006177C0">
        <w:rPr>
          <w:noProof/>
          <w:lang w:val="id-ID" w:eastAsia="id-ID"/>
        </w:rPr>
        <w:t>6</w:t>
      </w:r>
      <w:r w:rsidR="00596D79" w:rsidRPr="006177C0">
        <w:rPr>
          <w:noProof/>
          <w:color w:val="000000"/>
          <w:lang w:val="id-ID" w:eastAsia="id-ID"/>
        </w:rPr>
        <w:t>,5</w:t>
      </w:r>
      <w:r w:rsidR="00596D79" w:rsidRPr="006177C0">
        <w:rPr>
          <w:noProof/>
          <w:lang w:val="id-ID" w:eastAsia="id-ID"/>
        </w:rPr>
        <w:t>6</w:t>
      </w:r>
      <w:r w:rsidR="00596D79" w:rsidRPr="006177C0">
        <w:rPr>
          <w:noProof/>
          <w:color w:val="000000"/>
          <w:lang w:val="id-ID" w:eastAsia="id-ID"/>
        </w:rPr>
        <w:t>% (IMF, 2013)</w:t>
      </w:r>
      <w:r w:rsidR="00596D79" w:rsidRPr="006177C0">
        <w:rPr>
          <w:noProof/>
          <w:color w:val="000000" w:themeColor="text1"/>
          <w:lang w:val="id-ID"/>
        </w:rPr>
        <w:t xml:space="preserve">. </w:t>
      </w:r>
      <w:r w:rsidR="00596D79" w:rsidRPr="006177C0">
        <w:rPr>
          <w:color w:val="000000" w:themeColor="text1"/>
          <w:lang w:val="id-ID"/>
        </w:rPr>
        <w:t xml:space="preserve">Perubahan kondisi perekonomian kedua negara tersebut akan memberikan pengaruh terhadap perkonomian Indonesia, baik secara langsung maupun tidak langsung. </w:t>
      </w:r>
      <w:r w:rsidR="001F5D1E" w:rsidRPr="006177C0">
        <w:rPr>
          <w:color w:val="000000" w:themeColor="text1"/>
          <w:lang w:val="id-ID"/>
        </w:rPr>
        <w:t>U</w:t>
      </w:r>
      <w:r w:rsidR="00596D79" w:rsidRPr="006177C0">
        <w:rPr>
          <w:lang w:val="id-ID"/>
        </w:rPr>
        <w:t xml:space="preserve">ntuk mengetahui kondisi ekonomi </w:t>
      </w:r>
      <w:r w:rsidR="001F5D1E" w:rsidRPr="006177C0">
        <w:rPr>
          <w:lang w:val="id-ID"/>
        </w:rPr>
        <w:t>di</w:t>
      </w:r>
      <w:r w:rsidR="00596D79" w:rsidRPr="006177C0">
        <w:rPr>
          <w:lang w:val="id-ID"/>
        </w:rPr>
        <w:t xml:space="preserve"> negara tersebut, dapat dilihat dari</w:t>
      </w:r>
      <w:r w:rsidRPr="006177C0">
        <w:rPr>
          <w:lang w:val="id-ID"/>
        </w:rPr>
        <w:t xml:space="preserve">indeks </w:t>
      </w:r>
      <w:r w:rsidR="00596D79" w:rsidRPr="006177C0">
        <w:rPr>
          <w:lang w:val="id-ID"/>
        </w:rPr>
        <w:t xml:space="preserve"> </w:t>
      </w:r>
      <w:r w:rsidR="00596D79" w:rsidRPr="006177C0">
        <w:rPr>
          <w:i/>
          <w:lang w:val="id-ID"/>
        </w:rPr>
        <w:t>Dow Jones Industrial Average</w:t>
      </w:r>
      <w:r w:rsidR="00596D79" w:rsidRPr="006177C0">
        <w:rPr>
          <w:lang w:val="id-ID"/>
        </w:rPr>
        <w:t xml:space="preserve"> (DJIA) </w:t>
      </w:r>
      <w:r w:rsidRPr="006177C0">
        <w:rPr>
          <w:lang w:val="id-ID"/>
        </w:rPr>
        <w:t>untuk negara</w:t>
      </w:r>
      <w:r w:rsidR="00596D79" w:rsidRPr="006177C0">
        <w:rPr>
          <w:lang w:val="id-ID"/>
        </w:rPr>
        <w:t xml:space="preserve"> A</w:t>
      </w:r>
      <w:r w:rsidRPr="006177C0">
        <w:rPr>
          <w:lang w:val="id-ID"/>
        </w:rPr>
        <w:t xml:space="preserve">merika dan </w:t>
      </w:r>
      <w:r w:rsidR="00596D79" w:rsidRPr="006177C0">
        <w:rPr>
          <w:lang w:val="id-ID"/>
        </w:rPr>
        <w:t xml:space="preserve">Nikkei </w:t>
      </w:r>
      <w:r w:rsidRPr="006177C0">
        <w:rPr>
          <w:lang w:val="id-ID"/>
        </w:rPr>
        <w:t xml:space="preserve">untuk negara </w:t>
      </w:r>
      <w:r w:rsidR="00596D79" w:rsidRPr="006177C0">
        <w:rPr>
          <w:lang w:val="id-ID"/>
        </w:rPr>
        <w:t xml:space="preserve">Jepang. Itulah sebabnya investor selalu memperhatikan indeks saham global setiap hari sebelum dan sepanjang perdagangan berlangsung. IHSG sedikit banyak akan terpengaruh oleh indeks global/ regional tersebut disamping kondisi makro ekonomi dalam negeri sendiri </w:t>
      </w:r>
      <w:r w:rsidR="00596D79" w:rsidRPr="006177C0">
        <w:rPr>
          <w:noProof/>
          <w:lang w:val="id-ID"/>
        </w:rPr>
        <w:t xml:space="preserve">(Samsul, 2006). </w:t>
      </w:r>
    </w:p>
    <w:p w:rsidR="00596D79" w:rsidRPr="006177C0" w:rsidRDefault="00596D79" w:rsidP="0061241F">
      <w:pPr>
        <w:pStyle w:val="NormalWeb"/>
        <w:shd w:val="clear" w:color="auto" w:fill="FFFFFF"/>
        <w:spacing w:before="0" w:beforeAutospacing="0" w:after="0" w:afterAutospacing="0" w:line="360" w:lineRule="auto"/>
        <w:ind w:firstLine="720"/>
        <w:jc w:val="both"/>
        <w:rPr>
          <w:lang w:val="id-ID"/>
        </w:rPr>
      </w:pPr>
      <w:r w:rsidRPr="006177C0">
        <w:rPr>
          <w:lang w:val="id-ID"/>
        </w:rPr>
        <w:t xml:space="preserve">Sesuai dengan konsep portofolio, diversifikasi pada berbagai asset atau berbagai </w:t>
      </w:r>
      <w:r w:rsidR="00647C7D" w:rsidRPr="006177C0">
        <w:rPr>
          <w:lang w:val="id-ID"/>
        </w:rPr>
        <w:t>n</w:t>
      </w:r>
      <w:r w:rsidRPr="006177C0">
        <w:rPr>
          <w:lang w:val="id-ID"/>
        </w:rPr>
        <w:t xml:space="preserve">egara diharapkan memberikan tingkat </w:t>
      </w:r>
      <w:r w:rsidRPr="006177C0">
        <w:rPr>
          <w:i/>
          <w:lang w:val="id-ID"/>
        </w:rPr>
        <w:t>return</w:t>
      </w:r>
      <w:r w:rsidRPr="006177C0">
        <w:rPr>
          <w:lang w:val="id-ID"/>
        </w:rPr>
        <w:t xml:space="preserve"> yang lebih tinggi dan pengurangan risiko yang lebih besar. Globalisasi keuangan menyebabkan tingginya aliran modal investor global ke pasar finansial </w:t>
      </w:r>
      <w:r w:rsidR="00647C7D" w:rsidRPr="006177C0">
        <w:rPr>
          <w:lang w:val="id-ID"/>
        </w:rPr>
        <w:t>n</w:t>
      </w:r>
      <w:r w:rsidR="00882AD0" w:rsidRPr="006177C0">
        <w:rPr>
          <w:lang w:val="id-ID"/>
        </w:rPr>
        <w:t xml:space="preserve">egara </w:t>
      </w:r>
      <w:r w:rsidRPr="006177C0">
        <w:rPr>
          <w:i/>
          <w:lang w:val="id-ID"/>
        </w:rPr>
        <w:t>emerging marke</w:t>
      </w:r>
      <w:r w:rsidR="00882AD0" w:rsidRPr="006177C0">
        <w:rPr>
          <w:i/>
          <w:lang w:val="id-ID"/>
        </w:rPr>
        <w:t>t</w:t>
      </w:r>
      <w:r w:rsidR="00882AD0" w:rsidRPr="006177C0">
        <w:rPr>
          <w:lang w:val="id-ID"/>
        </w:rPr>
        <w:t xml:space="preserve"> </w:t>
      </w:r>
      <w:r w:rsidR="00882AD0" w:rsidRPr="006177C0">
        <w:rPr>
          <w:lang w:val="id-ID"/>
        </w:rPr>
        <w:lastRenderedPageBreak/>
        <w:t>(termasuk Indonesia)</w:t>
      </w:r>
      <w:r w:rsidRPr="006177C0">
        <w:rPr>
          <w:lang w:val="id-ID"/>
        </w:rPr>
        <w:t xml:space="preserve"> karena dapat memberikan imbal hasilnya tinggi. Kegiatan perdagangan saham di Indonesia meningkat pesat setelah pemodal asing diizinkan membeli saham di pasar modal Indonesia pada tahun 1989 (Husnan, 2005). Optimisme investor asing ditandai dengan maraknya aksi beli akan memberikan sentimen positif, sedangkan pesimisme investor asing terjadi jika aksi jual mereka melebihi aksi belinya pada periode perdagangan tertentu. Investor asing dipandang memiliki modal besar dan mempunyai analisa fundamental dan informasi yang lebih baik daripada investor lokal (Frensidy, 2008). Peran pemodal asing dapat dilihat dari Pembelian Asing Bersih, yaitu </w:t>
      </w:r>
      <w:r w:rsidRPr="006177C0">
        <w:rPr>
          <w:color w:val="000000"/>
          <w:lang w:val="id-ID"/>
        </w:rPr>
        <w:t xml:space="preserve">total pembelian saham oleh investor asing dikurangi total penjualan saham oleh investor asing </w:t>
      </w:r>
    </w:p>
    <w:p w:rsidR="00596D79" w:rsidRPr="006177C0" w:rsidRDefault="00596D79" w:rsidP="0061241F">
      <w:pPr>
        <w:shd w:val="clear" w:color="auto" w:fill="FFFFFF"/>
        <w:spacing w:line="360" w:lineRule="auto"/>
        <w:ind w:firstLine="720"/>
        <w:contextualSpacing/>
        <w:jc w:val="both"/>
        <w:rPr>
          <w:noProof/>
          <w:color w:val="000000" w:themeColor="text1"/>
          <w:lang w:val="id-ID"/>
        </w:rPr>
      </w:pPr>
      <w:r w:rsidRPr="006177C0">
        <w:rPr>
          <w:noProof/>
          <w:color w:val="000000" w:themeColor="text1"/>
          <w:lang w:val="id-ID"/>
        </w:rPr>
        <w:t xml:space="preserve">Ketidakpastian perekonomian global menjadikan </w:t>
      </w:r>
      <w:r w:rsidRPr="006177C0">
        <w:rPr>
          <w:color w:val="000000" w:themeColor="text1"/>
          <w:lang w:val="id-ID"/>
        </w:rPr>
        <w:t xml:space="preserve">para investor lebih memilih memegang uang tunai atau memilih </w:t>
      </w:r>
      <w:r w:rsidRPr="006177C0">
        <w:rPr>
          <w:noProof/>
          <w:color w:val="000000" w:themeColor="text1"/>
          <w:lang w:val="id-ID"/>
        </w:rPr>
        <w:t xml:space="preserve">investasi konvensional karena cukup aman. Emas sebagai salah satu investasi yang memiliki resiko rendah. </w:t>
      </w:r>
      <w:r w:rsidRPr="006177C0">
        <w:rPr>
          <w:i/>
          <w:lang w:val="id-ID" w:eastAsia="id-ID"/>
        </w:rPr>
        <w:t xml:space="preserve">London </w:t>
      </w:r>
      <w:r w:rsidRPr="006177C0">
        <w:rPr>
          <w:i/>
          <w:noProof/>
          <w:lang w:val="id-ID"/>
        </w:rPr>
        <w:t>Bullion</w:t>
      </w:r>
      <w:r w:rsidRPr="006177C0">
        <w:rPr>
          <w:i/>
          <w:lang w:val="id-ID" w:eastAsia="id-ID"/>
        </w:rPr>
        <w:t xml:space="preserve"> Market Association</w:t>
      </w:r>
      <w:r w:rsidRPr="006177C0">
        <w:rPr>
          <w:lang w:val="id-ID" w:eastAsia="id-ID"/>
        </w:rPr>
        <w:t xml:space="preserve"> (LBMA) adalah Pasar Emas Internasional di London yang menjadi rujukan pasar emas global dalam menentukan patokan harga pasar emas hampir di setiap negara. </w:t>
      </w:r>
      <w:r w:rsidRPr="006177C0">
        <w:rPr>
          <w:noProof/>
          <w:color w:val="000000" w:themeColor="text1"/>
          <w:lang w:val="id-ID"/>
        </w:rPr>
        <w:t xml:space="preserve">Secara umum, perubahan harga emas berkorelasi mendekati nol dengan imbal hasil saham, sehingga emas menjadi diversifikasi aktiva yang efektif ekuitas investor. Hal ini konsisten dengan peran tradisional emas sebagai </w:t>
      </w:r>
      <w:r w:rsidRPr="006177C0">
        <w:rPr>
          <w:i/>
          <w:noProof/>
          <w:color w:val="000000" w:themeColor="text1"/>
          <w:lang w:val="id-ID"/>
        </w:rPr>
        <w:t>hedging</w:t>
      </w:r>
      <w:r w:rsidRPr="006177C0">
        <w:rPr>
          <w:noProof/>
          <w:color w:val="000000" w:themeColor="text1"/>
          <w:lang w:val="id-ID"/>
        </w:rPr>
        <w:t xml:space="preserve"> atas inflasi, karena inflasi yang lebih tinggi biasanya menyebabkan harga emas juga lebih tinggi. Investor yang tertarik dengan emas tidak perlu membatasi diri hanya ke bentuk emas batangan. Kemungkinan lain bisa dari saham perusahaan tambang, </w:t>
      </w:r>
      <w:r w:rsidRPr="006177C0">
        <w:rPr>
          <w:i/>
          <w:noProof/>
          <w:color w:val="000000" w:themeColor="text1"/>
          <w:lang w:val="id-ID"/>
        </w:rPr>
        <w:t>futures</w:t>
      </w:r>
      <w:r w:rsidRPr="006177C0">
        <w:rPr>
          <w:noProof/>
          <w:color w:val="000000" w:themeColor="text1"/>
          <w:lang w:val="id-ID"/>
        </w:rPr>
        <w:t xml:space="preserve"> emas atau logam berharga jenis lain seperti perak (Sharpe, 2006).</w:t>
      </w:r>
    </w:p>
    <w:p w:rsidR="00937262" w:rsidRPr="006177C0" w:rsidRDefault="00937262" w:rsidP="0061241F">
      <w:pPr>
        <w:spacing w:line="360" w:lineRule="auto"/>
        <w:rPr>
          <w:b/>
          <w:lang w:val="id-ID"/>
        </w:rPr>
      </w:pPr>
    </w:p>
    <w:p w:rsidR="00937262" w:rsidRPr="006177C0" w:rsidRDefault="00937262" w:rsidP="0061241F">
      <w:pPr>
        <w:spacing w:line="360" w:lineRule="auto"/>
        <w:rPr>
          <w:b/>
          <w:lang w:val="id-ID"/>
        </w:rPr>
      </w:pPr>
      <w:r w:rsidRPr="006177C0">
        <w:rPr>
          <w:b/>
          <w:lang w:val="id-ID"/>
        </w:rPr>
        <w:t>Tujuan Penelitian</w:t>
      </w:r>
    </w:p>
    <w:p w:rsidR="00596D79" w:rsidRPr="006177C0" w:rsidRDefault="00596D79" w:rsidP="0061241F">
      <w:pPr>
        <w:pStyle w:val="NormalWeb"/>
        <w:shd w:val="clear" w:color="auto" w:fill="FFFFFF"/>
        <w:spacing w:before="0" w:beforeAutospacing="0" w:after="0" w:afterAutospacing="0" w:line="360" w:lineRule="auto"/>
        <w:jc w:val="both"/>
        <w:rPr>
          <w:noProof/>
          <w:lang w:val="id-ID"/>
        </w:rPr>
      </w:pPr>
      <w:r w:rsidRPr="006177C0">
        <w:rPr>
          <w:noProof/>
          <w:lang w:val="id-ID"/>
        </w:rPr>
        <w:t>Berdasarkan</w:t>
      </w:r>
      <w:r w:rsidRPr="006177C0">
        <w:rPr>
          <w:lang w:val="id-ID"/>
        </w:rPr>
        <w:t xml:space="preserve"> permasalahan di atas, tujuan dari penelitian ini</w:t>
      </w:r>
      <w:r w:rsidRPr="006177C0">
        <w:rPr>
          <w:noProof/>
          <w:lang w:val="id-ID"/>
        </w:rPr>
        <w:t xml:space="preserve"> antara lain :</w:t>
      </w:r>
    </w:p>
    <w:p w:rsidR="00596D79" w:rsidRPr="006177C0" w:rsidRDefault="00596D79" w:rsidP="0061241F">
      <w:pPr>
        <w:pStyle w:val="ListParagraph"/>
        <w:numPr>
          <w:ilvl w:val="0"/>
          <w:numId w:val="1"/>
        </w:numPr>
        <w:autoSpaceDE w:val="0"/>
        <w:autoSpaceDN w:val="0"/>
        <w:adjustRightInd w:val="0"/>
        <w:spacing w:line="360" w:lineRule="auto"/>
        <w:jc w:val="both"/>
        <w:rPr>
          <w:lang w:val="id-ID"/>
        </w:rPr>
      </w:pPr>
      <w:r w:rsidRPr="006177C0">
        <w:rPr>
          <w:lang w:val="id-ID"/>
        </w:rPr>
        <w:t>Menganalisis pengaruh nilai tukar USD/ Rupiah terhadap terhadap Indeks Harga Saham Gabungan di Bursa Efek Indonesia periode tahun  2003 – 2013.</w:t>
      </w:r>
    </w:p>
    <w:p w:rsidR="00596D79" w:rsidRPr="006177C0" w:rsidRDefault="00596D79" w:rsidP="0061241F">
      <w:pPr>
        <w:pStyle w:val="ListParagraph"/>
        <w:numPr>
          <w:ilvl w:val="0"/>
          <w:numId w:val="1"/>
        </w:numPr>
        <w:autoSpaceDE w:val="0"/>
        <w:autoSpaceDN w:val="0"/>
        <w:adjustRightInd w:val="0"/>
        <w:spacing w:line="360" w:lineRule="auto"/>
        <w:jc w:val="both"/>
        <w:rPr>
          <w:lang w:val="id-ID"/>
        </w:rPr>
      </w:pPr>
      <w:r w:rsidRPr="006177C0">
        <w:rPr>
          <w:lang w:val="id-ID"/>
        </w:rPr>
        <w:t>Menganalisis pengaruh Harga Emas Dunia terhadap terhadap Indeks Harga Saham Gabungan di Bursa Efek Indonesia periode tahun  2003 – 2013.</w:t>
      </w:r>
    </w:p>
    <w:p w:rsidR="00596D79" w:rsidRPr="006177C0" w:rsidRDefault="00596D79" w:rsidP="0061241F">
      <w:pPr>
        <w:pStyle w:val="ListParagraph"/>
        <w:numPr>
          <w:ilvl w:val="0"/>
          <w:numId w:val="1"/>
        </w:numPr>
        <w:autoSpaceDE w:val="0"/>
        <w:autoSpaceDN w:val="0"/>
        <w:adjustRightInd w:val="0"/>
        <w:spacing w:line="360" w:lineRule="auto"/>
        <w:jc w:val="both"/>
        <w:rPr>
          <w:lang w:val="id-ID"/>
        </w:rPr>
      </w:pPr>
      <w:r w:rsidRPr="006177C0">
        <w:rPr>
          <w:lang w:val="id-ID"/>
        </w:rPr>
        <w:t>Menganalisis pengaruh Harga Minyak Dunia terhadap terhadap Indeks Harga Saham Gabungan di Bursa Efek Indonesia periode tahun  2003 – 2013.</w:t>
      </w:r>
    </w:p>
    <w:p w:rsidR="00596D79" w:rsidRPr="006177C0" w:rsidRDefault="00596D79" w:rsidP="0061241F">
      <w:pPr>
        <w:pStyle w:val="ListParagraph"/>
        <w:numPr>
          <w:ilvl w:val="0"/>
          <w:numId w:val="1"/>
        </w:numPr>
        <w:autoSpaceDE w:val="0"/>
        <w:autoSpaceDN w:val="0"/>
        <w:adjustRightInd w:val="0"/>
        <w:spacing w:line="360" w:lineRule="auto"/>
        <w:jc w:val="both"/>
        <w:rPr>
          <w:lang w:val="id-ID"/>
        </w:rPr>
      </w:pPr>
      <w:r w:rsidRPr="006177C0">
        <w:rPr>
          <w:lang w:val="id-ID"/>
        </w:rPr>
        <w:lastRenderedPageBreak/>
        <w:t>Menganalisis pengaruh Indeks DJIA terhadap terhadap Indeks Harga Saham Gabungan di Bursa Efek Indonesia periode tahun  2003 – 2013.</w:t>
      </w:r>
    </w:p>
    <w:p w:rsidR="00676EC8" w:rsidRPr="006177C0" w:rsidRDefault="00596D79" w:rsidP="0061241F">
      <w:pPr>
        <w:pStyle w:val="ListParagraph"/>
        <w:numPr>
          <w:ilvl w:val="0"/>
          <w:numId w:val="1"/>
        </w:numPr>
        <w:autoSpaceDE w:val="0"/>
        <w:autoSpaceDN w:val="0"/>
        <w:adjustRightInd w:val="0"/>
        <w:spacing w:line="360" w:lineRule="auto"/>
        <w:jc w:val="both"/>
        <w:rPr>
          <w:lang w:val="id-ID"/>
        </w:rPr>
      </w:pPr>
      <w:r w:rsidRPr="006177C0">
        <w:rPr>
          <w:lang w:val="id-ID"/>
        </w:rPr>
        <w:t xml:space="preserve">Menganalisis pengaruh Indeks Nikkei terhadap terhadap Indeks Harga Saham Gabungan di Bursa Efek Indonesia periode tahun  2003 </w:t>
      </w:r>
      <w:r w:rsidR="00676EC8" w:rsidRPr="006177C0">
        <w:rPr>
          <w:lang w:val="id-ID"/>
        </w:rPr>
        <w:t>– 2013.</w:t>
      </w:r>
    </w:p>
    <w:p w:rsidR="00937262" w:rsidRPr="006177C0" w:rsidRDefault="00596D79" w:rsidP="0061241F">
      <w:pPr>
        <w:pStyle w:val="ListParagraph"/>
        <w:numPr>
          <w:ilvl w:val="0"/>
          <w:numId w:val="1"/>
        </w:numPr>
        <w:autoSpaceDE w:val="0"/>
        <w:autoSpaceDN w:val="0"/>
        <w:adjustRightInd w:val="0"/>
        <w:spacing w:line="360" w:lineRule="auto"/>
        <w:jc w:val="both"/>
        <w:rPr>
          <w:lang w:val="id-ID"/>
        </w:rPr>
      </w:pPr>
      <w:r w:rsidRPr="006177C0">
        <w:rPr>
          <w:lang w:val="id-ID"/>
        </w:rPr>
        <w:t>Menganalisis pengaruh Pembelian Bersih Asing terhadap terhadap Indeks Harga Saham Gabungan di Bursa Efek Indonesia periode tahun  2003 – 2013</w:t>
      </w:r>
    </w:p>
    <w:p w:rsidR="00676EC8" w:rsidRPr="006177C0" w:rsidRDefault="00676EC8" w:rsidP="0061241F">
      <w:pPr>
        <w:spacing w:line="360" w:lineRule="auto"/>
        <w:rPr>
          <w:b/>
          <w:lang w:val="id-ID"/>
        </w:rPr>
      </w:pPr>
    </w:p>
    <w:p w:rsidR="00937262" w:rsidRPr="006177C0" w:rsidRDefault="00937262" w:rsidP="0061241F">
      <w:pPr>
        <w:spacing w:line="360" w:lineRule="auto"/>
        <w:rPr>
          <w:b/>
          <w:lang w:val="id-ID"/>
        </w:rPr>
      </w:pPr>
      <w:r w:rsidRPr="006177C0">
        <w:rPr>
          <w:b/>
          <w:lang w:val="id-ID"/>
        </w:rPr>
        <w:t>Tinjauan Pustaka</w:t>
      </w:r>
    </w:p>
    <w:p w:rsidR="005A4DB9" w:rsidRPr="006177C0" w:rsidRDefault="00D202A3" w:rsidP="0061241F">
      <w:pPr>
        <w:tabs>
          <w:tab w:val="left" w:leader="dot" w:pos="8040"/>
        </w:tabs>
        <w:spacing w:line="360" w:lineRule="auto"/>
        <w:ind w:right="28"/>
        <w:jc w:val="both"/>
        <w:rPr>
          <w:b/>
          <w:noProof/>
          <w:lang w:val="id-ID"/>
        </w:rPr>
      </w:pPr>
      <w:r w:rsidRPr="006177C0">
        <w:rPr>
          <w:b/>
          <w:noProof/>
          <w:lang w:val="id-ID"/>
        </w:rPr>
        <w:t>Pengaruh</w:t>
      </w:r>
      <w:r w:rsidR="005A4DB9" w:rsidRPr="006177C0">
        <w:rPr>
          <w:b/>
          <w:noProof/>
          <w:lang w:val="id-ID"/>
        </w:rPr>
        <w:t xml:space="preserve"> </w:t>
      </w:r>
      <w:r w:rsidR="005A4DB9" w:rsidRPr="006177C0">
        <w:rPr>
          <w:b/>
          <w:lang w:val="id-ID"/>
        </w:rPr>
        <w:t xml:space="preserve">Nilai Tukar Dollar/ Rupiah terhadap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color w:val="000000" w:themeColor="text1"/>
          <w:lang w:val="id-ID"/>
        </w:rPr>
      </w:pPr>
      <w:r w:rsidRPr="006177C0">
        <w:rPr>
          <w:color w:val="000000" w:themeColor="text1"/>
          <w:lang w:val="id-ID"/>
        </w:rPr>
        <w:t xml:space="preserve">Penguatan kurs rupiah terhadap mata uang asing merupakan sinyal positif bagi investor. Ketika kurs rupiah terhadap mata uang asing mengalami penguatan mengindikasikan bahwa perekonomian dalam keadaan bagus, sehingga  investor berani berinvestasi pada saham. Selain itu, menguatnya kurs rupiah terhadap mata uang asing akan menurunkan biaya impor bahan baku untuk produksi dan akan menurunkan tingkat suku bunga yang berlaku (Tandelilin, 2001). </w:t>
      </w:r>
      <w:r w:rsidRPr="006177C0">
        <w:rPr>
          <w:lang w:val="id-ID"/>
        </w:rPr>
        <w:t xml:space="preserve">Depresiasi kurs rupiah terhadap dolar Amerika yang akan berdampak negatif terhadap harga saham perusahaan yang berorientasi impor, sedangkan perusahaan yang berorientasi ekspor akan menerima dampak positif. Indeks Harga Saham Gabungan (IHSG) juga akan terkena dampak negatif/ positif tergantung pada kelompok yang dominan dampaknya (Samsul, 2006). </w:t>
      </w:r>
    </w:p>
    <w:p w:rsidR="005A4DB9" w:rsidRPr="006177C0" w:rsidRDefault="005A4DB9" w:rsidP="0061241F">
      <w:pPr>
        <w:pStyle w:val="Default"/>
        <w:spacing w:line="360" w:lineRule="auto"/>
        <w:ind w:firstLine="720"/>
        <w:jc w:val="both"/>
        <w:rPr>
          <w:noProof/>
          <w:lang w:val="id-ID"/>
        </w:rPr>
      </w:pPr>
      <w:r w:rsidRPr="006177C0">
        <w:rPr>
          <w:color w:val="auto"/>
          <w:lang w:val="id-ID"/>
        </w:rPr>
        <w:t>Penelitian yang dilakukan Mansur (2009) dengan judul</w:t>
      </w:r>
      <w:r w:rsidR="00D202A3" w:rsidRPr="006177C0">
        <w:rPr>
          <w:color w:val="auto"/>
          <w:lang w:val="id-ID"/>
        </w:rPr>
        <w:t xml:space="preserve"> </w:t>
      </w:r>
      <w:r w:rsidRPr="006177C0">
        <w:rPr>
          <w:color w:val="auto"/>
          <w:lang w:val="id-ID"/>
        </w:rPr>
        <w:t>Pengaruh Tingkat Suku</w:t>
      </w:r>
      <w:r w:rsidR="00D202A3" w:rsidRPr="006177C0">
        <w:rPr>
          <w:color w:val="auto"/>
          <w:lang w:val="id-ID"/>
        </w:rPr>
        <w:t xml:space="preserve"> </w:t>
      </w:r>
      <w:r w:rsidRPr="006177C0">
        <w:rPr>
          <w:color w:val="auto"/>
          <w:lang w:val="id-ID"/>
        </w:rPr>
        <w:t>Bunga SBI dan</w:t>
      </w:r>
      <w:r w:rsidR="00D202A3" w:rsidRPr="006177C0">
        <w:rPr>
          <w:color w:val="auto"/>
          <w:lang w:val="id-ID"/>
        </w:rPr>
        <w:t xml:space="preserve"> </w:t>
      </w:r>
      <w:r w:rsidRPr="006177C0">
        <w:rPr>
          <w:color w:val="auto"/>
          <w:lang w:val="id-ID"/>
        </w:rPr>
        <w:t>Kurs Dollar AS terhadap</w:t>
      </w:r>
      <w:r w:rsidR="00D202A3" w:rsidRPr="006177C0">
        <w:rPr>
          <w:color w:val="auto"/>
          <w:lang w:val="id-ID"/>
        </w:rPr>
        <w:t xml:space="preserve"> </w:t>
      </w:r>
      <w:r w:rsidRPr="006177C0">
        <w:rPr>
          <w:color w:val="auto"/>
          <w:lang w:val="id-ID"/>
        </w:rPr>
        <w:t>Indeks</w:t>
      </w:r>
      <w:r w:rsidR="00D202A3" w:rsidRPr="006177C0">
        <w:rPr>
          <w:color w:val="auto"/>
          <w:lang w:val="id-ID"/>
        </w:rPr>
        <w:t xml:space="preserve"> </w:t>
      </w:r>
      <w:r w:rsidRPr="006177C0">
        <w:rPr>
          <w:color w:val="auto"/>
          <w:lang w:val="id-ID"/>
        </w:rPr>
        <w:t>Harga</w:t>
      </w:r>
      <w:r w:rsidR="00D202A3" w:rsidRPr="006177C0">
        <w:rPr>
          <w:color w:val="auto"/>
          <w:lang w:val="id-ID"/>
        </w:rPr>
        <w:t xml:space="preserve"> </w:t>
      </w:r>
      <w:r w:rsidRPr="006177C0">
        <w:rPr>
          <w:color w:val="auto"/>
          <w:lang w:val="id-ID"/>
        </w:rPr>
        <w:t>Saham</w:t>
      </w:r>
      <w:r w:rsidR="00D202A3" w:rsidRPr="006177C0">
        <w:rPr>
          <w:color w:val="auto"/>
          <w:lang w:val="id-ID"/>
        </w:rPr>
        <w:t xml:space="preserve"> </w:t>
      </w:r>
      <w:r w:rsidRPr="006177C0">
        <w:rPr>
          <w:color w:val="auto"/>
          <w:lang w:val="id-ID"/>
        </w:rPr>
        <w:t>Gabungan Bursa Efek Jakarta Periode</w:t>
      </w:r>
      <w:r w:rsidR="00D202A3" w:rsidRPr="006177C0">
        <w:rPr>
          <w:color w:val="auto"/>
          <w:lang w:val="id-ID"/>
        </w:rPr>
        <w:t xml:space="preserve"> </w:t>
      </w:r>
      <w:r w:rsidRPr="006177C0">
        <w:rPr>
          <w:color w:val="auto"/>
          <w:lang w:val="id-ID"/>
        </w:rPr>
        <w:t>Tahun 2000 – 2002 dan</w:t>
      </w:r>
      <w:r w:rsidR="00D202A3" w:rsidRPr="006177C0">
        <w:rPr>
          <w:color w:val="auto"/>
          <w:lang w:val="id-ID"/>
        </w:rPr>
        <w:t xml:space="preserve"> </w:t>
      </w:r>
      <w:r w:rsidRPr="006177C0">
        <w:rPr>
          <w:color w:val="auto"/>
          <w:lang w:val="id-ID"/>
        </w:rPr>
        <w:t>Frensidy (2009) dengan judul Analisis Pengaruh Aksi Beli-Jual Asing, Kurs dan Indeks Hang Seng terhadap Indeks Harga Saham Gabungan di Bursa Efek Indonesia dengan Model GARCH</w:t>
      </w:r>
      <w:r w:rsidR="00D202A3" w:rsidRPr="006177C0">
        <w:rPr>
          <w:color w:val="auto"/>
          <w:lang w:val="id-ID"/>
        </w:rPr>
        <w:t xml:space="preserve"> </w:t>
      </w:r>
      <w:r w:rsidRPr="006177C0">
        <w:rPr>
          <w:color w:val="auto"/>
          <w:lang w:val="id-ID"/>
        </w:rPr>
        <w:t>menemukan</w:t>
      </w:r>
      <w:r w:rsidR="00D202A3" w:rsidRPr="006177C0">
        <w:rPr>
          <w:color w:val="auto"/>
          <w:lang w:val="id-ID"/>
        </w:rPr>
        <w:t xml:space="preserve"> </w:t>
      </w:r>
      <w:r w:rsidRPr="006177C0">
        <w:rPr>
          <w:color w:val="auto"/>
          <w:lang w:val="id-ID"/>
        </w:rPr>
        <w:t>bahwa</w:t>
      </w:r>
      <w:r w:rsidR="00D202A3" w:rsidRPr="006177C0">
        <w:rPr>
          <w:color w:val="auto"/>
          <w:lang w:val="id-ID"/>
        </w:rPr>
        <w:t xml:space="preserve"> </w:t>
      </w:r>
      <w:r w:rsidRPr="006177C0">
        <w:rPr>
          <w:noProof/>
          <w:lang w:val="id-ID"/>
        </w:rPr>
        <w:t>kurs dolar AS berpengaruh negatif</w:t>
      </w:r>
      <w:r w:rsidR="00D202A3" w:rsidRPr="006177C0">
        <w:rPr>
          <w:noProof/>
          <w:lang w:val="id-ID"/>
        </w:rPr>
        <w:t xml:space="preserve"> </w:t>
      </w:r>
      <w:r w:rsidRPr="006177C0">
        <w:rPr>
          <w:noProof/>
          <w:lang w:val="id-ID"/>
        </w:rPr>
        <w:t>signifikanterhadap IHSG. Artinya apabila rupiah terdepresiasi terhadap dolar AS maka IHSG cenderung akan melemah dan begitu juga sebaliknya, apabila rupiah terapresiasi terhadap dolar AS maka IHSG akan mengalami penguatan.</w:t>
      </w:r>
    </w:p>
    <w:p w:rsidR="005A4DB9" w:rsidRPr="006177C0" w:rsidRDefault="005A4DB9" w:rsidP="0061241F">
      <w:pPr>
        <w:pStyle w:val="NormalWeb"/>
        <w:shd w:val="clear" w:color="auto" w:fill="FFFFFF"/>
        <w:spacing w:before="0" w:beforeAutospacing="0" w:after="0" w:afterAutospacing="0" w:line="360" w:lineRule="auto"/>
        <w:contextualSpacing/>
        <w:jc w:val="both"/>
        <w:rPr>
          <w:lang w:val="id-ID"/>
        </w:rPr>
      </w:pPr>
    </w:p>
    <w:p w:rsidR="008E6C70" w:rsidRPr="006177C0" w:rsidRDefault="008E6C70" w:rsidP="0061241F">
      <w:pPr>
        <w:pStyle w:val="NormalWeb"/>
        <w:shd w:val="clear" w:color="auto" w:fill="FFFFFF"/>
        <w:spacing w:before="0" w:beforeAutospacing="0" w:after="0" w:afterAutospacing="0" w:line="360" w:lineRule="auto"/>
        <w:contextualSpacing/>
        <w:jc w:val="both"/>
        <w:rPr>
          <w:lang w:val="id-ID"/>
        </w:rPr>
      </w:pPr>
    </w:p>
    <w:p w:rsidR="008E6C70" w:rsidRPr="006177C0" w:rsidRDefault="008E6C70" w:rsidP="0061241F">
      <w:pPr>
        <w:pStyle w:val="NormalWeb"/>
        <w:shd w:val="clear" w:color="auto" w:fill="FFFFFF"/>
        <w:spacing w:before="0" w:beforeAutospacing="0" w:after="0" w:afterAutospacing="0" w:line="360" w:lineRule="auto"/>
        <w:contextualSpacing/>
        <w:jc w:val="both"/>
        <w:rPr>
          <w:lang w:val="id-ID"/>
        </w:rPr>
      </w:pPr>
    </w:p>
    <w:p w:rsidR="005A4DB9" w:rsidRPr="006177C0" w:rsidRDefault="005A4DB9" w:rsidP="0061241F">
      <w:pPr>
        <w:tabs>
          <w:tab w:val="left" w:leader="dot" w:pos="8040"/>
        </w:tabs>
        <w:spacing w:line="360" w:lineRule="auto"/>
        <w:ind w:right="28"/>
        <w:jc w:val="both"/>
        <w:rPr>
          <w:b/>
          <w:noProof/>
          <w:lang w:val="id-ID"/>
        </w:rPr>
      </w:pPr>
      <w:r w:rsidRPr="006177C0">
        <w:rPr>
          <w:b/>
          <w:noProof/>
          <w:lang w:val="id-ID"/>
        </w:rPr>
        <w:lastRenderedPageBreak/>
        <w:t>Pengaruh</w:t>
      </w:r>
      <w:r w:rsidR="00D202A3" w:rsidRPr="006177C0">
        <w:rPr>
          <w:b/>
          <w:noProof/>
          <w:lang w:val="id-ID"/>
        </w:rPr>
        <w:t xml:space="preserve"> </w:t>
      </w:r>
      <w:r w:rsidRPr="006177C0">
        <w:rPr>
          <w:b/>
          <w:lang w:val="id-ID"/>
        </w:rPr>
        <w:t xml:space="preserve">Harga Emas Dunia terhadap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noProof/>
          <w:lang w:val="id-ID"/>
        </w:rPr>
      </w:pPr>
      <w:r w:rsidRPr="006177C0">
        <w:rPr>
          <w:lang w:val="id-ID"/>
        </w:rPr>
        <w:t xml:space="preserve">Berdasarkan Teori Portofolio, diversifikasi investasi dilakukan untuk memperoleh </w:t>
      </w:r>
      <w:r w:rsidRPr="006177C0">
        <w:rPr>
          <w:i/>
          <w:lang w:val="id-ID"/>
        </w:rPr>
        <w:t>return</w:t>
      </w:r>
      <w:r w:rsidRPr="006177C0">
        <w:rPr>
          <w:lang w:val="id-ID"/>
        </w:rPr>
        <w:t xml:space="preserve"> pada tingkat yang dikehendaki dengan risiko yang paling minimum.</w:t>
      </w:r>
      <w:r w:rsidR="00D202A3" w:rsidRPr="006177C0">
        <w:rPr>
          <w:lang w:val="id-ID"/>
        </w:rPr>
        <w:t xml:space="preserve"> </w:t>
      </w:r>
      <w:r w:rsidRPr="006177C0">
        <w:rPr>
          <w:noProof/>
          <w:color w:val="000000" w:themeColor="text1"/>
          <w:lang w:val="id-ID"/>
        </w:rPr>
        <w:t>Secara umum, perubahan harga emas berkorelasi mendekati nol dengan imbal hasil saham, sehingga emas menjadi diversifikasi aktiva yang efektif ekuitas investor (Sharpe, 2006).</w:t>
      </w:r>
      <w:r w:rsidR="00D202A3" w:rsidRPr="006177C0">
        <w:rPr>
          <w:noProof/>
          <w:color w:val="000000" w:themeColor="text1"/>
          <w:lang w:val="id-ID"/>
        </w:rPr>
        <w:t xml:space="preserve"> </w:t>
      </w:r>
      <w:r w:rsidRPr="006177C0">
        <w:rPr>
          <w:noProof/>
          <w:lang w:val="id-ID"/>
        </w:rPr>
        <w:t xml:space="preserve">Kenaikan harga emas akan mendorong investor untuk  memilih berinvestasi emas karena selain memiliki resiko yang relatif lebih rendah, emas dapat memberikan  hasil imbal  balik yang baik dengan kenaikan harganya </w:t>
      </w:r>
      <w:r w:rsidRPr="006177C0">
        <w:rPr>
          <w:lang w:val="id-ID"/>
        </w:rPr>
        <w:t>(Roberts, 2001).</w:t>
      </w:r>
      <w:r w:rsidR="00D202A3" w:rsidRPr="006177C0">
        <w:rPr>
          <w:lang w:val="id-ID"/>
        </w:rPr>
        <w:t xml:space="preserve"> </w:t>
      </w:r>
      <w:r w:rsidRPr="006177C0">
        <w:rPr>
          <w:noProof/>
          <w:color w:val="000000" w:themeColor="text1"/>
          <w:lang w:val="id-ID"/>
        </w:rPr>
        <w:t xml:space="preserve">Ketidakpastian keuangan global menjadikan </w:t>
      </w:r>
      <w:r w:rsidRPr="006177C0">
        <w:rPr>
          <w:color w:val="000000" w:themeColor="text1"/>
          <w:lang w:val="id-ID"/>
        </w:rPr>
        <w:t>para investor lebih</w:t>
      </w:r>
      <w:r w:rsidR="00D202A3" w:rsidRPr="006177C0">
        <w:rPr>
          <w:color w:val="000000" w:themeColor="text1"/>
          <w:lang w:val="id-ID"/>
        </w:rPr>
        <w:t xml:space="preserve"> </w:t>
      </w:r>
      <w:r w:rsidRPr="006177C0">
        <w:rPr>
          <w:color w:val="000000" w:themeColor="text1"/>
          <w:lang w:val="id-ID"/>
        </w:rPr>
        <w:t>memilih</w:t>
      </w:r>
      <w:r w:rsidR="00D202A3" w:rsidRPr="006177C0">
        <w:rPr>
          <w:color w:val="000000" w:themeColor="text1"/>
          <w:lang w:val="id-ID"/>
        </w:rPr>
        <w:t xml:space="preserve"> </w:t>
      </w:r>
      <w:r w:rsidRPr="006177C0">
        <w:rPr>
          <w:color w:val="000000" w:themeColor="text1"/>
          <w:lang w:val="id-ID"/>
        </w:rPr>
        <w:t>memegang</w:t>
      </w:r>
      <w:r w:rsidR="00D202A3" w:rsidRPr="006177C0">
        <w:rPr>
          <w:color w:val="000000" w:themeColor="text1"/>
          <w:lang w:val="id-ID"/>
        </w:rPr>
        <w:t xml:space="preserve"> </w:t>
      </w:r>
      <w:r w:rsidRPr="006177C0">
        <w:rPr>
          <w:color w:val="000000" w:themeColor="text1"/>
          <w:lang w:val="id-ID"/>
        </w:rPr>
        <w:t>uang</w:t>
      </w:r>
      <w:r w:rsidR="00D202A3" w:rsidRPr="006177C0">
        <w:rPr>
          <w:color w:val="000000" w:themeColor="text1"/>
          <w:lang w:val="id-ID"/>
        </w:rPr>
        <w:t xml:space="preserve"> </w:t>
      </w:r>
      <w:r w:rsidRPr="006177C0">
        <w:rPr>
          <w:color w:val="000000" w:themeColor="text1"/>
          <w:lang w:val="id-ID"/>
        </w:rPr>
        <w:t>tunai</w:t>
      </w:r>
      <w:r w:rsidR="00D202A3" w:rsidRPr="006177C0">
        <w:rPr>
          <w:color w:val="000000" w:themeColor="text1"/>
          <w:lang w:val="id-ID"/>
        </w:rPr>
        <w:t xml:space="preserve"> </w:t>
      </w:r>
      <w:r w:rsidRPr="006177C0">
        <w:rPr>
          <w:color w:val="000000" w:themeColor="text1"/>
          <w:lang w:val="id-ID"/>
        </w:rPr>
        <w:t xml:space="preserve">atau memilih </w:t>
      </w:r>
      <w:r w:rsidR="00D202A3" w:rsidRPr="006177C0">
        <w:rPr>
          <w:noProof/>
          <w:color w:val="000000" w:themeColor="text1"/>
          <w:lang w:val="id-ID"/>
        </w:rPr>
        <w:t>investasi konvensional</w:t>
      </w:r>
      <w:r w:rsidRPr="006177C0">
        <w:rPr>
          <w:noProof/>
          <w:color w:val="000000" w:themeColor="text1"/>
          <w:lang w:val="id-ID"/>
        </w:rPr>
        <w:t>. Emas sebagai salah satu investasi yang memiliki resiko rendah</w:t>
      </w:r>
      <w:r w:rsidR="00D202A3" w:rsidRPr="006177C0">
        <w:rPr>
          <w:noProof/>
          <w:color w:val="000000" w:themeColor="text1"/>
          <w:lang w:val="id-ID"/>
        </w:rPr>
        <w:t>.</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lang w:val="id-ID"/>
        </w:rPr>
      </w:pPr>
      <w:r w:rsidRPr="006177C0">
        <w:rPr>
          <w:noProof/>
          <w:lang w:val="id-ID"/>
        </w:rPr>
        <w:t xml:space="preserve">Penelitian </w:t>
      </w:r>
      <w:r w:rsidRPr="006177C0">
        <w:rPr>
          <w:lang w:val="id-ID"/>
        </w:rPr>
        <w:t xml:space="preserve">yang dilakukan </w:t>
      </w:r>
      <w:r w:rsidRPr="006177C0">
        <w:rPr>
          <w:noProof/>
          <w:lang w:val="id-ID"/>
        </w:rPr>
        <w:t xml:space="preserve">oleh Smith (2001) dengan judul </w:t>
      </w:r>
      <w:r w:rsidRPr="006177C0">
        <w:rPr>
          <w:i/>
          <w:noProof/>
          <w:lang w:val="id-ID"/>
        </w:rPr>
        <w:t>The Price of Gold and Stock Price Indices for The United States</w:t>
      </w:r>
      <w:r w:rsidRPr="006177C0">
        <w:rPr>
          <w:noProof/>
          <w:lang w:val="id-ID"/>
        </w:rPr>
        <w:t xml:space="preserve"> dan Hossenidoust, dkk (2013) dengan judul </w:t>
      </w:r>
      <w:r w:rsidRPr="006177C0">
        <w:rPr>
          <w:i/>
          <w:noProof/>
          <w:lang w:val="id-ID"/>
        </w:rPr>
        <w:t xml:space="preserve">Volatility  Spillovers  across  Commodity and Stock Markets among ASEAN Countries </w:t>
      </w:r>
      <w:r w:rsidRPr="006177C0">
        <w:rPr>
          <w:noProof/>
          <w:lang w:val="id-ID"/>
        </w:rPr>
        <w:t xml:space="preserve">menemukan bahwa harga emas dunia berpengaruh negatif terhadap IHSG. </w:t>
      </w:r>
      <w:r w:rsidRPr="006177C0">
        <w:rPr>
          <w:lang w:val="id-ID"/>
        </w:rPr>
        <w:t xml:space="preserve">Berdasarkan teori dan penelitian terdahulu diduga bahwa harga emas berpengaruh negatif terhadap Indeks Harga Saham Gabungan (IHSG). </w:t>
      </w:r>
    </w:p>
    <w:p w:rsidR="005A4DB9" w:rsidRPr="006177C0" w:rsidRDefault="005A4DB9" w:rsidP="0061241F">
      <w:pPr>
        <w:pStyle w:val="NormalWeb"/>
        <w:shd w:val="clear" w:color="auto" w:fill="FFFFFF"/>
        <w:spacing w:before="0" w:beforeAutospacing="0" w:after="0" w:afterAutospacing="0" w:line="360" w:lineRule="auto"/>
        <w:contextualSpacing/>
        <w:jc w:val="both"/>
        <w:rPr>
          <w:lang w:val="id-ID"/>
        </w:rPr>
      </w:pPr>
    </w:p>
    <w:p w:rsidR="005A4DB9" w:rsidRPr="006177C0" w:rsidRDefault="005A4DB9" w:rsidP="0061241F">
      <w:pPr>
        <w:tabs>
          <w:tab w:val="left" w:leader="dot" w:pos="8040"/>
        </w:tabs>
        <w:spacing w:line="360" w:lineRule="auto"/>
        <w:ind w:right="28"/>
        <w:jc w:val="both"/>
        <w:rPr>
          <w:b/>
          <w:noProof/>
          <w:lang w:val="id-ID"/>
        </w:rPr>
      </w:pPr>
      <w:r w:rsidRPr="006177C0">
        <w:rPr>
          <w:b/>
          <w:noProof/>
          <w:lang w:val="id-ID"/>
        </w:rPr>
        <w:t xml:space="preserve">Pengaruh </w:t>
      </w:r>
      <w:r w:rsidRPr="006177C0">
        <w:rPr>
          <w:b/>
          <w:lang w:val="id-ID"/>
        </w:rPr>
        <w:t xml:space="preserve">Harga Minyak Dunia terhadap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noProof/>
          <w:color w:val="000000" w:themeColor="text1"/>
          <w:lang w:val="id-ID"/>
        </w:rPr>
      </w:pPr>
      <w:r w:rsidRPr="006177C0">
        <w:rPr>
          <w:noProof/>
          <w:lang w:val="id-ID"/>
        </w:rPr>
        <w:t>Salah satu faktor yang dapat mempengaruhi perger</w:t>
      </w:r>
      <w:r w:rsidR="00AA647E" w:rsidRPr="006177C0">
        <w:rPr>
          <w:noProof/>
          <w:lang w:val="id-ID"/>
        </w:rPr>
        <w:t xml:space="preserve">akan indeks saham suatu </w:t>
      </w:r>
      <w:r w:rsidRPr="006177C0">
        <w:rPr>
          <w:noProof/>
          <w:lang w:val="id-ID"/>
        </w:rPr>
        <w:t xml:space="preserve">negara adalah </w:t>
      </w:r>
      <w:r w:rsidRPr="006177C0">
        <w:rPr>
          <w:noProof/>
          <w:color w:val="000000" w:themeColor="text1"/>
          <w:lang w:val="id-ID"/>
        </w:rPr>
        <w:t>tingkat harga komoditas dunia terutama energi (</w:t>
      </w:r>
      <w:r w:rsidRPr="006177C0">
        <w:rPr>
          <w:noProof/>
          <w:lang w:val="id-ID"/>
        </w:rPr>
        <w:t>Blanchard, 2006)</w:t>
      </w:r>
      <w:r w:rsidRPr="006177C0">
        <w:rPr>
          <w:noProof/>
          <w:color w:val="000000" w:themeColor="text1"/>
          <w:lang w:val="id-ID"/>
        </w:rPr>
        <w:t>. Penurunan harga minyak mentah</w:t>
      </w:r>
      <w:r w:rsidR="00D202A3" w:rsidRPr="006177C0">
        <w:rPr>
          <w:noProof/>
          <w:color w:val="000000" w:themeColor="text1"/>
          <w:lang w:val="id-ID"/>
        </w:rPr>
        <w:t xml:space="preserve"> </w:t>
      </w:r>
      <w:r w:rsidRPr="006177C0">
        <w:rPr>
          <w:noProof/>
          <w:color w:val="000000" w:themeColor="text1"/>
          <w:lang w:val="id-ID"/>
        </w:rPr>
        <w:t>dipengaruhi oleh pelemahan pertumbuhan ekonomi global dan</w:t>
      </w:r>
      <w:r w:rsidR="00D202A3" w:rsidRPr="006177C0">
        <w:rPr>
          <w:noProof/>
          <w:color w:val="000000" w:themeColor="text1"/>
          <w:lang w:val="id-ID"/>
        </w:rPr>
        <w:t xml:space="preserve"> </w:t>
      </w:r>
      <w:r w:rsidRPr="006177C0">
        <w:rPr>
          <w:noProof/>
          <w:color w:val="000000" w:themeColor="text1"/>
          <w:lang w:val="id-ID"/>
        </w:rPr>
        <w:t xml:space="preserve">meningkatnya pasokan dari negara-negara </w:t>
      </w:r>
      <w:r w:rsidRPr="006177C0">
        <w:rPr>
          <w:i/>
          <w:noProof/>
          <w:color w:val="000000" w:themeColor="text1"/>
          <w:lang w:val="id-ID"/>
        </w:rPr>
        <w:t>non</w:t>
      </w:r>
      <w:r w:rsidRPr="006177C0">
        <w:rPr>
          <w:noProof/>
          <w:color w:val="000000" w:themeColor="text1"/>
          <w:lang w:val="id-ID"/>
        </w:rPr>
        <w:t xml:space="preserve"> OPEC, terutama dari </w:t>
      </w:r>
      <w:r w:rsidRPr="006177C0">
        <w:rPr>
          <w:i/>
          <w:noProof/>
          <w:color w:val="000000" w:themeColor="text1"/>
          <w:lang w:val="id-ID"/>
        </w:rPr>
        <w:t>oil shale</w:t>
      </w:r>
      <w:r w:rsidRPr="006177C0">
        <w:rPr>
          <w:noProof/>
          <w:color w:val="000000" w:themeColor="text1"/>
          <w:lang w:val="id-ID"/>
        </w:rPr>
        <w:t xml:space="preserve"> di AS dan </w:t>
      </w:r>
      <w:r w:rsidRPr="006177C0">
        <w:rPr>
          <w:i/>
          <w:noProof/>
          <w:color w:val="000000" w:themeColor="text1"/>
          <w:lang w:val="id-ID"/>
        </w:rPr>
        <w:t>oil sand</w:t>
      </w:r>
      <w:r w:rsidRPr="006177C0">
        <w:rPr>
          <w:noProof/>
          <w:color w:val="000000" w:themeColor="text1"/>
          <w:lang w:val="id-ID"/>
        </w:rPr>
        <w:t xml:space="preserve"> di Kanada. </w:t>
      </w:r>
      <w:r w:rsidRPr="006177C0">
        <w:rPr>
          <w:noProof/>
          <w:lang w:val="id-ID" w:eastAsia="en-US"/>
        </w:rPr>
        <w:t>Saat ini kenaikan harga minyak mentah dunia identik dengan pemulihan ekonomi global.</w:t>
      </w:r>
      <w:r w:rsidR="00D202A3" w:rsidRPr="006177C0">
        <w:rPr>
          <w:noProof/>
          <w:lang w:val="id-ID" w:eastAsia="en-US"/>
        </w:rPr>
        <w:t xml:space="preserve"> </w:t>
      </w:r>
      <w:r w:rsidRPr="006177C0">
        <w:rPr>
          <w:noProof/>
          <w:color w:val="000000" w:themeColor="text1"/>
          <w:lang w:val="id-ID"/>
        </w:rPr>
        <w:t>Harga m</w:t>
      </w:r>
      <w:r w:rsidRPr="006177C0">
        <w:rPr>
          <w:noProof/>
          <w:lang w:val="id-ID" w:eastAsia="en-US"/>
        </w:rPr>
        <w:t>inyak mentah berhubungan erat dengan harga saham perusahaan tambang, kenaikan harga minyak dunia disinyalir mendorong kenaikan harga saham perusahaan tambang yang pada akhirnya turut menaikkan IHSG. Berdasarkan data BEI tahun 2013, nilai kapitalisasi sektor</w:t>
      </w:r>
      <w:r w:rsidR="00D202A3" w:rsidRPr="006177C0">
        <w:rPr>
          <w:noProof/>
          <w:lang w:val="id-ID" w:eastAsia="en-US"/>
        </w:rPr>
        <w:t xml:space="preserve"> </w:t>
      </w:r>
      <w:r w:rsidRPr="006177C0">
        <w:rPr>
          <w:noProof/>
          <w:lang w:val="id-ID" w:eastAsia="en-US"/>
        </w:rPr>
        <w:t xml:space="preserve">petambangan mencapai 6.24% (peringkat ke 4), pada bulan Desember volume transaksi mencapai 16,49 % (peringkat ke 3) dan nilai transaksi mencapai 12,27 % (peringkat ke 4). </w:t>
      </w:r>
    </w:p>
    <w:p w:rsidR="005A4DB9" w:rsidRPr="006177C0" w:rsidRDefault="005A4DB9" w:rsidP="0061241F">
      <w:pPr>
        <w:pStyle w:val="Default"/>
        <w:spacing w:line="360" w:lineRule="auto"/>
        <w:ind w:firstLine="720"/>
        <w:jc w:val="both"/>
        <w:rPr>
          <w:noProof/>
          <w:lang w:val="id-ID"/>
        </w:rPr>
      </w:pPr>
      <w:r w:rsidRPr="006177C0">
        <w:rPr>
          <w:noProof/>
          <w:lang w:val="id-ID"/>
        </w:rPr>
        <w:lastRenderedPageBreak/>
        <w:t xml:space="preserve">Penelitian </w:t>
      </w:r>
      <w:r w:rsidRPr="006177C0">
        <w:rPr>
          <w:lang w:val="id-ID"/>
        </w:rPr>
        <w:t xml:space="preserve">yang dilakukan </w:t>
      </w:r>
      <w:r w:rsidRPr="006177C0">
        <w:rPr>
          <w:noProof/>
          <w:lang w:val="id-ID"/>
        </w:rPr>
        <w:t xml:space="preserve">oleh </w:t>
      </w:r>
      <w:r w:rsidRPr="006177C0">
        <w:rPr>
          <w:lang w:val="id-ID"/>
        </w:rPr>
        <w:t xml:space="preserve">Witjaksono (2010) tentang Analisis Pengaruh Tingkat Suku Bunga SBI, Harga Minyak Dunia, Harga Emas Dunia, Kurs Rupiah, Indeks Nikkei 225 dan Indeks Dow Jones terhadap IHSG </w:t>
      </w:r>
      <w:r w:rsidRPr="006177C0">
        <w:rPr>
          <w:noProof/>
          <w:lang w:val="id-ID"/>
        </w:rPr>
        <w:t>BEI</w:t>
      </w:r>
      <w:r w:rsidRPr="006177C0">
        <w:rPr>
          <w:lang w:val="id-ID"/>
        </w:rPr>
        <w:t xml:space="preserve"> yang menyatakan bahwa </w:t>
      </w:r>
      <w:r w:rsidRPr="006177C0">
        <w:rPr>
          <w:noProof/>
          <w:lang w:val="id-ID"/>
        </w:rPr>
        <w:t>harga minyak dunia berpengaruh positif terhadap IHSG BEI,</w:t>
      </w:r>
      <w:r w:rsidR="00D202A3" w:rsidRPr="006177C0">
        <w:rPr>
          <w:noProof/>
          <w:lang w:val="id-ID"/>
        </w:rPr>
        <w:t xml:space="preserve"> </w:t>
      </w:r>
      <w:r w:rsidRPr="006177C0">
        <w:rPr>
          <w:color w:val="auto"/>
          <w:lang w:val="id-ID"/>
        </w:rPr>
        <w:t xml:space="preserve">hal ini sesuai dengan penelitian Kilian &amp; Park (2007) </w:t>
      </w:r>
      <w:r w:rsidRPr="006177C0">
        <w:rPr>
          <w:lang w:val="id-ID"/>
        </w:rPr>
        <w:t xml:space="preserve">dengan judul </w:t>
      </w:r>
      <w:r w:rsidRPr="006177C0">
        <w:rPr>
          <w:i/>
          <w:noProof/>
          <w:lang w:val="id-ID"/>
        </w:rPr>
        <w:t>The Impact of Oil Prices Shocks on the U.S. Stock Market</w:t>
      </w:r>
      <w:r w:rsidRPr="006177C0">
        <w:rPr>
          <w:color w:val="auto"/>
          <w:lang w:val="id-ID"/>
        </w:rPr>
        <w:t xml:space="preserve">. </w:t>
      </w:r>
      <w:r w:rsidRPr="006177C0">
        <w:rPr>
          <w:lang w:val="id-ID"/>
        </w:rPr>
        <w:t xml:space="preserve">Berdasarkan beberapa teori dan penelitian terdahulu diduga bahwa harga minyak berpengaruh </w:t>
      </w:r>
      <w:r w:rsidRPr="006177C0">
        <w:rPr>
          <w:noProof/>
          <w:lang w:val="id-ID"/>
        </w:rPr>
        <w:t>positif</w:t>
      </w:r>
      <w:r w:rsidRPr="006177C0">
        <w:rPr>
          <w:lang w:val="id-ID"/>
        </w:rPr>
        <w:t>terhadap Indeks Harga Saham Gabungan (IHSG).</w:t>
      </w:r>
    </w:p>
    <w:p w:rsidR="0061241F" w:rsidRPr="006177C0" w:rsidRDefault="0061241F" w:rsidP="0061241F">
      <w:pPr>
        <w:spacing w:line="360" w:lineRule="auto"/>
        <w:rPr>
          <w:noProof/>
          <w:lang w:val="id-ID"/>
        </w:rPr>
      </w:pPr>
    </w:p>
    <w:p w:rsidR="005A4DB9" w:rsidRPr="006177C0" w:rsidRDefault="005A4DB9" w:rsidP="0061241F">
      <w:pPr>
        <w:tabs>
          <w:tab w:val="left" w:leader="dot" w:pos="8040"/>
        </w:tabs>
        <w:spacing w:line="360" w:lineRule="auto"/>
        <w:ind w:right="28"/>
        <w:jc w:val="both"/>
        <w:rPr>
          <w:b/>
          <w:noProof/>
          <w:lang w:val="id-ID"/>
        </w:rPr>
      </w:pPr>
      <w:r w:rsidRPr="006177C0">
        <w:rPr>
          <w:b/>
          <w:noProof/>
          <w:lang w:val="id-ID"/>
        </w:rPr>
        <w:t>Pengaruh</w:t>
      </w:r>
      <w:r w:rsidR="00D202A3" w:rsidRPr="006177C0">
        <w:rPr>
          <w:b/>
          <w:noProof/>
          <w:lang w:val="id-ID"/>
        </w:rPr>
        <w:t xml:space="preserve"> </w:t>
      </w:r>
      <w:r w:rsidRPr="006177C0">
        <w:rPr>
          <w:b/>
          <w:lang w:val="id-ID"/>
        </w:rPr>
        <w:t xml:space="preserve">Indeks Dow Jones terhadap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color w:val="000000" w:themeColor="text1"/>
          <w:lang w:val="id-ID"/>
        </w:rPr>
      </w:pPr>
      <w:r w:rsidRPr="006177C0">
        <w:rPr>
          <w:color w:val="000000" w:themeColor="text1"/>
          <w:lang w:val="id-ID"/>
        </w:rPr>
        <w:t>Perekonomian Negara Amerika Serikat sangat mempengaruhi perekonomian global</w:t>
      </w:r>
      <w:r w:rsidR="00D202A3" w:rsidRPr="006177C0">
        <w:rPr>
          <w:color w:val="000000" w:themeColor="text1"/>
          <w:lang w:val="id-ID"/>
        </w:rPr>
        <w:t xml:space="preserve"> </w:t>
      </w:r>
      <w:r w:rsidRPr="006177C0">
        <w:rPr>
          <w:color w:val="000000" w:themeColor="text1"/>
          <w:lang w:val="id-ID"/>
        </w:rPr>
        <w:t xml:space="preserve">dengan GDP paling besar yaitu 22,45 %. </w:t>
      </w:r>
      <w:r w:rsidR="00A34DD4" w:rsidRPr="006177C0">
        <w:rPr>
          <w:color w:val="000000" w:themeColor="text1"/>
          <w:lang w:val="id-ID" w:eastAsia="id-ID"/>
        </w:rPr>
        <w:t xml:space="preserve">Bursa efek di AS dapat dikatakan sebagai bursa utama di antara berbagai bursa global lain yang </w:t>
      </w:r>
      <w:r w:rsidR="00A34DD4" w:rsidRPr="006177C0">
        <w:rPr>
          <w:noProof/>
          <w:color w:val="000000" w:themeColor="text1"/>
          <w:lang w:val="id-ID"/>
        </w:rPr>
        <w:t xml:space="preserve">berpengaruh  pada  pergerakan indeks negara-negara  lain. </w:t>
      </w:r>
      <w:r w:rsidRPr="006177C0">
        <w:rPr>
          <w:color w:val="000000" w:themeColor="text1"/>
          <w:lang w:val="id-ID"/>
        </w:rPr>
        <w:t xml:space="preserve">Hal ini menjadikan Indeks saham di negara Amerika Serikat menjadi acuan bagi investor untuk melakukan investasi. Indeks bursa Amerika Serikat yang sering menjadi patokan adalah </w:t>
      </w:r>
      <w:r w:rsidRPr="006177C0">
        <w:rPr>
          <w:i/>
          <w:color w:val="000000" w:themeColor="text1"/>
          <w:lang w:val="id-ID"/>
        </w:rPr>
        <w:t>Dow Jones Industrial Average</w:t>
      </w:r>
      <w:r w:rsidRPr="006177C0">
        <w:rPr>
          <w:color w:val="000000" w:themeColor="text1"/>
          <w:lang w:val="id-ID"/>
        </w:rPr>
        <w:t xml:space="preserve"> (DJIA).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color w:val="000000" w:themeColor="text1"/>
          <w:lang w:val="id-ID"/>
        </w:rPr>
      </w:pPr>
      <w:r w:rsidRPr="006177C0">
        <w:rPr>
          <w:noProof/>
          <w:color w:val="000000" w:themeColor="text1"/>
          <w:lang w:val="id-ID"/>
        </w:rPr>
        <w:t xml:space="preserve">Penelitian </w:t>
      </w:r>
      <w:r w:rsidRPr="006177C0">
        <w:rPr>
          <w:color w:val="000000" w:themeColor="text1"/>
          <w:lang w:val="id-ID"/>
        </w:rPr>
        <w:t xml:space="preserve">yang dilakukan </w:t>
      </w:r>
      <w:r w:rsidRPr="006177C0">
        <w:rPr>
          <w:noProof/>
          <w:color w:val="000000" w:themeColor="text1"/>
          <w:lang w:val="id-ID"/>
        </w:rPr>
        <w:t xml:space="preserve">oleh Venska (2014) dengan judul </w:t>
      </w:r>
      <w:r w:rsidRPr="006177C0">
        <w:rPr>
          <w:i/>
          <w:noProof/>
          <w:color w:val="000000" w:themeColor="text1"/>
          <w:lang w:val="id-ID"/>
        </w:rPr>
        <w:t xml:space="preserve">The Effect of Global Stock Indexs (Dow Jones Industrial Average, Nikkei 225, Hang Seng, </w:t>
      </w:r>
      <w:r w:rsidR="00882AD0" w:rsidRPr="006177C0">
        <w:rPr>
          <w:i/>
          <w:noProof/>
          <w:color w:val="000000" w:themeColor="text1"/>
          <w:lang w:val="id-ID"/>
        </w:rPr>
        <w:t>a</w:t>
      </w:r>
      <w:r w:rsidRPr="006177C0">
        <w:rPr>
          <w:i/>
          <w:noProof/>
          <w:color w:val="000000" w:themeColor="text1"/>
          <w:lang w:val="id-ID"/>
        </w:rPr>
        <w:t>nd Strait Times) on Jakarta Composite Index at Indonesian Stock Exchange (Period of 2010 – 2012)</w:t>
      </w:r>
      <w:r w:rsidRPr="006177C0">
        <w:rPr>
          <w:noProof/>
          <w:color w:val="000000" w:themeColor="text1"/>
          <w:lang w:val="id-ID"/>
        </w:rPr>
        <w:t xml:space="preserve"> dan </w:t>
      </w:r>
      <w:r w:rsidRPr="006177C0">
        <w:rPr>
          <w:color w:val="000000" w:themeColor="text1"/>
          <w:lang w:val="id-ID"/>
        </w:rPr>
        <w:t xml:space="preserve">Witjaksono (2010) </w:t>
      </w:r>
      <w:r w:rsidRPr="006177C0">
        <w:rPr>
          <w:noProof/>
          <w:color w:val="000000" w:themeColor="text1"/>
          <w:lang w:val="id-ID"/>
        </w:rPr>
        <w:t xml:space="preserve">dengan judul Analisis Pengaruh Tingkat Suku Bunga SBI, Harga Minyak Dunia, Harga Emas Dunia, Kurs Rupiah, Indeks Nikkei 225 dan Indeks Dow Jones </w:t>
      </w:r>
      <w:r w:rsidR="00A34DD4" w:rsidRPr="006177C0">
        <w:rPr>
          <w:noProof/>
          <w:color w:val="000000" w:themeColor="text1"/>
          <w:lang w:val="id-ID"/>
        </w:rPr>
        <w:t>t</w:t>
      </w:r>
      <w:r w:rsidRPr="006177C0">
        <w:rPr>
          <w:noProof/>
          <w:color w:val="000000" w:themeColor="text1"/>
          <w:lang w:val="id-ID"/>
        </w:rPr>
        <w:t xml:space="preserve">erhadap IHSG menemukan bahwa indeks DJIA berpengaruh positif terhadap IHSG. </w:t>
      </w:r>
      <w:r w:rsidRPr="006177C0">
        <w:rPr>
          <w:color w:val="000000" w:themeColor="text1"/>
          <w:lang w:val="id-ID"/>
        </w:rPr>
        <w:t xml:space="preserve">Berdasarkan beberapa teori dan penelitian terdahulu diduga bahwa </w:t>
      </w:r>
      <w:r w:rsidRPr="006177C0">
        <w:rPr>
          <w:noProof/>
          <w:color w:val="000000" w:themeColor="text1"/>
          <w:lang w:val="id-ID"/>
        </w:rPr>
        <w:t xml:space="preserve">indeks DJIA </w:t>
      </w:r>
      <w:r w:rsidRPr="006177C0">
        <w:rPr>
          <w:color w:val="000000" w:themeColor="text1"/>
          <w:lang w:val="id-ID"/>
        </w:rPr>
        <w:t xml:space="preserve">berpengaruh </w:t>
      </w:r>
      <w:r w:rsidRPr="006177C0">
        <w:rPr>
          <w:noProof/>
          <w:color w:val="000000" w:themeColor="text1"/>
          <w:lang w:val="id-ID"/>
        </w:rPr>
        <w:t xml:space="preserve">positif </w:t>
      </w:r>
      <w:r w:rsidRPr="006177C0">
        <w:rPr>
          <w:color w:val="000000" w:themeColor="text1"/>
          <w:lang w:val="id-ID"/>
        </w:rPr>
        <w:t xml:space="preserve">terhadap Indeks Harga Saham Gabungan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lang w:val="id-ID"/>
        </w:rPr>
      </w:pPr>
    </w:p>
    <w:p w:rsidR="005A4DB9" w:rsidRPr="006177C0" w:rsidRDefault="005A4DB9" w:rsidP="0061241F">
      <w:pPr>
        <w:tabs>
          <w:tab w:val="left" w:leader="dot" w:pos="8040"/>
        </w:tabs>
        <w:spacing w:line="360" w:lineRule="auto"/>
        <w:ind w:right="28"/>
        <w:jc w:val="both"/>
        <w:rPr>
          <w:b/>
          <w:noProof/>
          <w:lang w:val="id-ID"/>
        </w:rPr>
      </w:pPr>
      <w:r w:rsidRPr="006177C0">
        <w:rPr>
          <w:b/>
          <w:noProof/>
          <w:lang w:val="id-ID"/>
        </w:rPr>
        <w:t>Pengaruh</w:t>
      </w:r>
      <w:r w:rsidR="00D6714D" w:rsidRPr="006177C0">
        <w:rPr>
          <w:b/>
          <w:noProof/>
          <w:lang w:val="id-ID"/>
        </w:rPr>
        <w:t xml:space="preserve"> </w:t>
      </w:r>
      <w:r w:rsidRPr="006177C0">
        <w:rPr>
          <w:b/>
          <w:lang w:val="id-ID"/>
        </w:rPr>
        <w:t xml:space="preserve">Indeks Nikkei terhadap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noProof/>
          <w:lang w:val="id-ID"/>
        </w:rPr>
      </w:pPr>
      <w:r w:rsidRPr="006177C0">
        <w:rPr>
          <w:noProof/>
          <w:lang w:val="id-ID"/>
        </w:rPr>
        <w:t>Perekonomian Jepang juga cukup berpengaruh terhadap perekonomian global dimana GDP Jepang 6,56%, menduduki peringkat ke 3 setelah Amerika Serikat dan China. Selain itu Jepang merupakan salah satu negara tujuan ekspor nomor dua setelah China dengan porsi 10,73 % dari total ekspor non-migas.</w:t>
      </w:r>
      <w:r w:rsidR="00AA647E" w:rsidRPr="006177C0">
        <w:rPr>
          <w:noProof/>
          <w:lang w:val="id-ID"/>
        </w:rPr>
        <w:t xml:space="preserve"> </w:t>
      </w:r>
      <w:r w:rsidRPr="006177C0">
        <w:rPr>
          <w:noProof/>
          <w:color w:val="000000" w:themeColor="text1"/>
          <w:lang w:val="id-ID"/>
        </w:rPr>
        <w:t xml:space="preserve">Hal </w:t>
      </w:r>
      <w:r w:rsidRPr="006177C0">
        <w:rPr>
          <w:noProof/>
          <w:color w:val="000000" w:themeColor="text1"/>
          <w:lang w:val="id-ID"/>
        </w:rPr>
        <w:lastRenderedPageBreak/>
        <w:t>ini menjadikan</w:t>
      </w:r>
      <w:r w:rsidR="00AA647E" w:rsidRPr="006177C0">
        <w:rPr>
          <w:noProof/>
          <w:color w:val="000000" w:themeColor="text1"/>
          <w:lang w:val="id-ID"/>
        </w:rPr>
        <w:t xml:space="preserve"> </w:t>
      </w:r>
      <w:r w:rsidRPr="006177C0">
        <w:rPr>
          <w:noProof/>
          <w:color w:val="000000" w:themeColor="text1"/>
          <w:lang w:val="id-ID"/>
        </w:rPr>
        <w:t>kondisi perekonomian negara Jepang</w:t>
      </w:r>
      <w:r w:rsidR="00AA647E" w:rsidRPr="006177C0">
        <w:rPr>
          <w:noProof/>
          <w:color w:val="000000" w:themeColor="text1"/>
          <w:lang w:val="id-ID"/>
        </w:rPr>
        <w:t xml:space="preserve"> </w:t>
      </w:r>
      <w:r w:rsidRPr="006177C0">
        <w:rPr>
          <w:noProof/>
          <w:color w:val="000000" w:themeColor="text1"/>
          <w:lang w:val="id-ID"/>
        </w:rPr>
        <w:t xml:space="preserve">cukup berpengaruh terhadap perekonomian Indonesia. </w:t>
      </w:r>
      <w:r w:rsidRPr="006177C0">
        <w:rPr>
          <w:color w:val="000000" w:themeColor="text1"/>
          <w:lang w:val="id-ID"/>
        </w:rPr>
        <w:t xml:space="preserve">Indeks saham di negara Jepang menjadi acuan bagi investor </w:t>
      </w:r>
      <w:r w:rsidRPr="006177C0">
        <w:rPr>
          <w:noProof/>
          <w:lang w:val="id-ID"/>
        </w:rPr>
        <w:t>adalah indeks Nikkei 225.</w:t>
      </w:r>
      <w:r w:rsidR="00AA647E" w:rsidRPr="006177C0">
        <w:rPr>
          <w:noProof/>
          <w:lang w:val="id-ID"/>
        </w:rPr>
        <w:t xml:space="preserve"> </w:t>
      </w:r>
      <w:r w:rsidRPr="006177C0">
        <w:rPr>
          <w:noProof/>
          <w:lang w:val="id-ID"/>
        </w:rPr>
        <w:t xml:space="preserve">Sebagai salah satu negara tujuan ekspor Indonesia, pertumbuhan ekonomi Jepang dapat mendorong pertumbuhan ekonomi Indonesia melalui kegiatan ekspor maupun aliran modal masuk baik investasi langsung maupun melalui pasar modal (Sunariyah,2006).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noProof/>
          <w:lang w:val="id-ID"/>
        </w:rPr>
      </w:pPr>
      <w:r w:rsidRPr="006177C0">
        <w:rPr>
          <w:noProof/>
          <w:lang w:val="id-ID"/>
        </w:rPr>
        <w:t xml:space="preserve">Penelitian </w:t>
      </w:r>
      <w:r w:rsidRPr="006177C0">
        <w:rPr>
          <w:lang w:val="id-ID"/>
        </w:rPr>
        <w:t xml:space="preserve">yang dilakukan </w:t>
      </w:r>
      <w:r w:rsidRPr="006177C0">
        <w:rPr>
          <w:noProof/>
          <w:lang w:val="id-ID"/>
        </w:rPr>
        <w:t xml:space="preserve">oleh </w:t>
      </w:r>
      <w:r w:rsidRPr="006177C0">
        <w:rPr>
          <w:lang w:val="id-ID"/>
        </w:rPr>
        <w:t xml:space="preserve">Witjaksono (2010) </w:t>
      </w:r>
      <w:r w:rsidRPr="006177C0">
        <w:rPr>
          <w:noProof/>
          <w:lang w:val="id-ID"/>
        </w:rPr>
        <w:t>dengan judul Analisis Pengaruh Tingkat Suku Bunga SBI, Harga Minyak Dunia, Harga Emas Dunia,</w:t>
      </w:r>
      <w:r w:rsidR="00AA647E" w:rsidRPr="006177C0">
        <w:rPr>
          <w:noProof/>
          <w:lang w:val="id-ID"/>
        </w:rPr>
        <w:t xml:space="preserve"> Kurs Rupiah, Indeks Nikkei 225</w:t>
      </w:r>
      <w:r w:rsidRPr="006177C0">
        <w:rPr>
          <w:noProof/>
          <w:lang w:val="id-ID"/>
        </w:rPr>
        <w:t xml:space="preserve"> dan Indeks Dow Jones Terhadap IHSG dan Mansur (2005) dengan judul Pengaruh Indeks Bursa Global terhadap Indeks Harga Saham Gabungan (IHSG) Pada Bursa Efek Jakarta (BEJ) Periode Tahun 2000-2002 menemukan bahwa indeks Nikkei berpengaruh positif terhadap IHSG. </w:t>
      </w:r>
      <w:r w:rsidRPr="006177C0">
        <w:rPr>
          <w:lang w:val="id-ID"/>
        </w:rPr>
        <w:t xml:space="preserve">Berdasarkan beberapa teori dan penelitian terdahulu diduga bahwa </w:t>
      </w:r>
      <w:r w:rsidRPr="006177C0">
        <w:rPr>
          <w:noProof/>
          <w:lang w:val="id-ID"/>
        </w:rPr>
        <w:t xml:space="preserve">indeks Nikkei </w:t>
      </w:r>
      <w:r w:rsidRPr="006177C0">
        <w:rPr>
          <w:lang w:val="id-ID"/>
        </w:rPr>
        <w:t xml:space="preserve">berpengaruh </w:t>
      </w:r>
      <w:r w:rsidRPr="006177C0">
        <w:rPr>
          <w:noProof/>
          <w:lang w:val="id-ID"/>
        </w:rPr>
        <w:t xml:space="preserve">positif </w:t>
      </w:r>
      <w:r w:rsidRPr="006177C0">
        <w:rPr>
          <w:lang w:val="id-ID"/>
        </w:rPr>
        <w:t xml:space="preserve">terhadap Indeks Harga Saham </w:t>
      </w:r>
      <w:r w:rsidRPr="006177C0">
        <w:rPr>
          <w:noProof/>
          <w:lang w:val="id-ID"/>
        </w:rPr>
        <w:t xml:space="preserve">Gabungan (IHSG). </w:t>
      </w:r>
    </w:p>
    <w:p w:rsidR="005A4DB9" w:rsidRPr="006177C0" w:rsidRDefault="005A4DB9" w:rsidP="0061241F">
      <w:pPr>
        <w:tabs>
          <w:tab w:val="left" w:leader="dot" w:pos="8040"/>
        </w:tabs>
        <w:spacing w:line="360" w:lineRule="auto"/>
        <w:ind w:right="28"/>
        <w:jc w:val="both"/>
        <w:rPr>
          <w:noProof/>
          <w:lang w:val="id-ID"/>
        </w:rPr>
      </w:pPr>
    </w:p>
    <w:p w:rsidR="005A4DB9" w:rsidRPr="006177C0" w:rsidRDefault="005A4DB9" w:rsidP="0061241F">
      <w:pPr>
        <w:tabs>
          <w:tab w:val="left" w:leader="dot" w:pos="8040"/>
        </w:tabs>
        <w:spacing w:line="360" w:lineRule="auto"/>
        <w:ind w:right="28"/>
        <w:jc w:val="both"/>
        <w:rPr>
          <w:b/>
          <w:noProof/>
          <w:lang w:val="id-ID"/>
        </w:rPr>
      </w:pPr>
      <w:r w:rsidRPr="006177C0">
        <w:rPr>
          <w:b/>
          <w:noProof/>
          <w:lang w:val="id-ID"/>
        </w:rPr>
        <w:t xml:space="preserve">Pengaruh </w:t>
      </w:r>
      <w:r w:rsidRPr="006177C0">
        <w:rPr>
          <w:b/>
          <w:lang w:val="id-ID"/>
        </w:rPr>
        <w:t>Pembelian Bersih Asing</w:t>
      </w:r>
      <w:r w:rsidR="00AA647E" w:rsidRPr="006177C0">
        <w:rPr>
          <w:b/>
          <w:lang w:val="id-ID"/>
        </w:rPr>
        <w:t xml:space="preserve"> </w:t>
      </w:r>
      <w:r w:rsidRPr="006177C0">
        <w:rPr>
          <w:b/>
          <w:lang w:val="id-ID"/>
        </w:rPr>
        <w:t xml:space="preserve">terhadap IHSG </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lang w:val="id-ID"/>
        </w:rPr>
      </w:pPr>
      <w:r w:rsidRPr="006177C0">
        <w:rPr>
          <w:lang w:val="id-ID"/>
        </w:rPr>
        <w:t xml:space="preserve">Berdasarkan </w:t>
      </w:r>
      <w:r w:rsidR="0079194E" w:rsidRPr="006177C0">
        <w:rPr>
          <w:lang w:val="id-ID"/>
        </w:rPr>
        <w:t>t</w:t>
      </w:r>
      <w:r w:rsidRPr="006177C0">
        <w:rPr>
          <w:lang w:val="id-ID"/>
        </w:rPr>
        <w:t xml:space="preserve">eori Portofolio, diversifikasi investasi dilakukan untuk meminimumkan risiko. Menurut Salvatore (1997), melakukan investasi ke dalam beberapa jenis sekuritas maka tingkat hasil tertentu akan diperoleh dengan resiko yang lebih rendah atau tingkat hasil yang lebih tinggi dengan resiko yang sama. Menginvestasikan modal ke dalam sekuritas domestik dan asing akan menciptakan tingkat hasil yang lebih tinggi atau menurunkan resiko, dibandingkan jika membeli sekuritas domestik atau asing saja. Solnik (1974) menyatakan bahwa diversifikasi internasional mampu mengurangi </w:t>
      </w:r>
      <w:r w:rsidRPr="006177C0">
        <w:rPr>
          <w:i/>
          <w:lang w:val="id-ID"/>
        </w:rPr>
        <w:t>systematic risk</w:t>
      </w:r>
      <w:r w:rsidRPr="006177C0">
        <w:rPr>
          <w:lang w:val="id-ID"/>
        </w:rPr>
        <w:t xml:space="preserve"> sampai sebesar 12 % dari total risiko, dibandingkan apabila diversifikasi hanya dilakukan secara domestik yang masih sebesar 27 %. Arus  </w:t>
      </w:r>
      <w:r w:rsidRPr="006177C0">
        <w:rPr>
          <w:noProof/>
          <w:lang w:val="id-ID"/>
        </w:rPr>
        <w:t>modal</w:t>
      </w:r>
      <w:r w:rsidRPr="006177C0">
        <w:rPr>
          <w:lang w:val="id-ID"/>
        </w:rPr>
        <w:t xml:space="preserve">  asing  dapat  mendorong  stimulasi  perkembangan  pasar modal  domestik.</w:t>
      </w:r>
      <w:r w:rsidR="0079194E" w:rsidRPr="006177C0">
        <w:rPr>
          <w:lang w:val="id-ID"/>
        </w:rPr>
        <w:t xml:space="preserve"> </w:t>
      </w:r>
      <w:r w:rsidRPr="006177C0">
        <w:rPr>
          <w:lang w:val="id-ID"/>
        </w:rPr>
        <w:t>Aliran  modal  asing  (</w:t>
      </w:r>
      <w:r w:rsidRPr="006177C0">
        <w:rPr>
          <w:i/>
          <w:lang w:val="id-ID"/>
        </w:rPr>
        <w:t>capital  inflow</w:t>
      </w:r>
      <w:r w:rsidRPr="006177C0">
        <w:rPr>
          <w:lang w:val="id-ID"/>
        </w:rPr>
        <w:t xml:space="preserve">)  yang  masuk  ke  Indonesia  memberikan  pengaruh  yang  positif  terhadap  pergerakan  </w:t>
      </w:r>
      <w:r w:rsidR="0079194E" w:rsidRPr="006177C0">
        <w:rPr>
          <w:lang w:val="id-ID"/>
        </w:rPr>
        <w:t>IHSG</w:t>
      </w:r>
      <w:r w:rsidRPr="006177C0">
        <w:rPr>
          <w:lang w:val="id-ID"/>
        </w:rPr>
        <w:t xml:space="preserve">,  dimana  aliran  modal  asing  masuk  ke  pasar  cenderung  diikuti dengan  kenaikan  </w:t>
      </w:r>
      <w:r w:rsidR="0079194E" w:rsidRPr="006177C0">
        <w:rPr>
          <w:lang w:val="id-ID"/>
        </w:rPr>
        <w:t>IHSG</w:t>
      </w:r>
      <w:r w:rsidRPr="006177C0">
        <w:rPr>
          <w:lang w:val="id-ID"/>
        </w:rPr>
        <w:t xml:space="preserve">  dan  aliran  modal  asing  keluar  dari  pasar cenderung  diikuti  dengan  penurunan  </w:t>
      </w:r>
      <w:r w:rsidR="0079194E" w:rsidRPr="006177C0">
        <w:rPr>
          <w:lang w:val="id-ID"/>
        </w:rPr>
        <w:t>IHSG</w:t>
      </w:r>
      <w:r w:rsidRPr="006177C0">
        <w:rPr>
          <w:lang w:val="id-ID"/>
        </w:rPr>
        <w:t xml:space="preserve"> (Bappepam LK, 2008).</w:t>
      </w:r>
    </w:p>
    <w:p w:rsidR="005A4DB9" w:rsidRPr="006177C0" w:rsidRDefault="005A4DB9" w:rsidP="0061241F">
      <w:pPr>
        <w:pStyle w:val="NormalWeb"/>
        <w:shd w:val="clear" w:color="auto" w:fill="FFFFFF"/>
        <w:spacing w:before="0" w:beforeAutospacing="0" w:after="0" w:afterAutospacing="0" w:line="360" w:lineRule="auto"/>
        <w:ind w:firstLine="720"/>
        <w:contextualSpacing/>
        <w:jc w:val="both"/>
        <w:rPr>
          <w:lang w:val="id-ID"/>
        </w:rPr>
      </w:pPr>
      <w:r w:rsidRPr="006177C0">
        <w:rPr>
          <w:lang w:val="id-ID"/>
        </w:rPr>
        <w:lastRenderedPageBreak/>
        <w:t>Penelitian yang dilakukan oleh Frensidy (2009) dengan judul Analisis Pengaruh Aksi Beli-Jual Asing, Kurs dan Indeks Hang Seng terhadap Indeks Harga Saham Gabungan di Bursa Efek Indonesia dengan Model GARCH dan Tim Studi Bappepam LK (2008) yang berjudul Analisis Hubungan Kointegrasi dan Kausalitas serta Hubungan Dinamis Antara Aliran Modal Asing, Perubahan Nilai Tukar dan Pergerakan IHSG di Pasar Modal Indonesia menemukan bahwa pembelian bersih asing berpengaruh positif terhadap IHSG. Berdasarkan beberapa teori dan penelitian terdahulu diduga bahwa Pembelian Bersih Asing berpengaruh positif terhadap Indeks Harga Saham Gabungan (IHSG).</w:t>
      </w:r>
    </w:p>
    <w:p w:rsidR="008E6C70" w:rsidRPr="006177C0" w:rsidRDefault="008E6C70" w:rsidP="0061241F">
      <w:pPr>
        <w:spacing w:line="360" w:lineRule="auto"/>
        <w:rPr>
          <w:b/>
          <w:lang w:val="id-ID"/>
        </w:rPr>
      </w:pPr>
    </w:p>
    <w:p w:rsidR="00937262" w:rsidRPr="006177C0" w:rsidRDefault="00937262" w:rsidP="0061241F">
      <w:pPr>
        <w:spacing w:line="360" w:lineRule="auto"/>
        <w:rPr>
          <w:b/>
          <w:lang w:val="id-ID"/>
        </w:rPr>
      </w:pPr>
      <w:r w:rsidRPr="006177C0">
        <w:rPr>
          <w:b/>
          <w:lang w:val="id-ID"/>
        </w:rPr>
        <w:t>Hipotesis</w:t>
      </w:r>
    </w:p>
    <w:p w:rsidR="00882AD0" w:rsidRPr="006177C0" w:rsidRDefault="00882AD0" w:rsidP="0061241F">
      <w:pPr>
        <w:pStyle w:val="NormalWeb"/>
        <w:shd w:val="clear" w:color="auto" w:fill="FFFFFF"/>
        <w:spacing w:before="0" w:beforeAutospacing="0" w:after="0" w:afterAutospacing="0" w:line="360" w:lineRule="auto"/>
        <w:ind w:firstLine="720"/>
        <w:contextualSpacing/>
        <w:jc w:val="both"/>
        <w:rPr>
          <w:lang w:val="id-ID"/>
        </w:rPr>
      </w:pPr>
      <w:r w:rsidRPr="006177C0">
        <w:rPr>
          <w:lang w:val="id-ID"/>
        </w:rPr>
        <w:t xml:space="preserve">Berdasarkan teori dan penelitian terdahulu, hipotesis dari penelitian ini </w:t>
      </w:r>
      <w:r w:rsidR="007760FD" w:rsidRPr="006177C0">
        <w:rPr>
          <w:lang w:val="id-ID"/>
        </w:rPr>
        <w:t xml:space="preserve">antara lain sebagai berikut </w:t>
      </w:r>
      <w:r w:rsidRPr="006177C0">
        <w:rPr>
          <w:lang w:val="id-ID"/>
        </w:rPr>
        <w:t>:</w:t>
      </w:r>
    </w:p>
    <w:p w:rsidR="005A4DB9" w:rsidRPr="006177C0" w:rsidRDefault="005A4DB9" w:rsidP="0061241F">
      <w:pPr>
        <w:pStyle w:val="NormalWeb"/>
        <w:shd w:val="clear" w:color="auto" w:fill="FFFFFF"/>
        <w:spacing w:before="0" w:beforeAutospacing="0" w:after="0" w:afterAutospacing="0" w:line="360" w:lineRule="auto"/>
        <w:contextualSpacing/>
        <w:jc w:val="both"/>
        <w:rPr>
          <w:lang w:val="id-ID"/>
        </w:rPr>
      </w:pPr>
      <w:r w:rsidRPr="006177C0">
        <w:rPr>
          <w:lang w:val="id-ID"/>
        </w:rPr>
        <w:t>H 1= Kurs Dollar/ Rupiah berpengaruh</w:t>
      </w:r>
      <w:r w:rsidRPr="006177C0">
        <w:rPr>
          <w:color w:val="000000" w:themeColor="text1"/>
          <w:lang w:val="id-ID"/>
        </w:rPr>
        <w:t>negatif</w:t>
      </w:r>
      <w:r w:rsidRPr="006177C0">
        <w:rPr>
          <w:lang w:val="id-ID"/>
        </w:rPr>
        <w:t>terhadap IHSG</w:t>
      </w:r>
    </w:p>
    <w:p w:rsidR="005A4DB9" w:rsidRPr="006177C0" w:rsidRDefault="005A4DB9" w:rsidP="0061241F">
      <w:pPr>
        <w:spacing w:line="360" w:lineRule="auto"/>
        <w:rPr>
          <w:noProof/>
          <w:lang w:val="id-ID"/>
        </w:rPr>
      </w:pPr>
      <w:r w:rsidRPr="006177C0">
        <w:rPr>
          <w:noProof/>
          <w:lang w:val="id-ID"/>
        </w:rPr>
        <w:t>H 2 = Harga Emas Dunia berpengaruh negatif terhadap IHSG</w:t>
      </w:r>
    </w:p>
    <w:p w:rsidR="005A4DB9" w:rsidRPr="006177C0" w:rsidRDefault="005A4DB9" w:rsidP="0061241F">
      <w:pPr>
        <w:spacing w:line="360" w:lineRule="auto"/>
        <w:rPr>
          <w:noProof/>
          <w:lang w:val="id-ID"/>
        </w:rPr>
      </w:pPr>
      <w:r w:rsidRPr="006177C0">
        <w:rPr>
          <w:noProof/>
          <w:lang w:val="id-ID"/>
        </w:rPr>
        <w:t>H 3 = Harga Minyak Dunia berpengaruh positif terhadap IHSG</w:t>
      </w:r>
    </w:p>
    <w:p w:rsidR="005A4DB9" w:rsidRPr="006177C0" w:rsidRDefault="005A4DB9" w:rsidP="0061241F">
      <w:pPr>
        <w:pStyle w:val="NormalWeb"/>
        <w:shd w:val="clear" w:color="auto" w:fill="FFFFFF"/>
        <w:spacing w:before="0" w:beforeAutospacing="0" w:after="0" w:afterAutospacing="0" w:line="360" w:lineRule="auto"/>
        <w:contextualSpacing/>
        <w:jc w:val="both"/>
        <w:rPr>
          <w:noProof/>
          <w:lang w:val="id-ID"/>
        </w:rPr>
      </w:pPr>
      <w:r w:rsidRPr="006177C0">
        <w:rPr>
          <w:noProof/>
          <w:lang w:val="id-ID"/>
        </w:rPr>
        <w:t>H 4 = Indeks Dow Jones berpengaruh positif terhadap IHSG</w:t>
      </w:r>
    </w:p>
    <w:p w:rsidR="005A4DB9" w:rsidRPr="006177C0" w:rsidRDefault="005A4DB9" w:rsidP="0061241F">
      <w:pPr>
        <w:tabs>
          <w:tab w:val="left" w:leader="dot" w:pos="8040"/>
        </w:tabs>
        <w:spacing w:line="360" w:lineRule="auto"/>
        <w:ind w:right="28"/>
        <w:jc w:val="both"/>
        <w:rPr>
          <w:noProof/>
          <w:lang w:val="id-ID"/>
        </w:rPr>
      </w:pPr>
      <w:r w:rsidRPr="006177C0">
        <w:rPr>
          <w:noProof/>
          <w:lang w:val="id-ID"/>
        </w:rPr>
        <w:t>H 5 = Indeks Nikkei 225 berpengaruh positif terhadap IHSG</w:t>
      </w:r>
    </w:p>
    <w:p w:rsidR="005A4DB9" w:rsidRPr="006177C0" w:rsidRDefault="005A4DB9" w:rsidP="0061241F">
      <w:pPr>
        <w:autoSpaceDE w:val="0"/>
        <w:autoSpaceDN w:val="0"/>
        <w:adjustRightInd w:val="0"/>
        <w:spacing w:line="360" w:lineRule="auto"/>
        <w:jc w:val="both"/>
        <w:rPr>
          <w:lang w:val="id-ID"/>
        </w:rPr>
      </w:pPr>
      <w:r w:rsidRPr="006177C0">
        <w:rPr>
          <w:lang w:val="id-ID"/>
        </w:rPr>
        <w:t>H 6 =</w:t>
      </w:r>
      <w:r w:rsidR="0061241F" w:rsidRPr="006177C0">
        <w:rPr>
          <w:lang w:val="id-ID"/>
        </w:rPr>
        <w:t xml:space="preserve"> </w:t>
      </w:r>
      <w:r w:rsidRPr="006177C0">
        <w:rPr>
          <w:lang w:val="id-ID"/>
        </w:rPr>
        <w:t>Pembelian</w:t>
      </w:r>
      <w:r w:rsidR="0061241F" w:rsidRPr="006177C0">
        <w:rPr>
          <w:lang w:val="id-ID"/>
        </w:rPr>
        <w:t xml:space="preserve"> </w:t>
      </w:r>
      <w:r w:rsidRPr="006177C0">
        <w:rPr>
          <w:lang w:val="id-ID"/>
        </w:rPr>
        <w:t>Bersih</w:t>
      </w:r>
      <w:r w:rsidR="0061241F" w:rsidRPr="006177C0">
        <w:rPr>
          <w:lang w:val="id-ID"/>
        </w:rPr>
        <w:t xml:space="preserve"> </w:t>
      </w:r>
      <w:r w:rsidRPr="006177C0">
        <w:rPr>
          <w:lang w:val="id-ID"/>
        </w:rPr>
        <w:t>Asing</w:t>
      </w:r>
      <w:r w:rsidR="0061241F" w:rsidRPr="006177C0">
        <w:rPr>
          <w:lang w:val="id-ID"/>
        </w:rPr>
        <w:t xml:space="preserve"> </w:t>
      </w:r>
      <w:r w:rsidRPr="006177C0">
        <w:rPr>
          <w:lang w:val="id-ID"/>
        </w:rPr>
        <w:t>berpengaruh positif terhadap IHSG.</w:t>
      </w:r>
    </w:p>
    <w:p w:rsidR="005A4DB9" w:rsidRPr="006177C0" w:rsidRDefault="005A4DB9" w:rsidP="0061241F">
      <w:pPr>
        <w:spacing w:line="360" w:lineRule="auto"/>
        <w:rPr>
          <w:b/>
          <w:lang w:val="id-ID"/>
        </w:rPr>
      </w:pPr>
    </w:p>
    <w:p w:rsidR="00937262" w:rsidRPr="006177C0" w:rsidRDefault="00937262" w:rsidP="0061241F">
      <w:pPr>
        <w:spacing w:line="360" w:lineRule="auto"/>
        <w:rPr>
          <w:b/>
          <w:lang w:val="id-ID"/>
        </w:rPr>
      </w:pPr>
      <w:r w:rsidRPr="006177C0">
        <w:rPr>
          <w:b/>
          <w:lang w:val="id-ID"/>
        </w:rPr>
        <w:t>Metode Penelitian</w:t>
      </w:r>
    </w:p>
    <w:p w:rsidR="003E2E07" w:rsidRPr="006177C0" w:rsidRDefault="003E2E07" w:rsidP="0061241F">
      <w:pPr>
        <w:pStyle w:val="NormalWeb"/>
        <w:shd w:val="clear" w:color="auto" w:fill="FFFFFF"/>
        <w:spacing w:before="0" w:beforeAutospacing="0" w:after="0" w:afterAutospacing="0" w:line="360" w:lineRule="auto"/>
        <w:ind w:firstLine="720"/>
        <w:contextualSpacing/>
        <w:jc w:val="both"/>
        <w:rPr>
          <w:lang w:val="id-ID"/>
        </w:rPr>
      </w:pPr>
      <w:r w:rsidRPr="006177C0">
        <w:rPr>
          <w:lang w:val="id-ID"/>
        </w:rPr>
        <w:t xml:space="preserve">Analisis statistik yang digunakan dalam penelitian ini adalah model ARCH/GARCH. Model ARCH-GARCH yang digunakan pada penelitian ini adalah ARCH (1), ARCH (2), GARCH (1,1), GARCH (1,2), GARCH (2,1) dan GARCH (2,2). Model ini digunakan untuk melihat pengaruh variabel independen terhadap Indeks Harga Saham Gabungan (IHSG). Data yang dikumpulkan kemudian diolah dengan menggunakan program </w:t>
      </w:r>
      <w:r w:rsidRPr="006177C0">
        <w:rPr>
          <w:i/>
          <w:lang w:val="id-ID"/>
        </w:rPr>
        <w:t>Microsoft Excel</w:t>
      </w:r>
      <w:r w:rsidRPr="006177C0">
        <w:rPr>
          <w:lang w:val="id-ID"/>
        </w:rPr>
        <w:t xml:space="preserve"> dan Eviews 8. </w:t>
      </w:r>
    </w:p>
    <w:p w:rsidR="003E2E07" w:rsidRPr="006177C0" w:rsidRDefault="003E2E07" w:rsidP="0061241F">
      <w:pPr>
        <w:autoSpaceDE w:val="0"/>
        <w:autoSpaceDN w:val="0"/>
        <w:adjustRightInd w:val="0"/>
        <w:spacing w:line="360" w:lineRule="auto"/>
        <w:ind w:firstLine="720"/>
        <w:jc w:val="both"/>
        <w:rPr>
          <w:noProof/>
          <w:lang w:val="id-ID"/>
        </w:rPr>
      </w:pPr>
      <w:r w:rsidRPr="006177C0">
        <w:rPr>
          <w:noProof/>
          <w:lang w:val="id-ID"/>
        </w:rPr>
        <w:t xml:space="preserve">Pemilihan model terbaik </w:t>
      </w:r>
      <w:r w:rsidR="005C7FB6">
        <w:rPr>
          <w:noProof/>
          <w:lang w:val="en-US"/>
        </w:rPr>
        <w:t xml:space="preserve">menggunakan </w:t>
      </w:r>
      <w:r w:rsidRPr="006177C0">
        <w:rPr>
          <w:noProof/>
          <w:lang w:val="id-ID"/>
        </w:rPr>
        <w:t xml:space="preserve">parameter </w:t>
      </w:r>
      <w:r w:rsidR="005C7FB6">
        <w:rPr>
          <w:noProof/>
          <w:lang w:val="en-US"/>
        </w:rPr>
        <w:t>antara lain</w:t>
      </w:r>
      <w:r w:rsidRPr="006177C0">
        <w:rPr>
          <w:noProof/>
          <w:lang w:val="id-ID"/>
        </w:rPr>
        <w:t xml:space="preserve"> </w:t>
      </w:r>
      <w:r w:rsidRPr="006177C0">
        <w:rPr>
          <w:lang w:val="id-ID"/>
        </w:rPr>
        <w:t xml:space="preserve">uji ARCH-LM, </w:t>
      </w:r>
      <w:r w:rsidRPr="006177C0">
        <w:rPr>
          <w:noProof/>
          <w:lang w:val="id-ID"/>
        </w:rPr>
        <w:t>koefisien R</w:t>
      </w:r>
      <w:r w:rsidRPr="006177C0">
        <w:rPr>
          <w:noProof/>
          <w:vertAlign w:val="superscript"/>
          <w:lang w:val="id-ID"/>
        </w:rPr>
        <w:t>2</w:t>
      </w:r>
      <w:r w:rsidRPr="006177C0">
        <w:rPr>
          <w:noProof/>
          <w:lang w:val="id-ID"/>
        </w:rPr>
        <w:t>, Adjusted R</w:t>
      </w:r>
      <w:r w:rsidRPr="006177C0">
        <w:rPr>
          <w:noProof/>
          <w:vertAlign w:val="superscript"/>
          <w:lang w:val="id-ID"/>
        </w:rPr>
        <w:t>2</w:t>
      </w:r>
      <w:r w:rsidRPr="006177C0">
        <w:rPr>
          <w:noProof/>
          <w:lang w:val="id-ID"/>
        </w:rPr>
        <w:t>, Akaike Information Criterion (AIC), Schwarz Criterion (SC). Model terbaik adalah model yang memiliki koefisien R</w:t>
      </w:r>
      <w:r w:rsidRPr="006177C0">
        <w:rPr>
          <w:noProof/>
          <w:vertAlign w:val="superscript"/>
          <w:lang w:val="id-ID"/>
        </w:rPr>
        <w:t>2</w:t>
      </w:r>
      <w:r w:rsidRPr="006177C0">
        <w:rPr>
          <w:noProof/>
          <w:lang w:val="id-ID"/>
        </w:rPr>
        <w:t>, Adjusted R</w:t>
      </w:r>
      <w:r w:rsidRPr="006177C0">
        <w:rPr>
          <w:noProof/>
          <w:vertAlign w:val="superscript"/>
          <w:lang w:val="id-ID"/>
        </w:rPr>
        <w:t>2</w:t>
      </w:r>
      <w:r w:rsidR="00266F47">
        <w:rPr>
          <w:noProof/>
          <w:lang w:val="en-US"/>
        </w:rPr>
        <w:t xml:space="preserve"> </w:t>
      </w:r>
      <w:r w:rsidRPr="006177C0">
        <w:rPr>
          <w:noProof/>
          <w:lang w:val="id-ID"/>
        </w:rPr>
        <w:t xml:space="preserve">yang besar serta memiliki Akaike Information Criterion (AIC), Schwarz Criterion (SC) yang terkecil. </w:t>
      </w:r>
    </w:p>
    <w:p w:rsidR="00937262" w:rsidRPr="006177C0" w:rsidRDefault="00937262" w:rsidP="006177C0">
      <w:pPr>
        <w:spacing w:line="360" w:lineRule="auto"/>
        <w:rPr>
          <w:b/>
          <w:lang w:val="id-ID"/>
        </w:rPr>
      </w:pPr>
      <w:r w:rsidRPr="006177C0">
        <w:rPr>
          <w:b/>
          <w:lang w:val="id-ID"/>
        </w:rPr>
        <w:lastRenderedPageBreak/>
        <w:t>Hasil dan Pembahasan</w:t>
      </w:r>
    </w:p>
    <w:p w:rsidR="00B4493A" w:rsidRPr="006177C0" w:rsidRDefault="00B4493A" w:rsidP="006177C0">
      <w:pPr>
        <w:autoSpaceDE w:val="0"/>
        <w:autoSpaceDN w:val="0"/>
        <w:adjustRightInd w:val="0"/>
        <w:spacing w:line="360" w:lineRule="auto"/>
        <w:jc w:val="both"/>
        <w:rPr>
          <w:b/>
          <w:noProof/>
          <w:lang w:val="id-ID"/>
        </w:rPr>
      </w:pPr>
      <w:r w:rsidRPr="006177C0">
        <w:rPr>
          <w:b/>
          <w:noProof/>
          <w:lang w:val="id-ID"/>
        </w:rPr>
        <w:t>Uji Stasioneritas Data</w:t>
      </w:r>
    </w:p>
    <w:p w:rsidR="00B4493A" w:rsidRPr="006177C0" w:rsidRDefault="00B4493A" w:rsidP="006177C0">
      <w:pPr>
        <w:autoSpaceDE w:val="0"/>
        <w:autoSpaceDN w:val="0"/>
        <w:adjustRightInd w:val="0"/>
        <w:spacing w:line="360" w:lineRule="auto"/>
        <w:ind w:firstLine="720"/>
        <w:jc w:val="both"/>
        <w:rPr>
          <w:b/>
          <w:lang w:val="id-ID"/>
        </w:rPr>
      </w:pPr>
      <w:r w:rsidRPr="006177C0">
        <w:rPr>
          <w:noProof/>
          <w:lang w:val="id-ID"/>
        </w:rPr>
        <w:t>Berdasarkan</w:t>
      </w:r>
      <w:r w:rsidRPr="006177C0">
        <w:rPr>
          <w:lang w:val="id-ID"/>
        </w:rPr>
        <w:t xml:space="preserve"> hasil uji stasioneritas yang dilakukan, diketahui bahwa</w:t>
      </w:r>
      <w:r w:rsidRPr="006177C0">
        <w:rPr>
          <w:b/>
          <w:noProof/>
          <w:lang w:val="id-ID"/>
        </w:rPr>
        <w:t xml:space="preserve"> </w:t>
      </w:r>
      <w:r w:rsidRPr="006177C0">
        <w:rPr>
          <w:noProof/>
          <w:lang w:val="id-ID"/>
        </w:rPr>
        <w:t xml:space="preserve">hampir semua variable belum stasioner, hanya variabel Pembelian Bersih Asing yang sudah stasioner. Variabel lain stasioner pada </w:t>
      </w:r>
      <w:r w:rsidR="00266F47">
        <w:rPr>
          <w:lang w:val="id-ID"/>
        </w:rPr>
        <w:t>nilai perbedaan pertamanya</w:t>
      </w:r>
      <w:r w:rsidR="00266F47">
        <w:rPr>
          <w:lang w:val="en-US"/>
        </w:rPr>
        <w:t xml:space="preserve"> (</w:t>
      </w:r>
      <w:r w:rsidRPr="006177C0">
        <w:rPr>
          <w:i/>
          <w:noProof/>
          <w:lang w:val="id-ID"/>
        </w:rPr>
        <w:t>First Difference</w:t>
      </w:r>
      <w:r w:rsidR="00266F47">
        <w:rPr>
          <w:i/>
          <w:noProof/>
          <w:lang w:val="en-US"/>
        </w:rPr>
        <w:t>)</w:t>
      </w:r>
      <w:r w:rsidRPr="006177C0">
        <w:rPr>
          <w:noProof/>
          <w:lang w:val="id-ID"/>
        </w:rPr>
        <w:t xml:space="preserve">. Salah satu parameternya adalah nilai </w:t>
      </w:r>
      <w:r w:rsidRPr="006177C0">
        <w:rPr>
          <w:lang w:val="id-ID"/>
        </w:rPr>
        <w:t xml:space="preserve">t-Statistic α = 5 % lebih kecil dari nilai ADF </w:t>
      </w:r>
      <w:r w:rsidRPr="006177C0">
        <w:rPr>
          <w:i/>
          <w:lang w:val="id-ID"/>
        </w:rPr>
        <w:t>test statistic.</w:t>
      </w:r>
    </w:p>
    <w:p w:rsidR="006177C0" w:rsidRPr="006177C0" w:rsidRDefault="006177C0" w:rsidP="006177C0">
      <w:pPr>
        <w:autoSpaceDE w:val="0"/>
        <w:autoSpaceDN w:val="0"/>
        <w:adjustRightInd w:val="0"/>
        <w:spacing w:line="360" w:lineRule="auto"/>
        <w:jc w:val="center"/>
        <w:rPr>
          <w:b/>
          <w:lang w:val="id-ID"/>
        </w:rPr>
      </w:pPr>
    </w:p>
    <w:p w:rsidR="00B4493A" w:rsidRPr="006177C0" w:rsidRDefault="00D86A88" w:rsidP="006177C0">
      <w:pPr>
        <w:autoSpaceDE w:val="0"/>
        <w:autoSpaceDN w:val="0"/>
        <w:adjustRightInd w:val="0"/>
        <w:spacing w:line="360" w:lineRule="auto"/>
        <w:jc w:val="center"/>
        <w:rPr>
          <w:b/>
          <w:lang w:val="id-ID"/>
        </w:rPr>
      </w:pPr>
      <w:proofErr w:type="spellStart"/>
      <w:proofErr w:type="gramStart"/>
      <w:r>
        <w:rPr>
          <w:b/>
          <w:lang w:val="en-US"/>
        </w:rPr>
        <w:t>Tabel</w:t>
      </w:r>
      <w:proofErr w:type="spellEnd"/>
      <w:r>
        <w:rPr>
          <w:b/>
          <w:lang w:val="en-US"/>
        </w:rPr>
        <w:t xml:space="preserve"> 1.</w:t>
      </w:r>
      <w:proofErr w:type="gramEnd"/>
      <w:r>
        <w:rPr>
          <w:b/>
          <w:lang w:val="en-US"/>
        </w:rPr>
        <w:t xml:space="preserve"> </w:t>
      </w:r>
      <w:r w:rsidR="00B4493A" w:rsidRPr="006177C0">
        <w:rPr>
          <w:b/>
          <w:lang w:val="id-ID"/>
        </w:rPr>
        <w:t>Hasil Uji Stasioneritas Data</w:t>
      </w:r>
    </w:p>
    <w:p w:rsidR="00B4493A" w:rsidRPr="006177C0" w:rsidRDefault="00B4493A" w:rsidP="00B4493A">
      <w:pPr>
        <w:autoSpaceDE w:val="0"/>
        <w:autoSpaceDN w:val="0"/>
        <w:adjustRightInd w:val="0"/>
        <w:rPr>
          <w:noProof/>
          <w:sz w:val="22"/>
          <w:szCs w:val="22"/>
          <w:lang w:val="id-ID"/>
        </w:rPr>
      </w:pPr>
      <w:r w:rsidRPr="006177C0">
        <w:rPr>
          <w:b/>
          <w:lang w:val="id-ID"/>
        </w:rPr>
        <w:object w:dxaOrig="8419" w:dyaOrig="3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1.1pt;height:151.55pt" o:ole="">
            <v:imagedata r:id="rId9" o:title=""/>
          </v:shape>
          <o:OLEObject Type="Embed" ProgID="Excel.Sheet.12" ShapeID="_x0000_i1035" DrawAspect="Content" ObjectID="_1512207060" r:id="rId10"/>
        </w:object>
      </w:r>
      <w:r w:rsidRPr="006177C0">
        <w:rPr>
          <w:noProof/>
          <w:sz w:val="22"/>
          <w:szCs w:val="22"/>
          <w:lang w:val="id-ID"/>
        </w:rPr>
        <w:t xml:space="preserve"> Sumber : Output Analisis Eviews 8, 2015</w:t>
      </w:r>
    </w:p>
    <w:p w:rsidR="00B4493A" w:rsidRPr="006177C0" w:rsidRDefault="00B4493A" w:rsidP="00B4493A">
      <w:pPr>
        <w:autoSpaceDE w:val="0"/>
        <w:autoSpaceDN w:val="0"/>
        <w:adjustRightInd w:val="0"/>
        <w:spacing w:line="360" w:lineRule="auto"/>
        <w:ind w:firstLine="720"/>
        <w:jc w:val="both"/>
        <w:rPr>
          <w:lang w:val="id-ID"/>
        </w:rPr>
      </w:pPr>
    </w:p>
    <w:p w:rsidR="00B4493A" w:rsidRPr="006177C0" w:rsidRDefault="00B4493A" w:rsidP="006177C0">
      <w:pPr>
        <w:autoSpaceDE w:val="0"/>
        <w:autoSpaceDN w:val="0"/>
        <w:adjustRightInd w:val="0"/>
        <w:spacing w:line="360" w:lineRule="auto"/>
        <w:jc w:val="both"/>
        <w:rPr>
          <w:b/>
          <w:noProof/>
          <w:lang w:val="id-ID"/>
        </w:rPr>
      </w:pPr>
      <w:r w:rsidRPr="006177C0">
        <w:rPr>
          <w:b/>
          <w:noProof/>
          <w:lang w:val="id-ID"/>
        </w:rPr>
        <w:t>Uji Multikolinearitas</w:t>
      </w:r>
    </w:p>
    <w:p w:rsidR="006177C0" w:rsidRPr="006177C0" w:rsidRDefault="006177C0" w:rsidP="006177C0">
      <w:pPr>
        <w:autoSpaceDE w:val="0"/>
        <w:autoSpaceDN w:val="0"/>
        <w:adjustRightInd w:val="0"/>
        <w:spacing w:line="360" w:lineRule="auto"/>
        <w:ind w:firstLine="720"/>
        <w:jc w:val="both"/>
        <w:rPr>
          <w:rFonts w:ascii="TimesNewRomanPSMT" w:hAnsi="TimesNewRomanPSMT"/>
          <w:color w:val="000000"/>
          <w:lang w:val="id-ID"/>
        </w:rPr>
      </w:pPr>
      <w:r w:rsidRPr="006177C0">
        <w:rPr>
          <w:rFonts w:ascii="TimesNewRomanPSMT" w:hAnsi="TimesNewRomanPSMT"/>
          <w:color w:val="000000"/>
          <w:lang w:val="id-ID"/>
        </w:rPr>
        <w:t>U</w:t>
      </w:r>
      <w:r w:rsidR="00B4493A" w:rsidRPr="006177C0">
        <w:rPr>
          <w:rFonts w:ascii="TimesNewRomanPSMT" w:hAnsi="TimesNewRomanPSMT"/>
          <w:color w:val="000000"/>
          <w:lang w:val="id-ID"/>
        </w:rPr>
        <w:t>ji ini bertujuan menguji apakah pada model ditemukan adanya korelasi antar variabel independen. Model yang baik seharusnya antar variabel independen tidak terjadi kolerasi</w:t>
      </w:r>
      <w:r w:rsidRPr="006177C0">
        <w:rPr>
          <w:rFonts w:ascii="TimesNewRomanPSMT" w:hAnsi="TimesNewRomanPSMT"/>
          <w:color w:val="000000"/>
          <w:lang w:val="id-ID"/>
        </w:rPr>
        <w:t xml:space="preserve"> (Gujarati, 2003)</w:t>
      </w:r>
      <w:r w:rsidR="00B4493A" w:rsidRPr="006177C0">
        <w:rPr>
          <w:rFonts w:ascii="TimesNewRomanPSMT" w:hAnsi="TimesNewRomanPSMT"/>
          <w:color w:val="000000"/>
          <w:lang w:val="id-ID"/>
        </w:rPr>
        <w:t>. Diketahui bahwa tidak terdapat adanya multikolinearitas, karena nilai korelasi yang lebih kecil dari 0,8</w:t>
      </w:r>
      <w:r w:rsidRPr="006177C0">
        <w:rPr>
          <w:rFonts w:ascii="TimesNewRomanPSMT" w:hAnsi="TimesNewRomanPSMT"/>
          <w:color w:val="000000"/>
          <w:lang w:val="id-ID"/>
        </w:rPr>
        <w:t>.</w:t>
      </w:r>
    </w:p>
    <w:p w:rsidR="00B4493A" w:rsidRPr="006177C0" w:rsidRDefault="00B4493A" w:rsidP="006177C0">
      <w:pPr>
        <w:autoSpaceDE w:val="0"/>
        <w:autoSpaceDN w:val="0"/>
        <w:adjustRightInd w:val="0"/>
        <w:spacing w:line="360" w:lineRule="auto"/>
        <w:ind w:firstLine="720"/>
        <w:jc w:val="both"/>
        <w:rPr>
          <w:rFonts w:ascii="TimesNewRomanPSMT" w:hAnsi="TimesNewRomanPSMT"/>
          <w:color w:val="000000"/>
          <w:lang w:val="id-ID"/>
        </w:rPr>
      </w:pPr>
      <w:r w:rsidRPr="006177C0">
        <w:rPr>
          <w:rFonts w:ascii="TimesNewRomanPSMT" w:hAnsi="TimesNewRomanPSMT"/>
          <w:color w:val="000000"/>
          <w:lang w:val="id-ID"/>
        </w:rPr>
        <w:t xml:space="preserve"> </w:t>
      </w:r>
    </w:p>
    <w:p w:rsidR="00B4493A" w:rsidRPr="006177C0" w:rsidRDefault="00B4493A" w:rsidP="00B4493A">
      <w:pPr>
        <w:autoSpaceDE w:val="0"/>
        <w:autoSpaceDN w:val="0"/>
        <w:adjustRightInd w:val="0"/>
        <w:jc w:val="center"/>
        <w:rPr>
          <w:b/>
          <w:lang w:val="id-ID"/>
        </w:rPr>
      </w:pPr>
      <w:r w:rsidRPr="006177C0">
        <w:rPr>
          <w:b/>
          <w:lang w:val="id-ID"/>
        </w:rPr>
        <w:t xml:space="preserve">Tabel </w:t>
      </w:r>
      <w:r w:rsidR="00D86A88">
        <w:rPr>
          <w:b/>
          <w:lang w:val="en-US"/>
        </w:rPr>
        <w:t>2</w:t>
      </w:r>
      <w:r w:rsidRPr="006177C0">
        <w:rPr>
          <w:b/>
          <w:lang w:val="id-ID"/>
        </w:rPr>
        <w:t xml:space="preserve">. </w:t>
      </w:r>
      <w:r w:rsidR="006177C0" w:rsidRPr="006177C0">
        <w:rPr>
          <w:b/>
          <w:lang w:val="id-ID"/>
        </w:rPr>
        <w:t xml:space="preserve">Matrik Korelasi </w:t>
      </w:r>
    </w:p>
    <w:tbl>
      <w:tblPr>
        <w:tblW w:w="78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5"/>
        <w:gridCol w:w="1080"/>
        <w:gridCol w:w="1170"/>
        <w:gridCol w:w="1080"/>
        <w:gridCol w:w="1170"/>
        <w:gridCol w:w="1170"/>
        <w:gridCol w:w="1170"/>
      </w:tblGrid>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VARIABEL</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KURS</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EMAS</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MINYAK</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DJIA</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NIKKEI</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b/>
                <w:color w:val="000000"/>
                <w:sz w:val="20"/>
                <w:szCs w:val="20"/>
                <w:lang w:val="id-ID" w:eastAsia="en-US"/>
              </w:rPr>
            </w:pPr>
            <w:r w:rsidRPr="006177C0">
              <w:rPr>
                <w:rFonts w:ascii="Arial" w:hAnsi="Arial" w:cs="Arial"/>
                <w:b/>
                <w:color w:val="000000"/>
                <w:sz w:val="20"/>
                <w:szCs w:val="20"/>
                <w:lang w:val="id-ID" w:eastAsia="en-US"/>
              </w:rPr>
              <w:t>FNP</w:t>
            </w:r>
          </w:p>
        </w:tc>
      </w:tr>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rPr>
                <w:rFonts w:ascii="Arial" w:hAnsi="Arial" w:cs="Arial"/>
                <w:b/>
                <w:color w:val="000000"/>
                <w:sz w:val="20"/>
                <w:szCs w:val="20"/>
                <w:lang w:val="id-ID" w:eastAsia="en-US"/>
              </w:rPr>
            </w:pPr>
            <w:r w:rsidRPr="006177C0">
              <w:rPr>
                <w:rFonts w:ascii="Arial" w:hAnsi="Arial" w:cs="Arial"/>
                <w:b/>
                <w:color w:val="000000"/>
                <w:sz w:val="20"/>
                <w:szCs w:val="20"/>
                <w:lang w:val="id-ID" w:eastAsia="en-US"/>
              </w:rPr>
              <w:t xml:space="preserve"> KURS</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1.000000</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0.143801</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0.125605</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0.085098</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0.034594</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-0.167701</w:t>
            </w:r>
          </w:p>
        </w:tc>
      </w:tr>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rPr>
                <w:rFonts w:ascii="Arial" w:hAnsi="Arial" w:cs="Arial"/>
                <w:b/>
                <w:color w:val="000000"/>
                <w:sz w:val="20"/>
                <w:szCs w:val="20"/>
                <w:lang w:val="id-ID" w:eastAsia="en-US"/>
              </w:rPr>
            </w:pPr>
            <w:r w:rsidRPr="006177C0">
              <w:rPr>
                <w:rFonts w:ascii="Arial" w:hAnsi="Arial" w:cs="Arial"/>
                <w:b/>
                <w:color w:val="000000"/>
                <w:sz w:val="20"/>
                <w:szCs w:val="20"/>
                <w:lang w:val="id-ID" w:eastAsia="en-US"/>
              </w:rPr>
              <w:t xml:space="preserve"> EMAS</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0.143801</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1.000000</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0.746422</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0.521351</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-0.316071</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0.097235</w:t>
            </w:r>
          </w:p>
        </w:tc>
      </w:tr>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rPr>
                <w:rFonts w:ascii="Arial" w:hAnsi="Arial" w:cs="Arial"/>
                <w:b/>
                <w:color w:val="000000"/>
                <w:sz w:val="20"/>
                <w:szCs w:val="20"/>
                <w:lang w:val="id-ID" w:eastAsia="en-US"/>
              </w:rPr>
            </w:pPr>
            <w:r w:rsidRPr="006177C0">
              <w:rPr>
                <w:rFonts w:ascii="Arial" w:hAnsi="Arial" w:cs="Arial"/>
                <w:b/>
                <w:color w:val="000000"/>
                <w:sz w:val="20"/>
                <w:szCs w:val="20"/>
                <w:lang w:val="id-ID" w:eastAsia="en-US"/>
              </w:rPr>
              <w:t xml:space="preserve"> MINYAK</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0.125605</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0.746422</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1.000000</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0.679201</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0.123213</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0.072625</w:t>
            </w:r>
          </w:p>
        </w:tc>
      </w:tr>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rPr>
                <w:rFonts w:ascii="Arial" w:hAnsi="Arial" w:cs="Arial"/>
                <w:b/>
                <w:color w:val="000000"/>
                <w:sz w:val="20"/>
                <w:szCs w:val="20"/>
                <w:lang w:val="id-ID" w:eastAsia="en-US"/>
              </w:rPr>
            </w:pPr>
            <w:r w:rsidRPr="006177C0">
              <w:rPr>
                <w:rFonts w:ascii="Arial" w:hAnsi="Arial" w:cs="Arial"/>
                <w:b/>
                <w:color w:val="000000"/>
                <w:sz w:val="20"/>
                <w:szCs w:val="20"/>
                <w:lang w:val="id-ID" w:eastAsia="en-US"/>
              </w:rPr>
              <w:t xml:space="preserve"> DJIA</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0.085098</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0.521351</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0.679201</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1.000000</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0.496725</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-0.019007</w:t>
            </w:r>
          </w:p>
        </w:tc>
      </w:tr>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rPr>
                <w:rFonts w:ascii="Arial" w:hAnsi="Arial" w:cs="Arial"/>
                <w:b/>
                <w:color w:val="000000"/>
                <w:sz w:val="20"/>
                <w:szCs w:val="20"/>
                <w:lang w:val="id-ID" w:eastAsia="en-US"/>
              </w:rPr>
            </w:pPr>
            <w:r w:rsidRPr="006177C0">
              <w:rPr>
                <w:rFonts w:ascii="Arial" w:hAnsi="Arial" w:cs="Arial"/>
                <w:b/>
                <w:color w:val="000000"/>
                <w:sz w:val="20"/>
                <w:szCs w:val="20"/>
                <w:lang w:val="id-ID" w:eastAsia="en-US"/>
              </w:rPr>
              <w:t xml:space="preserve"> NIKKEI</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0.034594</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-0.316071</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0.123213</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0.496725</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1.000000</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-0.049757</w:t>
            </w:r>
          </w:p>
        </w:tc>
      </w:tr>
      <w:tr w:rsidR="00B4493A" w:rsidRPr="006177C0" w:rsidTr="00B4493A">
        <w:trPr>
          <w:trHeight w:val="225"/>
        </w:trPr>
        <w:tc>
          <w:tcPr>
            <w:tcW w:w="1055" w:type="dxa"/>
            <w:vAlign w:val="bottom"/>
          </w:tcPr>
          <w:p w:rsidR="00B4493A" w:rsidRPr="006177C0" w:rsidRDefault="00B4493A" w:rsidP="00B4493A">
            <w:pPr>
              <w:autoSpaceDE w:val="0"/>
              <w:autoSpaceDN w:val="0"/>
              <w:adjustRightInd w:val="0"/>
              <w:spacing w:line="288" w:lineRule="auto"/>
              <w:rPr>
                <w:rFonts w:ascii="Arial" w:hAnsi="Arial" w:cs="Arial"/>
                <w:b/>
                <w:color w:val="000000"/>
                <w:sz w:val="20"/>
                <w:szCs w:val="20"/>
                <w:lang w:val="id-ID" w:eastAsia="en-US"/>
              </w:rPr>
            </w:pPr>
            <w:r w:rsidRPr="006177C0">
              <w:rPr>
                <w:rFonts w:ascii="Arial" w:hAnsi="Arial" w:cs="Arial"/>
                <w:b/>
                <w:color w:val="000000"/>
                <w:sz w:val="20"/>
                <w:szCs w:val="20"/>
                <w:lang w:val="id-ID" w:eastAsia="en-US"/>
              </w:rPr>
              <w:t xml:space="preserve"> FNP</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-0.167701</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0.097235</w:t>
            </w:r>
          </w:p>
        </w:tc>
        <w:tc>
          <w:tcPr>
            <w:tcW w:w="108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0.072625</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-0.019007</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-0.049757</w:t>
            </w:r>
          </w:p>
        </w:tc>
        <w:tc>
          <w:tcPr>
            <w:tcW w:w="1170" w:type="dxa"/>
            <w:vAlign w:val="bottom"/>
          </w:tcPr>
          <w:p w:rsidR="00B4493A" w:rsidRPr="006177C0" w:rsidRDefault="00B4493A" w:rsidP="00B4493A">
            <w:pPr>
              <w:autoSpaceDE w:val="0"/>
              <w:autoSpaceDN w:val="0"/>
              <w:adjustRightInd w:val="0"/>
              <w:spacing w:line="288" w:lineRule="auto"/>
              <w:jc w:val="center"/>
              <w:rPr>
                <w:rFonts w:ascii="Arial" w:hAnsi="Arial" w:cs="Arial"/>
                <w:color w:val="000000"/>
                <w:sz w:val="20"/>
                <w:szCs w:val="20"/>
                <w:lang w:val="id-ID" w:eastAsia="en-US"/>
              </w:rPr>
            </w:pPr>
            <w:r w:rsidRPr="006177C0">
              <w:rPr>
                <w:rFonts w:ascii="Arial" w:hAnsi="Arial" w:cs="Arial"/>
                <w:color w:val="000000"/>
                <w:sz w:val="20"/>
                <w:szCs w:val="20"/>
                <w:lang w:val="id-ID" w:eastAsia="en-US"/>
              </w:rPr>
              <w:t>1.000000</w:t>
            </w:r>
          </w:p>
        </w:tc>
      </w:tr>
    </w:tbl>
    <w:p w:rsidR="00B4493A" w:rsidRPr="006177C0" w:rsidRDefault="00B4493A" w:rsidP="00B4493A">
      <w:pPr>
        <w:autoSpaceDE w:val="0"/>
        <w:autoSpaceDN w:val="0"/>
        <w:adjustRightInd w:val="0"/>
        <w:spacing w:line="360" w:lineRule="auto"/>
        <w:jc w:val="both"/>
        <w:rPr>
          <w:noProof/>
          <w:sz w:val="22"/>
          <w:szCs w:val="22"/>
          <w:lang w:val="id-ID"/>
        </w:rPr>
      </w:pPr>
      <w:r w:rsidRPr="006177C0">
        <w:rPr>
          <w:sz w:val="22"/>
          <w:szCs w:val="22"/>
          <w:lang w:val="id-ID"/>
        </w:rPr>
        <w:t xml:space="preserve">Sumber : </w:t>
      </w:r>
      <w:r w:rsidRPr="006177C0">
        <w:rPr>
          <w:noProof/>
          <w:sz w:val="22"/>
          <w:szCs w:val="22"/>
          <w:lang w:val="id-ID"/>
        </w:rPr>
        <w:t>Output Analisis Eviews 8, 2015</w:t>
      </w:r>
    </w:p>
    <w:p w:rsidR="00B4493A" w:rsidRDefault="00B4493A" w:rsidP="00B4493A">
      <w:pPr>
        <w:autoSpaceDE w:val="0"/>
        <w:autoSpaceDN w:val="0"/>
        <w:adjustRightInd w:val="0"/>
        <w:spacing w:line="360" w:lineRule="auto"/>
        <w:jc w:val="both"/>
        <w:rPr>
          <w:b/>
          <w:noProof/>
          <w:lang w:val="en-US"/>
        </w:rPr>
      </w:pPr>
    </w:p>
    <w:p w:rsidR="00D86A88" w:rsidRPr="00D86A88" w:rsidRDefault="00D86A88" w:rsidP="00B4493A">
      <w:pPr>
        <w:autoSpaceDE w:val="0"/>
        <w:autoSpaceDN w:val="0"/>
        <w:adjustRightInd w:val="0"/>
        <w:spacing w:line="360" w:lineRule="auto"/>
        <w:jc w:val="both"/>
        <w:rPr>
          <w:b/>
          <w:noProof/>
          <w:lang w:val="en-US"/>
        </w:rPr>
      </w:pPr>
    </w:p>
    <w:p w:rsidR="00B4493A" w:rsidRPr="006177C0" w:rsidRDefault="00B4493A" w:rsidP="00B4493A">
      <w:pPr>
        <w:autoSpaceDE w:val="0"/>
        <w:autoSpaceDN w:val="0"/>
        <w:adjustRightInd w:val="0"/>
        <w:spacing w:line="360" w:lineRule="auto"/>
        <w:jc w:val="both"/>
        <w:rPr>
          <w:b/>
          <w:noProof/>
          <w:lang w:val="id-ID"/>
        </w:rPr>
      </w:pPr>
      <w:r w:rsidRPr="006177C0">
        <w:rPr>
          <w:b/>
          <w:lang w:val="id-ID"/>
        </w:rPr>
        <w:lastRenderedPageBreak/>
        <w:t>Pemilihan Model Terbaik</w:t>
      </w:r>
    </w:p>
    <w:p w:rsidR="00B4493A" w:rsidRDefault="00B4493A" w:rsidP="006177C0">
      <w:pPr>
        <w:autoSpaceDE w:val="0"/>
        <w:autoSpaceDN w:val="0"/>
        <w:adjustRightInd w:val="0"/>
        <w:spacing w:line="360" w:lineRule="auto"/>
        <w:ind w:firstLine="720"/>
        <w:jc w:val="both"/>
        <w:rPr>
          <w:noProof/>
          <w:lang w:val="en-US"/>
        </w:rPr>
      </w:pPr>
      <w:r w:rsidRPr="006177C0">
        <w:rPr>
          <w:lang w:val="id-ID"/>
        </w:rPr>
        <w:t>Berdasarkan uji ARCH-LM diketahui bahwa model ARCH (2,0) masih terdapat ARCH Effect, hal ini menjelaskan bahwa model tidak baik. Berdasarkan koefisien R2 dan Adjusted R2 tertinggi adalah model GARCH (1,2). Berdasarkan nilai AIC dan SIC terendah adalah model GARCH (2,2). Model terbaik yang dipilih adalah GARCH (2,2) karena memiliki nilai</w:t>
      </w:r>
      <w:r w:rsidRPr="006177C0">
        <w:rPr>
          <w:noProof/>
          <w:lang w:val="id-ID"/>
        </w:rPr>
        <w:t xml:space="preserve"> Akaike Information Criterion (AIC), Schwarz Criterion (SC) terkecil. </w:t>
      </w:r>
    </w:p>
    <w:p w:rsidR="00D86A88" w:rsidRPr="00D86A88" w:rsidRDefault="00D86A88" w:rsidP="006177C0">
      <w:pPr>
        <w:autoSpaceDE w:val="0"/>
        <w:autoSpaceDN w:val="0"/>
        <w:adjustRightInd w:val="0"/>
        <w:spacing w:line="360" w:lineRule="auto"/>
        <w:ind w:firstLine="720"/>
        <w:jc w:val="both"/>
        <w:rPr>
          <w:b/>
          <w:noProof/>
          <w:lang w:val="en-US"/>
        </w:rPr>
      </w:pPr>
    </w:p>
    <w:p w:rsidR="00D86A88" w:rsidRPr="006177C0" w:rsidRDefault="00D86A88" w:rsidP="00D86A88">
      <w:pPr>
        <w:autoSpaceDE w:val="0"/>
        <w:autoSpaceDN w:val="0"/>
        <w:adjustRightInd w:val="0"/>
        <w:jc w:val="center"/>
        <w:rPr>
          <w:b/>
          <w:lang w:val="id-ID"/>
        </w:rPr>
      </w:pPr>
      <w:r w:rsidRPr="006177C0">
        <w:rPr>
          <w:b/>
          <w:lang w:val="id-ID"/>
        </w:rPr>
        <w:t xml:space="preserve">Tabel </w:t>
      </w:r>
      <w:r>
        <w:rPr>
          <w:b/>
          <w:lang w:val="en-US"/>
        </w:rPr>
        <w:t>3</w:t>
      </w:r>
      <w:r w:rsidRPr="006177C0">
        <w:rPr>
          <w:b/>
          <w:lang w:val="id-ID"/>
        </w:rPr>
        <w:t xml:space="preserve">. </w:t>
      </w:r>
      <w:proofErr w:type="spellStart"/>
      <w:r>
        <w:rPr>
          <w:b/>
          <w:lang w:val="en-US"/>
        </w:rPr>
        <w:t>Pemilihan</w:t>
      </w:r>
      <w:proofErr w:type="spellEnd"/>
      <w:r>
        <w:rPr>
          <w:b/>
          <w:lang w:val="en-US"/>
        </w:rPr>
        <w:t xml:space="preserve"> Model </w:t>
      </w:r>
      <w:proofErr w:type="spellStart"/>
      <w:r>
        <w:rPr>
          <w:b/>
          <w:lang w:val="en-US"/>
        </w:rPr>
        <w:t>Terbaik</w:t>
      </w:r>
      <w:proofErr w:type="spellEnd"/>
      <w:r w:rsidRPr="006177C0">
        <w:rPr>
          <w:b/>
          <w:lang w:val="id-ID"/>
        </w:rPr>
        <w:t xml:space="preserve"> </w:t>
      </w:r>
    </w:p>
    <w:p w:rsidR="003E6725" w:rsidRPr="006177C0" w:rsidRDefault="003E6725" w:rsidP="00B4493A">
      <w:pPr>
        <w:spacing w:line="360" w:lineRule="auto"/>
        <w:jc w:val="center"/>
        <w:rPr>
          <w:b/>
          <w:lang w:val="id-ID"/>
        </w:rPr>
      </w:pPr>
      <w:r w:rsidRPr="006177C0">
        <w:rPr>
          <w:lang w:val="id-ID"/>
        </w:rPr>
        <w:object w:dxaOrig="7569" w:dyaOrig="2324">
          <v:shape id="_x0000_i1034" type="#_x0000_t75" style="width:378.4pt;height:116.35pt" o:ole="">
            <v:imagedata r:id="rId11" o:title=""/>
          </v:shape>
          <o:OLEObject Type="Embed" ProgID="Excel.Sheet.12" ShapeID="_x0000_i1034" DrawAspect="Content" ObjectID="_1512207061" r:id="rId12"/>
        </w:object>
      </w:r>
    </w:p>
    <w:p w:rsidR="003E6725" w:rsidRPr="006177C0" w:rsidRDefault="003E6725" w:rsidP="0061241F">
      <w:pPr>
        <w:spacing w:line="360" w:lineRule="auto"/>
        <w:rPr>
          <w:b/>
          <w:lang w:val="id-ID"/>
        </w:rPr>
      </w:pP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Pengujian Hipotesis </w:t>
      </w:r>
    </w:p>
    <w:p w:rsidR="00D86A88" w:rsidRDefault="00B4493A" w:rsidP="006177C0">
      <w:pPr>
        <w:autoSpaceDE w:val="0"/>
        <w:autoSpaceDN w:val="0"/>
        <w:adjustRightInd w:val="0"/>
        <w:spacing w:line="360" w:lineRule="auto"/>
        <w:jc w:val="both"/>
        <w:rPr>
          <w:lang w:val="en-US"/>
        </w:rPr>
      </w:pPr>
      <w:r w:rsidRPr="006177C0">
        <w:rPr>
          <w:lang w:val="id-ID"/>
        </w:rPr>
        <w:t xml:space="preserve">Pengujian hipotesis menggunakan model terbaik untuk menjelaskan hubungan variable-variabel penelitian yaitu GARCH (2,2) dengan persamaan : </w:t>
      </w:r>
    </w:p>
    <w:p w:rsidR="00D86A88" w:rsidRDefault="00B4493A" w:rsidP="00D86A88">
      <w:pPr>
        <w:autoSpaceDE w:val="0"/>
        <w:autoSpaceDN w:val="0"/>
        <w:adjustRightInd w:val="0"/>
        <w:spacing w:line="360" w:lineRule="auto"/>
        <w:jc w:val="both"/>
        <w:rPr>
          <w:lang w:val="en-US"/>
        </w:rPr>
      </w:pPr>
      <w:r w:rsidRPr="006177C0">
        <w:rPr>
          <w:lang w:val="id-ID"/>
        </w:rPr>
        <w:t xml:space="preserve">DIHSG = </w:t>
      </w:r>
      <w:r w:rsidRPr="006177C0">
        <w:rPr>
          <w:color w:val="000000"/>
          <w:lang w:val="id-ID" w:eastAsia="en-US"/>
        </w:rPr>
        <w:t xml:space="preserve">- 2634,314 </w:t>
      </w:r>
      <w:r w:rsidRPr="006177C0">
        <w:rPr>
          <w:lang w:val="id-ID"/>
        </w:rPr>
        <w:t xml:space="preserve">+ </w:t>
      </w:r>
      <w:r w:rsidRPr="006177C0">
        <w:rPr>
          <w:color w:val="000000"/>
          <w:lang w:val="id-ID" w:eastAsia="en-US"/>
        </w:rPr>
        <w:t xml:space="preserve">0,080389 </w:t>
      </w:r>
      <w:r w:rsidRPr="006177C0">
        <w:rPr>
          <w:lang w:val="id-ID"/>
        </w:rPr>
        <w:t xml:space="preserve">DKURS + </w:t>
      </w:r>
      <w:r w:rsidRPr="006177C0">
        <w:rPr>
          <w:color w:val="000000"/>
          <w:lang w:val="id-ID" w:eastAsia="en-US"/>
        </w:rPr>
        <w:t xml:space="preserve">2,108656 </w:t>
      </w:r>
      <w:r w:rsidRPr="006177C0">
        <w:rPr>
          <w:lang w:val="id-ID"/>
        </w:rPr>
        <w:t xml:space="preserve">DEMAS </w:t>
      </w:r>
    </w:p>
    <w:p w:rsidR="00B4493A" w:rsidRPr="006177C0" w:rsidRDefault="00D86A88" w:rsidP="00D86A88">
      <w:pPr>
        <w:autoSpaceDE w:val="0"/>
        <w:autoSpaceDN w:val="0"/>
        <w:adjustRightInd w:val="0"/>
        <w:spacing w:line="360" w:lineRule="auto"/>
        <w:ind w:left="720"/>
        <w:jc w:val="both"/>
        <w:rPr>
          <w:lang w:val="id-ID"/>
        </w:rPr>
      </w:pPr>
      <w:r>
        <w:rPr>
          <w:lang w:val="en-US"/>
        </w:rPr>
        <w:t xml:space="preserve">     </w:t>
      </w:r>
      <w:r w:rsidR="00B4493A" w:rsidRPr="006177C0">
        <w:rPr>
          <w:lang w:val="id-ID"/>
        </w:rPr>
        <w:t xml:space="preserve">+ </w:t>
      </w:r>
      <w:r w:rsidR="00B4493A" w:rsidRPr="006177C0">
        <w:rPr>
          <w:color w:val="000000"/>
          <w:lang w:val="id-ID" w:eastAsia="en-US"/>
        </w:rPr>
        <w:t xml:space="preserve">4,245422 </w:t>
      </w:r>
      <w:r w:rsidR="00B4493A" w:rsidRPr="006177C0">
        <w:rPr>
          <w:lang w:val="id-ID"/>
        </w:rPr>
        <w:t xml:space="preserve">DMINYAK + </w:t>
      </w:r>
      <w:r w:rsidR="00B4493A" w:rsidRPr="006177C0">
        <w:rPr>
          <w:color w:val="000000"/>
          <w:lang w:val="id-ID" w:eastAsia="en-US"/>
        </w:rPr>
        <w:t xml:space="preserve">0,178912 </w:t>
      </w:r>
      <w:r w:rsidR="00B4493A" w:rsidRPr="006177C0">
        <w:rPr>
          <w:lang w:val="id-ID"/>
        </w:rPr>
        <w:t xml:space="preserve">DDJIA </w:t>
      </w:r>
    </w:p>
    <w:p w:rsidR="00B4493A" w:rsidRPr="006177C0" w:rsidRDefault="00D86A88" w:rsidP="006177C0">
      <w:pPr>
        <w:autoSpaceDE w:val="0"/>
        <w:autoSpaceDN w:val="0"/>
        <w:adjustRightInd w:val="0"/>
        <w:spacing w:line="360" w:lineRule="auto"/>
        <w:ind w:left="720"/>
        <w:jc w:val="both"/>
        <w:rPr>
          <w:b/>
          <w:bCs/>
          <w:lang w:val="id-ID"/>
        </w:rPr>
      </w:pPr>
      <w:r>
        <w:rPr>
          <w:lang w:val="id-ID"/>
        </w:rPr>
        <w:t xml:space="preserve">    </w:t>
      </w:r>
      <w:r>
        <w:rPr>
          <w:lang w:val="en-US"/>
        </w:rPr>
        <w:t xml:space="preserve"> </w:t>
      </w:r>
      <w:r w:rsidR="00B4493A" w:rsidRPr="006177C0">
        <w:rPr>
          <w:lang w:val="id-ID"/>
        </w:rPr>
        <w:t xml:space="preserve">– </w:t>
      </w:r>
      <w:r w:rsidR="00B4493A" w:rsidRPr="006177C0">
        <w:rPr>
          <w:color w:val="000000"/>
          <w:lang w:val="id-ID" w:eastAsia="en-US"/>
        </w:rPr>
        <w:t xml:space="preserve">0,011863 </w:t>
      </w:r>
      <w:r w:rsidR="00B4493A" w:rsidRPr="006177C0">
        <w:rPr>
          <w:lang w:val="id-ID"/>
        </w:rPr>
        <w:t xml:space="preserve">DNIKKEI – </w:t>
      </w:r>
      <w:r w:rsidR="00B4493A" w:rsidRPr="006177C0">
        <w:rPr>
          <w:color w:val="000000"/>
          <w:lang w:val="id-ID" w:eastAsia="en-US"/>
        </w:rPr>
        <w:t xml:space="preserve">1,21E-05 </w:t>
      </w:r>
      <w:r w:rsidR="00B4493A" w:rsidRPr="006177C0">
        <w:rPr>
          <w:lang w:val="id-ID"/>
        </w:rPr>
        <w:t xml:space="preserve">FNP </w:t>
      </w:r>
    </w:p>
    <w:p w:rsidR="00B4493A" w:rsidRPr="006177C0" w:rsidRDefault="00B4493A" w:rsidP="006177C0">
      <w:pPr>
        <w:autoSpaceDE w:val="0"/>
        <w:autoSpaceDN w:val="0"/>
        <w:adjustRightInd w:val="0"/>
        <w:spacing w:line="360" w:lineRule="auto"/>
        <w:jc w:val="both"/>
        <w:rPr>
          <w:lang w:val="id-ID"/>
        </w:rPr>
      </w:pPr>
      <w:r w:rsidRPr="006177C0">
        <w:rPr>
          <w:color w:val="000000"/>
          <w:lang w:val="id-ID"/>
        </w:rPr>
        <w:t>Dengan varians atau var (ε</w:t>
      </w:r>
      <w:r w:rsidRPr="006177C0">
        <w:rPr>
          <w:lang w:val="id-ID"/>
        </w:rPr>
        <w:t>²</w:t>
      </w:r>
      <w:r w:rsidRPr="006177C0">
        <w:rPr>
          <w:color w:val="000000"/>
          <w:lang w:val="id-ID"/>
        </w:rPr>
        <w:t xml:space="preserve">t ) : </w:t>
      </w:r>
      <w:r w:rsidRPr="006177C0">
        <w:rPr>
          <w:lang w:val="id-ID"/>
        </w:rPr>
        <w:t>σ²</w:t>
      </w:r>
      <w:r w:rsidRPr="006177C0">
        <w:rPr>
          <w:vertAlign w:val="subscript"/>
          <w:lang w:val="id-ID"/>
        </w:rPr>
        <w:t>t</w:t>
      </w:r>
      <w:r w:rsidRPr="006177C0">
        <w:rPr>
          <w:lang w:val="id-ID"/>
        </w:rPr>
        <w:t xml:space="preserve"> = </w:t>
      </w:r>
      <w:r w:rsidRPr="006177C0">
        <w:rPr>
          <w:color w:val="000000"/>
          <w:lang w:val="id-ID" w:eastAsia="en-US"/>
        </w:rPr>
        <w:t xml:space="preserve">39503,57 </w:t>
      </w:r>
      <w:r w:rsidRPr="006177C0">
        <w:rPr>
          <w:lang w:val="id-ID"/>
        </w:rPr>
        <w:t xml:space="preserve">+ </w:t>
      </w:r>
      <w:r w:rsidRPr="006177C0">
        <w:rPr>
          <w:color w:val="000000"/>
          <w:lang w:val="id-ID" w:eastAsia="en-US"/>
        </w:rPr>
        <w:t xml:space="preserve">1,009588 </w:t>
      </w:r>
      <w:r w:rsidRPr="006177C0">
        <w:rPr>
          <w:lang w:val="id-ID"/>
        </w:rPr>
        <w:t>ε²</w:t>
      </w:r>
      <w:r w:rsidRPr="006177C0">
        <w:rPr>
          <w:vertAlign w:val="subscript"/>
          <w:lang w:val="id-ID"/>
        </w:rPr>
        <w:t>t-1</w:t>
      </w:r>
      <w:r w:rsidRPr="006177C0">
        <w:rPr>
          <w:lang w:val="id-ID"/>
        </w:rPr>
        <w:t xml:space="preserve"> + </w:t>
      </w:r>
      <w:r w:rsidRPr="006177C0">
        <w:rPr>
          <w:color w:val="000000"/>
          <w:lang w:val="id-ID" w:eastAsia="en-US"/>
        </w:rPr>
        <w:t xml:space="preserve">0,977050 </w:t>
      </w:r>
      <w:r w:rsidRPr="006177C0">
        <w:rPr>
          <w:lang w:val="id-ID"/>
        </w:rPr>
        <w:t>ε²</w:t>
      </w:r>
      <w:r w:rsidRPr="006177C0">
        <w:rPr>
          <w:vertAlign w:val="subscript"/>
          <w:lang w:val="id-ID"/>
        </w:rPr>
        <w:t>t-2</w:t>
      </w:r>
      <w:r w:rsidRPr="006177C0">
        <w:rPr>
          <w:lang w:val="id-ID"/>
        </w:rPr>
        <w:t xml:space="preserve"> </w:t>
      </w:r>
    </w:p>
    <w:p w:rsidR="00B4493A" w:rsidRPr="006177C0" w:rsidRDefault="00B4493A" w:rsidP="006177C0">
      <w:pPr>
        <w:pStyle w:val="ListParagraph"/>
        <w:autoSpaceDE w:val="0"/>
        <w:autoSpaceDN w:val="0"/>
        <w:adjustRightInd w:val="0"/>
        <w:spacing w:line="360" w:lineRule="auto"/>
        <w:ind w:left="3690"/>
        <w:jc w:val="both"/>
        <w:rPr>
          <w:vertAlign w:val="subscript"/>
          <w:lang w:val="id-ID"/>
        </w:rPr>
      </w:pPr>
      <w:r w:rsidRPr="006177C0">
        <w:rPr>
          <w:color w:val="000000"/>
          <w:lang w:val="id-ID" w:eastAsia="en-US"/>
        </w:rPr>
        <w:t xml:space="preserve">- 0.994013 </w:t>
      </w:r>
      <w:r w:rsidRPr="006177C0">
        <w:rPr>
          <w:lang w:val="id-ID"/>
        </w:rPr>
        <w:t>σ²</w:t>
      </w:r>
      <w:r w:rsidRPr="006177C0">
        <w:rPr>
          <w:vertAlign w:val="subscript"/>
          <w:lang w:val="id-ID"/>
        </w:rPr>
        <w:t xml:space="preserve"> t-1</w:t>
      </w:r>
      <w:r w:rsidRPr="006177C0">
        <w:rPr>
          <w:lang w:val="id-ID"/>
        </w:rPr>
        <w:t xml:space="preserve"> + </w:t>
      </w:r>
      <w:r w:rsidRPr="006177C0">
        <w:rPr>
          <w:color w:val="000000"/>
          <w:lang w:val="id-ID" w:eastAsia="en-US"/>
        </w:rPr>
        <w:t>0.001673</w:t>
      </w:r>
      <w:r w:rsidRPr="006177C0">
        <w:rPr>
          <w:lang w:val="id-ID"/>
        </w:rPr>
        <w:t>σ²</w:t>
      </w:r>
      <w:r w:rsidRPr="006177C0">
        <w:rPr>
          <w:vertAlign w:val="subscript"/>
          <w:lang w:val="id-ID"/>
        </w:rPr>
        <w:t xml:space="preserve"> t-2</w:t>
      </w:r>
    </w:p>
    <w:p w:rsidR="00B4493A" w:rsidRPr="006177C0" w:rsidRDefault="00B4493A" w:rsidP="0061241F">
      <w:pPr>
        <w:spacing w:line="360" w:lineRule="auto"/>
        <w:rPr>
          <w:b/>
          <w:lang w:val="id-ID"/>
        </w:rPr>
      </w:pPr>
    </w:p>
    <w:p w:rsidR="00B4493A" w:rsidRPr="006177C0" w:rsidRDefault="00B4493A" w:rsidP="00B4493A">
      <w:pPr>
        <w:autoSpaceDE w:val="0"/>
        <w:autoSpaceDN w:val="0"/>
        <w:adjustRightInd w:val="0"/>
        <w:jc w:val="center"/>
        <w:rPr>
          <w:b/>
          <w:lang w:val="id-ID"/>
        </w:rPr>
      </w:pPr>
      <w:r w:rsidRPr="006177C0">
        <w:rPr>
          <w:b/>
          <w:lang w:val="id-ID"/>
        </w:rPr>
        <w:t>Tabel 4. Hasil Uji Hipotesis</w:t>
      </w:r>
    </w:p>
    <w:tbl>
      <w:tblPr>
        <w:tblStyle w:val="TableGrid"/>
        <w:tblW w:w="8188" w:type="dxa"/>
        <w:tblLayout w:type="fixed"/>
        <w:tblLook w:val="04A0"/>
      </w:tblPr>
      <w:tblGrid>
        <w:gridCol w:w="2093"/>
        <w:gridCol w:w="895"/>
        <w:gridCol w:w="1373"/>
        <w:gridCol w:w="1134"/>
        <w:gridCol w:w="1276"/>
        <w:gridCol w:w="1417"/>
      </w:tblGrid>
      <w:tr w:rsidR="00B4493A" w:rsidRPr="006177C0" w:rsidTr="00B4493A">
        <w:trPr>
          <w:trHeight w:val="359"/>
        </w:trPr>
        <w:tc>
          <w:tcPr>
            <w:tcW w:w="2093" w:type="dxa"/>
            <w:vMerge w:val="restart"/>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Hipotesis</w:t>
            </w:r>
          </w:p>
        </w:tc>
        <w:tc>
          <w:tcPr>
            <w:tcW w:w="2268" w:type="dxa"/>
            <w:gridSpan w:val="2"/>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Hasil Estimasi</w:t>
            </w:r>
          </w:p>
        </w:tc>
        <w:tc>
          <w:tcPr>
            <w:tcW w:w="2410" w:type="dxa"/>
            <w:gridSpan w:val="2"/>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Interpretasi</w:t>
            </w:r>
          </w:p>
        </w:tc>
        <w:tc>
          <w:tcPr>
            <w:tcW w:w="1417" w:type="dxa"/>
            <w:vMerge w:val="restart"/>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Kesimpulan</w:t>
            </w:r>
          </w:p>
        </w:tc>
      </w:tr>
      <w:tr w:rsidR="00B4493A" w:rsidRPr="006177C0" w:rsidTr="00B4493A">
        <w:trPr>
          <w:trHeight w:val="359"/>
        </w:trPr>
        <w:tc>
          <w:tcPr>
            <w:tcW w:w="2093" w:type="dxa"/>
            <w:vMerge/>
            <w:vAlign w:val="center"/>
          </w:tcPr>
          <w:p w:rsidR="00B4493A" w:rsidRPr="006177C0" w:rsidRDefault="00B4493A" w:rsidP="00B4493A">
            <w:pPr>
              <w:autoSpaceDE w:val="0"/>
              <w:autoSpaceDN w:val="0"/>
              <w:adjustRightInd w:val="0"/>
              <w:jc w:val="center"/>
              <w:rPr>
                <w:b/>
                <w:sz w:val="22"/>
                <w:szCs w:val="22"/>
                <w:lang w:val="id-ID"/>
              </w:rPr>
            </w:pPr>
          </w:p>
        </w:tc>
        <w:tc>
          <w:tcPr>
            <w:tcW w:w="895" w:type="dxa"/>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Sig</w:t>
            </w:r>
          </w:p>
        </w:tc>
        <w:tc>
          <w:tcPr>
            <w:tcW w:w="1373" w:type="dxa"/>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Koef</w:t>
            </w:r>
          </w:p>
        </w:tc>
        <w:tc>
          <w:tcPr>
            <w:tcW w:w="1134" w:type="dxa"/>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Sig</w:t>
            </w:r>
          </w:p>
        </w:tc>
        <w:tc>
          <w:tcPr>
            <w:tcW w:w="1276" w:type="dxa"/>
            <w:vAlign w:val="center"/>
          </w:tcPr>
          <w:p w:rsidR="00B4493A" w:rsidRPr="006177C0" w:rsidRDefault="00B4493A" w:rsidP="00B4493A">
            <w:pPr>
              <w:autoSpaceDE w:val="0"/>
              <w:autoSpaceDN w:val="0"/>
              <w:adjustRightInd w:val="0"/>
              <w:jc w:val="center"/>
              <w:rPr>
                <w:b/>
                <w:sz w:val="22"/>
                <w:szCs w:val="22"/>
                <w:lang w:val="id-ID"/>
              </w:rPr>
            </w:pPr>
            <w:r w:rsidRPr="006177C0">
              <w:rPr>
                <w:b/>
                <w:sz w:val="22"/>
                <w:szCs w:val="22"/>
                <w:lang w:val="id-ID"/>
              </w:rPr>
              <w:t>Koef</w:t>
            </w:r>
          </w:p>
        </w:tc>
        <w:tc>
          <w:tcPr>
            <w:tcW w:w="1417" w:type="dxa"/>
            <w:vMerge/>
            <w:vAlign w:val="center"/>
          </w:tcPr>
          <w:p w:rsidR="00B4493A" w:rsidRPr="006177C0" w:rsidRDefault="00B4493A" w:rsidP="00B4493A">
            <w:pPr>
              <w:autoSpaceDE w:val="0"/>
              <w:autoSpaceDN w:val="0"/>
              <w:adjustRightInd w:val="0"/>
              <w:jc w:val="center"/>
              <w:rPr>
                <w:b/>
                <w:sz w:val="22"/>
                <w:szCs w:val="22"/>
                <w:lang w:val="id-ID"/>
              </w:rPr>
            </w:pPr>
          </w:p>
        </w:tc>
      </w:tr>
      <w:tr w:rsidR="00B4493A" w:rsidRPr="006177C0" w:rsidTr="00B4493A">
        <w:tc>
          <w:tcPr>
            <w:tcW w:w="2093" w:type="dxa"/>
          </w:tcPr>
          <w:p w:rsidR="00B4493A" w:rsidRPr="006177C0" w:rsidRDefault="00B4493A" w:rsidP="00B4493A">
            <w:pPr>
              <w:autoSpaceDE w:val="0"/>
              <w:autoSpaceDN w:val="0"/>
              <w:adjustRightInd w:val="0"/>
              <w:rPr>
                <w:b/>
                <w:sz w:val="22"/>
                <w:szCs w:val="22"/>
                <w:lang w:val="id-ID"/>
              </w:rPr>
            </w:pPr>
            <w:r w:rsidRPr="006177C0">
              <w:rPr>
                <w:color w:val="000000" w:themeColor="text1"/>
                <w:sz w:val="22"/>
                <w:szCs w:val="22"/>
                <w:lang w:val="id-ID"/>
              </w:rPr>
              <w:t>Kurs USD/ Rupiah berpengaruh negatif</w:t>
            </w:r>
          </w:p>
        </w:tc>
        <w:tc>
          <w:tcPr>
            <w:tcW w:w="895"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0,0000</w:t>
            </w:r>
          </w:p>
        </w:tc>
        <w:tc>
          <w:tcPr>
            <w:tcW w:w="1373" w:type="dxa"/>
            <w:vAlign w:val="center"/>
          </w:tcPr>
          <w:p w:rsidR="00B4493A" w:rsidRPr="006177C0" w:rsidRDefault="00B4493A" w:rsidP="00B4493A">
            <w:pPr>
              <w:autoSpaceDE w:val="0"/>
              <w:autoSpaceDN w:val="0"/>
              <w:adjustRightInd w:val="0"/>
              <w:jc w:val="right"/>
              <w:rPr>
                <w:b/>
                <w:sz w:val="22"/>
                <w:szCs w:val="22"/>
                <w:lang w:val="id-ID"/>
              </w:rPr>
            </w:pPr>
            <w:r w:rsidRPr="006177C0">
              <w:rPr>
                <w:color w:val="000000" w:themeColor="text1"/>
                <w:sz w:val="22"/>
                <w:szCs w:val="22"/>
                <w:lang w:val="id-ID"/>
              </w:rPr>
              <w:t xml:space="preserve">+ </w:t>
            </w:r>
            <w:r w:rsidRPr="006177C0">
              <w:rPr>
                <w:color w:val="000000"/>
                <w:sz w:val="22"/>
                <w:szCs w:val="22"/>
                <w:lang w:val="id-ID" w:eastAsia="en-US"/>
              </w:rPr>
              <w:t>0,080389</w:t>
            </w:r>
          </w:p>
        </w:tc>
        <w:tc>
          <w:tcPr>
            <w:tcW w:w="1134"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signifikan</w:t>
            </w:r>
          </w:p>
        </w:tc>
        <w:tc>
          <w:tcPr>
            <w:tcW w:w="1276"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positif</w:t>
            </w:r>
          </w:p>
        </w:tc>
        <w:tc>
          <w:tcPr>
            <w:tcW w:w="1417" w:type="dxa"/>
            <w:vAlign w:val="center"/>
          </w:tcPr>
          <w:p w:rsidR="00B4493A" w:rsidRPr="006177C0" w:rsidRDefault="00B4493A" w:rsidP="00B4493A">
            <w:pPr>
              <w:autoSpaceDE w:val="0"/>
              <w:autoSpaceDN w:val="0"/>
              <w:adjustRightInd w:val="0"/>
              <w:jc w:val="center"/>
              <w:rPr>
                <w:sz w:val="22"/>
                <w:szCs w:val="22"/>
                <w:lang w:val="id-ID"/>
              </w:rPr>
            </w:pPr>
            <w:r w:rsidRPr="006177C0">
              <w:rPr>
                <w:sz w:val="22"/>
                <w:szCs w:val="22"/>
                <w:lang w:val="id-ID"/>
              </w:rPr>
              <w:t>ditolak</w:t>
            </w:r>
          </w:p>
        </w:tc>
      </w:tr>
      <w:tr w:rsidR="00B4493A" w:rsidRPr="006177C0" w:rsidTr="00B4493A">
        <w:tc>
          <w:tcPr>
            <w:tcW w:w="2093" w:type="dxa"/>
          </w:tcPr>
          <w:p w:rsidR="00B4493A" w:rsidRPr="006177C0" w:rsidRDefault="00B4493A" w:rsidP="00B4493A">
            <w:pPr>
              <w:autoSpaceDE w:val="0"/>
              <w:autoSpaceDN w:val="0"/>
              <w:adjustRightInd w:val="0"/>
              <w:rPr>
                <w:b/>
                <w:sz w:val="22"/>
                <w:szCs w:val="22"/>
                <w:lang w:val="id-ID"/>
              </w:rPr>
            </w:pPr>
            <w:r w:rsidRPr="006177C0">
              <w:rPr>
                <w:noProof/>
                <w:sz w:val="22"/>
                <w:szCs w:val="22"/>
                <w:lang w:val="id-ID"/>
              </w:rPr>
              <w:t>Harga Emas Dunia berpengaruh negatif</w:t>
            </w:r>
          </w:p>
        </w:tc>
        <w:tc>
          <w:tcPr>
            <w:tcW w:w="895"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0,0000</w:t>
            </w:r>
          </w:p>
        </w:tc>
        <w:tc>
          <w:tcPr>
            <w:tcW w:w="1373"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 xml:space="preserve">+ </w:t>
            </w:r>
            <w:r w:rsidRPr="006177C0">
              <w:rPr>
                <w:color w:val="000000"/>
                <w:sz w:val="22"/>
                <w:szCs w:val="22"/>
                <w:lang w:val="id-ID" w:eastAsia="en-US"/>
              </w:rPr>
              <w:t>2,108656</w:t>
            </w:r>
          </w:p>
        </w:tc>
        <w:tc>
          <w:tcPr>
            <w:tcW w:w="1134" w:type="dxa"/>
            <w:vAlign w:val="center"/>
          </w:tcPr>
          <w:p w:rsidR="00B4493A" w:rsidRPr="006177C0" w:rsidRDefault="00B4493A" w:rsidP="00B4493A">
            <w:pPr>
              <w:jc w:val="center"/>
              <w:rPr>
                <w:sz w:val="22"/>
                <w:szCs w:val="22"/>
                <w:lang w:val="id-ID"/>
              </w:rPr>
            </w:pPr>
            <w:r w:rsidRPr="006177C0">
              <w:rPr>
                <w:color w:val="000000" w:themeColor="text1"/>
                <w:sz w:val="22"/>
                <w:szCs w:val="22"/>
                <w:lang w:val="id-ID"/>
              </w:rPr>
              <w:t>signifikan</w:t>
            </w:r>
          </w:p>
        </w:tc>
        <w:tc>
          <w:tcPr>
            <w:tcW w:w="1276"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positif</w:t>
            </w:r>
          </w:p>
        </w:tc>
        <w:tc>
          <w:tcPr>
            <w:tcW w:w="1417" w:type="dxa"/>
            <w:vAlign w:val="center"/>
          </w:tcPr>
          <w:p w:rsidR="00B4493A" w:rsidRPr="006177C0" w:rsidRDefault="00B4493A" w:rsidP="00B4493A">
            <w:pPr>
              <w:autoSpaceDE w:val="0"/>
              <w:autoSpaceDN w:val="0"/>
              <w:adjustRightInd w:val="0"/>
              <w:jc w:val="center"/>
              <w:rPr>
                <w:b/>
                <w:sz w:val="22"/>
                <w:szCs w:val="22"/>
                <w:lang w:val="id-ID"/>
              </w:rPr>
            </w:pPr>
            <w:r w:rsidRPr="006177C0">
              <w:rPr>
                <w:sz w:val="22"/>
                <w:szCs w:val="22"/>
                <w:lang w:val="id-ID"/>
              </w:rPr>
              <w:t>ditolak</w:t>
            </w:r>
          </w:p>
        </w:tc>
      </w:tr>
      <w:tr w:rsidR="00B4493A" w:rsidRPr="006177C0" w:rsidTr="00B4493A">
        <w:tc>
          <w:tcPr>
            <w:tcW w:w="2093" w:type="dxa"/>
          </w:tcPr>
          <w:p w:rsidR="00B4493A" w:rsidRPr="006177C0" w:rsidRDefault="00B4493A" w:rsidP="00B4493A">
            <w:pPr>
              <w:autoSpaceDE w:val="0"/>
              <w:autoSpaceDN w:val="0"/>
              <w:adjustRightInd w:val="0"/>
              <w:rPr>
                <w:b/>
                <w:sz w:val="22"/>
                <w:szCs w:val="22"/>
                <w:lang w:val="id-ID"/>
              </w:rPr>
            </w:pPr>
            <w:r w:rsidRPr="006177C0">
              <w:rPr>
                <w:noProof/>
                <w:sz w:val="22"/>
                <w:szCs w:val="22"/>
                <w:lang w:val="id-ID"/>
              </w:rPr>
              <w:t xml:space="preserve">Harga Minyak Dunia berpengaruh </w:t>
            </w:r>
            <w:r w:rsidRPr="006177C0">
              <w:rPr>
                <w:sz w:val="22"/>
                <w:szCs w:val="22"/>
                <w:lang w:val="id-ID"/>
              </w:rPr>
              <w:t>positif</w:t>
            </w:r>
          </w:p>
        </w:tc>
        <w:tc>
          <w:tcPr>
            <w:tcW w:w="895"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0,0000</w:t>
            </w:r>
          </w:p>
        </w:tc>
        <w:tc>
          <w:tcPr>
            <w:tcW w:w="1373"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 xml:space="preserve">+ </w:t>
            </w:r>
            <w:r w:rsidRPr="006177C0">
              <w:rPr>
                <w:color w:val="000000"/>
                <w:sz w:val="22"/>
                <w:szCs w:val="22"/>
                <w:lang w:val="id-ID" w:eastAsia="en-US"/>
              </w:rPr>
              <w:t>4,245422</w:t>
            </w:r>
          </w:p>
        </w:tc>
        <w:tc>
          <w:tcPr>
            <w:tcW w:w="1134" w:type="dxa"/>
            <w:vAlign w:val="center"/>
          </w:tcPr>
          <w:p w:rsidR="00B4493A" w:rsidRPr="006177C0" w:rsidRDefault="00B4493A" w:rsidP="00B4493A">
            <w:pPr>
              <w:jc w:val="center"/>
              <w:rPr>
                <w:sz w:val="22"/>
                <w:szCs w:val="22"/>
                <w:lang w:val="id-ID"/>
              </w:rPr>
            </w:pPr>
            <w:r w:rsidRPr="006177C0">
              <w:rPr>
                <w:color w:val="000000" w:themeColor="text1"/>
                <w:sz w:val="22"/>
                <w:szCs w:val="22"/>
                <w:lang w:val="id-ID"/>
              </w:rPr>
              <w:t>signifikan</w:t>
            </w:r>
          </w:p>
        </w:tc>
        <w:tc>
          <w:tcPr>
            <w:tcW w:w="1276"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positif</w:t>
            </w:r>
          </w:p>
        </w:tc>
        <w:tc>
          <w:tcPr>
            <w:tcW w:w="1417" w:type="dxa"/>
            <w:vAlign w:val="center"/>
          </w:tcPr>
          <w:p w:rsidR="00B4493A" w:rsidRPr="006177C0" w:rsidRDefault="00B4493A" w:rsidP="00B4493A">
            <w:pPr>
              <w:autoSpaceDE w:val="0"/>
              <w:autoSpaceDN w:val="0"/>
              <w:adjustRightInd w:val="0"/>
              <w:jc w:val="center"/>
              <w:rPr>
                <w:b/>
                <w:sz w:val="22"/>
                <w:szCs w:val="22"/>
                <w:lang w:val="id-ID"/>
              </w:rPr>
            </w:pPr>
            <w:r w:rsidRPr="006177C0">
              <w:rPr>
                <w:sz w:val="22"/>
                <w:szCs w:val="22"/>
                <w:lang w:val="id-ID"/>
              </w:rPr>
              <w:t>diterima</w:t>
            </w:r>
          </w:p>
        </w:tc>
      </w:tr>
      <w:tr w:rsidR="00B4493A" w:rsidRPr="006177C0" w:rsidTr="00B4493A">
        <w:tc>
          <w:tcPr>
            <w:tcW w:w="2093" w:type="dxa"/>
          </w:tcPr>
          <w:p w:rsidR="00B4493A" w:rsidRPr="006177C0" w:rsidRDefault="00B4493A" w:rsidP="00B4493A">
            <w:pPr>
              <w:autoSpaceDE w:val="0"/>
              <w:autoSpaceDN w:val="0"/>
              <w:adjustRightInd w:val="0"/>
              <w:rPr>
                <w:noProof/>
                <w:sz w:val="22"/>
                <w:szCs w:val="22"/>
                <w:lang w:val="id-ID"/>
              </w:rPr>
            </w:pPr>
            <w:r w:rsidRPr="006177C0">
              <w:rPr>
                <w:noProof/>
                <w:sz w:val="22"/>
                <w:szCs w:val="22"/>
                <w:lang w:val="id-ID"/>
              </w:rPr>
              <w:t xml:space="preserve">Indeks Dow Jones </w:t>
            </w:r>
            <w:r w:rsidRPr="006177C0">
              <w:rPr>
                <w:sz w:val="22"/>
                <w:szCs w:val="22"/>
                <w:lang w:val="id-ID"/>
              </w:rPr>
              <w:t>berpengaruh positif</w:t>
            </w:r>
          </w:p>
        </w:tc>
        <w:tc>
          <w:tcPr>
            <w:tcW w:w="895"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0,0000</w:t>
            </w:r>
          </w:p>
        </w:tc>
        <w:tc>
          <w:tcPr>
            <w:tcW w:w="1373"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 xml:space="preserve">+ </w:t>
            </w:r>
            <w:r w:rsidRPr="006177C0">
              <w:rPr>
                <w:color w:val="000000"/>
                <w:sz w:val="22"/>
                <w:szCs w:val="22"/>
                <w:lang w:val="id-ID" w:eastAsia="en-US"/>
              </w:rPr>
              <w:t>0,178912</w:t>
            </w:r>
          </w:p>
        </w:tc>
        <w:tc>
          <w:tcPr>
            <w:tcW w:w="1134" w:type="dxa"/>
            <w:vAlign w:val="center"/>
          </w:tcPr>
          <w:p w:rsidR="00B4493A" w:rsidRPr="006177C0" w:rsidRDefault="00B4493A" w:rsidP="00B4493A">
            <w:pPr>
              <w:jc w:val="center"/>
              <w:rPr>
                <w:sz w:val="22"/>
                <w:szCs w:val="22"/>
                <w:lang w:val="id-ID"/>
              </w:rPr>
            </w:pPr>
            <w:r w:rsidRPr="006177C0">
              <w:rPr>
                <w:color w:val="000000" w:themeColor="text1"/>
                <w:sz w:val="22"/>
                <w:szCs w:val="22"/>
                <w:lang w:val="id-ID"/>
              </w:rPr>
              <w:t>signifikan</w:t>
            </w:r>
          </w:p>
        </w:tc>
        <w:tc>
          <w:tcPr>
            <w:tcW w:w="1276"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positif</w:t>
            </w:r>
          </w:p>
        </w:tc>
        <w:tc>
          <w:tcPr>
            <w:tcW w:w="1417" w:type="dxa"/>
            <w:vAlign w:val="center"/>
          </w:tcPr>
          <w:p w:rsidR="00B4493A" w:rsidRPr="006177C0" w:rsidRDefault="00B4493A" w:rsidP="00B4493A">
            <w:pPr>
              <w:autoSpaceDE w:val="0"/>
              <w:autoSpaceDN w:val="0"/>
              <w:adjustRightInd w:val="0"/>
              <w:jc w:val="center"/>
              <w:rPr>
                <w:b/>
                <w:sz w:val="22"/>
                <w:szCs w:val="22"/>
                <w:lang w:val="id-ID"/>
              </w:rPr>
            </w:pPr>
            <w:r w:rsidRPr="006177C0">
              <w:rPr>
                <w:sz w:val="22"/>
                <w:szCs w:val="22"/>
                <w:lang w:val="id-ID"/>
              </w:rPr>
              <w:t>diterima</w:t>
            </w:r>
          </w:p>
        </w:tc>
      </w:tr>
      <w:tr w:rsidR="00B4493A" w:rsidRPr="006177C0" w:rsidTr="00B4493A">
        <w:tc>
          <w:tcPr>
            <w:tcW w:w="2093" w:type="dxa"/>
          </w:tcPr>
          <w:p w:rsidR="00B4493A" w:rsidRPr="006177C0" w:rsidRDefault="00B4493A" w:rsidP="00B4493A">
            <w:pPr>
              <w:autoSpaceDE w:val="0"/>
              <w:autoSpaceDN w:val="0"/>
              <w:adjustRightInd w:val="0"/>
              <w:rPr>
                <w:noProof/>
                <w:sz w:val="22"/>
                <w:szCs w:val="22"/>
                <w:lang w:val="id-ID"/>
              </w:rPr>
            </w:pPr>
            <w:r w:rsidRPr="006177C0">
              <w:rPr>
                <w:noProof/>
                <w:sz w:val="22"/>
                <w:szCs w:val="22"/>
                <w:lang w:val="id-ID"/>
              </w:rPr>
              <w:lastRenderedPageBreak/>
              <w:t xml:space="preserve">Indeks Nikkei 225 </w:t>
            </w:r>
            <w:r w:rsidRPr="006177C0">
              <w:rPr>
                <w:sz w:val="22"/>
                <w:szCs w:val="22"/>
                <w:lang w:val="id-ID"/>
              </w:rPr>
              <w:t>berpengaruh positif</w:t>
            </w:r>
          </w:p>
        </w:tc>
        <w:tc>
          <w:tcPr>
            <w:tcW w:w="895" w:type="dxa"/>
            <w:vAlign w:val="center"/>
          </w:tcPr>
          <w:p w:rsidR="00B4493A" w:rsidRPr="006177C0" w:rsidRDefault="00B4493A" w:rsidP="00B4493A">
            <w:pPr>
              <w:autoSpaceDE w:val="0"/>
              <w:autoSpaceDN w:val="0"/>
              <w:adjustRightInd w:val="0"/>
              <w:jc w:val="right"/>
              <w:rPr>
                <w:b/>
                <w:sz w:val="22"/>
                <w:szCs w:val="22"/>
                <w:lang w:val="id-ID"/>
              </w:rPr>
            </w:pPr>
            <w:r w:rsidRPr="006177C0">
              <w:rPr>
                <w:color w:val="000000"/>
                <w:sz w:val="22"/>
                <w:szCs w:val="22"/>
                <w:lang w:val="id-ID" w:eastAsia="en-US"/>
              </w:rPr>
              <w:t>0,0604</w:t>
            </w:r>
          </w:p>
        </w:tc>
        <w:tc>
          <w:tcPr>
            <w:tcW w:w="1373"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 xml:space="preserve">- </w:t>
            </w:r>
            <w:r w:rsidRPr="006177C0">
              <w:rPr>
                <w:color w:val="000000"/>
                <w:sz w:val="22"/>
                <w:szCs w:val="22"/>
                <w:lang w:val="id-ID" w:eastAsia="en-US"/>
              </w:rPr>
              <w:t>0,011863</w:t>
            </w:r>
          </w:p>
        </w:tc>
        <w:tc>
          <w:tcPr>
            <w:tcW w:w="1134" w:type="dxa"/>
            <w:vAlign w:val="center"/>
          </w:tcPr>
          <w:p w:rsidR="00B4493A" w:rsidRPr="006177C0" w:rsidRDefault="00B4493A" w:rsidP="00B4493A">
            <w:pPr>
              <w:jc w:val="center"/>
              <w:rPr>
                <w:sz w:val="22"/>
                <w:szCs w:val="22"/>
                <w:lang w:val="id-ID"/>
              </w:rPr>
            </w:pPr>
            <w:r w:rsidRPr="006177C0">
              <w:rPr>
                <w:color w:val="000000" w:themeColor="text1"/>
                <w:sz w:val="22"/>
                <w:szCs w:val="22"/>
                <w:lang w:val="id-ID"/>
              </w:rPr>
              <w:t>tidak signifikan</w:t>
            </w:r>
          </w:p>
        </w:tc>
        <w:tc>
          <w:tcPr>
            <w:tcW w:w="1276"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negatif</w:t>
            </w:r>
          </w:p>
        </w:tc>
        <w:tc>
          <w:tcPr>
            <w:tcW w:w="1417" w:type="dxa"/>
            <w:vAlign w:val="center"/>
          </w:tcPr>
          <w:p w:rsidR="00B4493A" w:rsidRPr="006177C0" w:rsidRDefault="00B4493A" w:rsidP="00B4493A">
            <w:pPr>
              <w:autoSpaceDE w:val="0"/>
              <w:autoSpaceDN w:val="0"/>
              <w:adjustRightInd w:val="0"/>
              <w:jc w:val="center"/>
              <w:rPr>
                <w:b/>
                <w:sz w:val="22"/>
                <w:szCs w:val="22"/>
                <w:lang w:val="id-ID"/>
              </w:rPr>
            </w:pPr>
            <w:r w:rsidRPr="006177C0">
              <w:rPr>
                <w:sz w:val="22"/>
                <w:szCs w:val="22"/>
                <w:lang w:val="id-ID"/>
              </w:rPr>
              <w:t>ditolak</w:t>
            </w:r>
          </w:p>
        </w:tc>
      </w:tr>
      <w:tr w:rsidR="00B4493A" w:rsidRPr="006177C0" w:rsidTr="00B4493A">
        <w:tc>
          <w:tcPr>
            <w:tcW w:w="2093" w:type="dxa"/>
          </w:tcPr>
          <w:p w:rsidR="00B4493A" w:rsidRPr="006177C0" w:rsidRDefault="00B4493A" w:rsidP="00B4493A">
            <w:pPr>
              <w:autoSpaceDE w:val="0"/>
              <w:autoSpaceDN w:val="0"/>
              <w:adjustRightInd w:val="0"/>
              <w:rPr>
                <w:noProof/>
                <w:sz w:val="22"/>
                <w:szCs w:val="22"/>
                <w:lang w:val="id-ID"/>
              </w:rPr>
            </w:pPr>
            <w:r w:rsidRPr="006177C0">
              <w:rPr>
                <w:sz w:val="22"/>
                <w:szCs w:val="22"/>
                <w:lang w:val="id-ID"/>
              </w:rPr>
              <w:t>Pembelian Bersih Asing berpengaruh positif</w:t>
            </w:r>
          </w:p>
        </w:tc>
        <w:tc>
          <w:tcPr>
            <w:tcW w:w="895"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0,0000</w:t>
            </w:r>
          </w:p>
        </w:tc>
        <w:tc>
          <w:tcPr>
            <w:tcW w:w="1373" w:type="dxa"/>
            <w:vAlign w:val="center"/>
          </w:tcPr>
          <w:p w:rsidR="00B4493A" w:rsidRPr="006177C0" w:rsidRDefault="00B4493A" w:rsidP="00B4493A">
            <w:pPr>
              <w:autoSpaceDE w:val="0"/>
              <w:autoSpaceDN w:val="0"/>
              <w:adjustRightInd w:val="0"/>
              <w:jc w:val="right"/>
              <w:rPr>
                <w:b/>
                <w:sz w:val="22"/>
                <w:szCs w:val="22"/>
                <w:lang w:val="id-ID"/>
              </w:rPr>
            </w:pPr>
            <w:r w:rsidRPr="006177C0">
              <w:rPr>
                <w:sz w:val="22"/>
                <w:szCs w:val="22"/>
                <w:lang w:val="id-ID"/>
              </w:rPr>
              <w:t>– 1,21 x 10</w:t>
            </w:r>
            <w:r w:rsidRPr="006177C0">
              <w:rPr>
                <w:sz w:val="22"/>
                <w:szCs w:val="22"/>
                <w:vertAlign w:val="superscript"/>
                <w:lang w:val="id-ID"/>
              </w:rPr>
              <w:t>-5</w:t>
            </w:r>
          </w:p>
        </w:tc>
        <w:tc>
          <w:tcPr>
            <w:tcW w:w="1134" w:type="dxa"/>
            <w:vAlign w:val="center"/>
          </w:tcPr>
          <w:p w:rsidR="00B4493A" w:rsidRPr="006177C0" w:rsidRDefault="00B4493A" w:rsidP="00B4493A">
            <w:pPr>
              <w:jc w:val="center"/>
              <w:rPr>
                <w:sz w:val="22"/>
                <w:szCs w:val="22"/>
                <w:lang w:val="id-ID"/>
              </w:rPr>
            </w:pPr>
            <w:r w:rsidRPr="006177C0">
              <w:rPr>
                <w:color w:val="000000" w:themeColor="text1"/>
                <w:sz w:val="22"/>
                <w:szCs w:val="22"/>
                <w:lang w:val="id-ID"/>
              </w:rPr>
              <w:t>signifikan</w:t>
            </w:r>
          </w:p>
        </w:tc>
        <w:tc>
          <w:tcPr>
            <w:tcW w:w="1276" w:type="dxa"/>
            <w:vAlign w:val="center"/>
          </w:tcPr>
          <w:p w:rsidR="00B4493A" w:rsidRPr="006177C0" w:rsidRDefault="00B4493A" w:rsidP="00B4493A">
            <w:pPr>
              <w:autoSpaceDE w:val="0"/>
              <w:autoSpaceDN w:val="0"/>
              <w:adjustRightInd w:val="0"/>
              <w:jc w:val="center"/>
              <w:rPr>
                <w:sz w:val="22"/>
                <w:szCs w:val="22"/>
                <w:lang w:val="id-ID"/>
              </w:rPr>
            </w:pPr>
            <w:r w:rsidRPr="006177C0">
              <w:rPr>
                <w:color w:val="000000" w:themeColor="text1"/>
                <w:sz w:val="22"/>
                <w:szCs w:val="22"/>
                <w:lang w:val="id-ID"/>
              </w:rPr>
              <w:t>negatif</w:t>
            </w:r>
          </w:p>
        </w:tc>
        <w:tc>
          <w:tcPr>
            <w:tcW w:w="1417" w:type="dxa"/>
            <w:vAlign w:val="center"/>
          </w:tcPr>
          <w:p w:rsidR="00B4493A" w:rsidRPr="006177C0" w:rsidRDefault="00B4493A" w:rsidP="00B4493A">
            <w:pPr>
              <w:autoSpaceDE w:val="0"/>
              <w:autoSpaceDN w:val="0"/>
              <w:adjustRightInd w:val="0"/>
              <w:jc w:val="center"/>
              <w:rPr>
                <w:b/>
                <w:sz w:val="22"/>
                <w:szCs w:val="22"/>
                <w:lang w:val="id-ID"/>
              </w:rPr>
            </w:pPr>
            <w:r w:rsidRPr="006177C0">
              <w:rPr>
                <w:sz w:val="22"/>
                <w:szCs w:val="22"/>
                <w:lang w:val="id-ID"/>
              </w:rPr>
              <w:t>ditolak</w:t>
            </w:r>
          </w:p>
        </w:tc>
      </w:tr>
    </w:tbl>
    <w:p w:rsidR="00B4493A" w:rsidRDefault="00B4493A" w:rsidP="00CD7A47">
      <w:pPr>
        <w:autoSpaceDE w:val="0"/>
        <w:autoSpaceDN w:val="0"/>
        <w:adjustRightInd w:val="0"/>
        <w:spacing w:line="360" w:lineRule="auto"/>
        <w:jc w:val="both"/>
        <w:rPr>
          <w:noProof/>
          <w:sz w:val="22"/>
          <w:szCs w:val="22"/>
          <w:lang w:val="en-US"/>
        </w:rPr>
      </w:pPr>
      <w:r w:rsidRPr="006177C0">
        <w:rPr>
          <w:i/>
          <w:noProof/>
          <w:sz w:val="22"/>
          <w:szCs w:val="22"/>
          <w:lang w:val="id-ID"/>
        </w:rPr>
        <w:t xml:space="preserve">  </w:t>
      </w:r>
      <w:r w:rsidRPr="006177C0">
        <w:rPr>
          <w:noProof/>
          <w:sz w:val="22"/>
          <w:szCs w:val="22"/>
          <w:lang w:val="id-ID"/>
        </w:rPr>
        <w:t>Sumber : Output Analisis Eviews 8, 2015</w:t>
      </w:r>
    </w:p>
    <w:p w:rsidR="00CD7A47" w:rsidRPr="00CD7A47" w:rsidRDefault="00CD7A47" w:rsidP="00CD7A47">
      <w:pPr>
        <w:autoSpaceDE w:val="0"/>
        <w:autoSpaceDN w:val="0"/>
        <w:adjustRightInd w:val="0"/>
        <w:spacing w:line="360" w:lineRule="auto"/>
        <w:jc w:val="both"/>
        <w:rPr>
          <w:b/>
          <w:lang w:val="en-US"/>
        </w:rPr>
      </w:pPr>
    </w:p>
    <w:p w:rsidR="00B4493A" w:rsidRPr="006177C0" w:rsidRDefault="00B4493A" w:rsidP="00CD7A47">
      <w:pPr>
        <w:autoSpaceDE w:val="0"/>
        <w:autoSpaceDN w:val="0"/>
        <w:adjustRightInd w:val="0"/>
        <w:spacing w:line="360" w:lineRule="auto"/>
        <w:jc w:val="both"/>
        <w:rPr>
          <w:b/>
          <w:lang w:val="id-ID"/>
        </w:rPr>
      </w:pPr>
      <w:r w:rsidRPr="006177C0">
        <w:rPr>
          <w:b/>
          <w:lang w:val="id-ID"/>
        </w:rPr>
        <w:t xml:space="preserve">Pembahasan Hipotesis </w:t>
      </w: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Pengaruh Kurs USD/ Rupiah terhadap IHSG </w:t>
      </w:r>
    </w:p>
    <w:p w:rsidR="00B4493A" w:rsidRPr="006177C0" w:rsidRDefault="00B4493A" w:rsidP="006177C0">
      <w:pPr>
        <w:autoSpaceDE w:val="0"/>
        <w:autoSpaceDN w:val="0"/>
        <w:adjustRightInd w:val="0"/>
        <w:spacing w:line="360" w:lineRule="auto"/>
        <w:ind w:firstLine="720"/>
        <w:jc w:val="both"/>
        <w:rPr>
          <w:color w:val="000000" w:themeColor="text1"/>
          <w:lang w:val="id-ID"/>
        </w:rPr>
      </w:pPr>
      <w:r w:rsidRPr="006177C0">
        <w:rPr>
          <w:color w:val="000000" w:themeColor="text1"/>
          <w:lang w:val="id-ID"/>
        </w:rPr>
        <w:t xml:space="preserve">Hipotesis yang menyatakan bahwa Kurs USD/ Rupiah berpengaruh negatif terhadap IHSG ditolak. Hasil penelitian menyebutkan bahwa Kurs USD/ Rupiah berpengaruh positif dan signifikan terhadap IHSG. Hasil penelitian menunjukkan semakin tinggi nilai tukar USD/ Rupiah (rupiah terdepresiasi) maka IHSG akan naik. Ketika rupiah mengalami depresiasi kemungkinan investor akan berusaha menukarkan mata uang asing ke dalam bentuk rupiah dan kemudian investor akan berinvestasi dalam bentuk saham. Dengan meningkatnya transaksi pada pasar modal, harga saham akan mengalami peningkatan sehingga menyebabkan peningkatan pada IHSG khususnya pada periode penelitian. </w:t>
      </w:r>
    </w:p>
    <w:p w:rsidR="00B4493A" w:rsidRPr="006177C0" w:rsidRDefault="00B4493A" w:rsidP="006177C0">
      <w:pPr>
        <w:autoSpaceDE w:val="0"/>
        <w:autoSpaceDN w:val="0"/>
        <w:adjustRightInd w:val="0"/>
        <w:spacing w:line="360" w:lineRule="auto"/>
        <w:jc w:val="both"/>
        <w:rPr>
          <w:b/>
          <w:lang w:val="id-ID"/>
        </w:rPr>
      </w:pP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Pengaruh Harga Emas Dunia terhadap IHSG </w:t>
      </w:r>
    </w:p>
    <w:p w:rsidR="00B4493A" w:rsidRPr="006177C0" w:rsidRDefault="00B4493A" w:rsidP="006177C0">
      <w:pPr>
        <w:autoSpaceDE w:val="0"/>
        <w:autoSpaceDN w:val="0"/>
        <w:adjustRightInd w:val="0"/>
        <w:spacing w:line="360" w:lineRule="auto"/>
        <w:ind w:firstLine="720"/>
        <w:jc w:val="both"/>
        <w:rPr>
          <w:sz w:val="22"/>
          <w:szCs w:val="22"/>
          <w:lang w:val="id-ID"/>
        </w:rPr>
      </w:pPr>
      <w:r w:rsidRPr="006177C0">
        <w:rPr>
          <w:lang w:val="id-ID"/>
        </w:rPr>
        <w:t xml:space="preserve">Hipotesis yang menyatakan bahwa </w:t>
      </w:r>
      <w:r w:rsidRPr="006177C0">
        <w:rPr>
          <w:noProof/>
          <w:lang w:val="id-ID"/>
        </w:rPr>
        <w:t>Harga Emas Dunia berpengaruh negatif terhadap IHSG</w:t>
      </w:r>
      <w:r w:rsidRPr="006177C0">
        <w:rPr>
          <w:lang w:val="id-ID"/>
        </w:rPr>
        <w:t xml:space="preserve"> ditolak. </w:t>
      </w:r>
      <w:r w:rsidRPr="006177C0">
        <w:rPr>
          <w:color w:val="000000" w:themeColor="text1"/>
          <w:lang w:val="id-ID"/>
        </w:rPr>
        <w:t xml:space="preserve">Hasil penelitian </w:t>
      </w:r>
      <w:r w:rsidRPr="006177C0">
        <w:rPr>
          <w:lang w:val="id-ID"/>
        </w:rPr>
        <w:t xml:space="preserve">menyebutkan bahwa </w:t>
      </w:r>
      <w:r w:rsidRPr="006177C0">
        <w:rPr>
          <w:noProof/>
          <w:lang w:val="id-ID"/>
        </w:rPr>
        <w:t xml:space="preserve">Harga Emas Dunia </w:t>
      </w:r>
      <w:r w:rsidRPr="006177C0">
        <w:rPr>
          <w:lang w:val="id-ID"/>
        </w:rPr>
        <w:t xml:space="preserve">berpengaruh positif dan signifikan terhadap IHSG. </w:t>
      </w:r>
      <w:r w:rsidRPr="006177C0">
        <w:rPr>
          <w:color w:val="000000" w:themeColor="text1"/>
          <w:lang w:val="id-ID"/>
        </w:rPr>
        <w:t>Hasil penelitian menunjukkan bahwa peningkatan harga emas dunia seiring dengan peningkatan IHSG.</w:t>
      </w:r>
      <w:r w:rsidR="006177C0">
        <w:rPr>
          <w:sz w:val="22"/>
          <w:szCs w:val="22"/>
          <w:lang w:val="en-US"/>
        </w:rPr>
        <w:t xml:space="preserve"> </w:t>
      </w:r>
      <w:proofErr w:type="gramStart"/>
      <w:r w:rsidR="006177C0">
        <w:rPr>
          <w:color w:val="000000" w:themeColor="text1"/>
          <w:lang w:val="en-US"/>
        </w:rPr>
        <w:t>E</w:t>
      </w:r>
      <w:r w:rsidRPr="006177C0">
        <w:rPr>
          <w:color w:val="000000"/>
          <w:lang w:val="id-ID"/>
        </w:rPr>
        <w:t>mas merupakan salah satu diversifikasi investasi yang cukup baik guna mengurang resiko yang dihadapi dalam berinvestasi pada saham.</w:t>
      </w:r>
      <w:proofErr w:type="gramEnd"/>
      <w:r w:rsidRPr="006177C0">
        <w:rPr>
          <w:color w:val="000000"/>
          <w:lang w:val="id-ID"/>
        </w:rPr>
        <w:t xml:space="preserve"> Harga emas yang cenderung naik tiap tahunnya </w:t>
      </w:r>
      <w:r w:rsidRPr="006177C0">
        <w:rPr>
          <w:rFonts w:ascii="TimesNewRomanPSMT" w:hAnsi="TimesNewRomanPSMT"/>
          <w:color w:val="000000"/>
          <w:lang w:val="id-ID"/>
        </w:rPr>
        <w:t>karena jumlahnya yang semakin langka</w:t>
      </w:r>
      <w:r w:rsidRPr="006177C0">
        <w:rPr>
          <w:color w:val="000000"/>
          <w:lang w:val="id-ID"/>
        </w:rPr>
        <w:t xml:space="preserve">, </w:t>
      </w:r>
      <w:r w:rsidRPr="006177C0">
        <w:rPr>
          <w:rFonts w:ascii="TimesNewRomanPSMT" w:hAnsi="TimesNewRomanPSMT"/>
          <w:color w:val="000000"/>
          <w:lang w:val="id-ID"/>
        </w:rPr>
        <w:t>harga emas selalu menyesuaikan diri terhadap inflasi</w:t>
      </w:r>
      <w:r w:rsidRPr="006177C0">
        <w:rPr>
          <w:color w:val="000000"/>
          <w:lang w:val="id-ID"/>
        </w:rPr>
        <w:t xml:space="preserve">. Selain itu emas mudah diperdagangkan, pemilik emas dapat dengan mudah menjualnya kapan saja tanpa mengalami kerugian yang besar. </w:t>
      </w:r>
    </w:p>
    <w:p w:rsidR="00D86A88" w:rsidRPr="00D86A88" w:rsidRDefault="00D86A88" w:rsidP="006177C0">
      <w:pPr>
        <w:autoSpaceDE w:val="0"/>
        <w:autoSpaceDN w:val="0"/>
        <w:adjustRightInd w:val="0"/>
        <w:spacing w:line="360" w:lineRule="auto"/>
        <w:ind w:firstLine="720"/>
        <w:jc w:val="both"/>
        <w:rPr>
          <w:color w:val="000000"/>
          <w:lang w:val="en-US"/>
        </w:rPr>
      </w:pP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Pengaruh Harga Minyak Dunia terhadap IHSG </w:t>
      </w:r>
    </w:p>
    <w:p w:rsidR="00B4493A" w:rsidRPr="006177C0" w:rsidRDefault="00B4493A" w:rsidP="006177C0">
      <w:pPr>
        <w:autoSpaceDE w:val="0"/>
        <w:autoSpaceDN w:val="0"/>
        <w:adjustRightInd w:val="0"/>
        <w:spacing w:line="360" w:lineRule="auto"/>
        <w:ind w:firstLine="720"/>
        <w:jc w:val="both"/>
        <w:rPr>
          <w:color w:val="000000"/>
          <w:lang w:val="id-ID"/>
        </w:rPr>
      </w:pPr>
      <w:r w:rsidRPr="006177C0">
        <w:rPr>
          <w:lang w:val="id-ID"/>
        </w:rPr>
        <w:t xml:space="preserve">Hipotesis yang menyatakan bahwa </w:t>
      </w:r>
      <w:r w:rsidRPr="006177C0">
        <w:rPr>
          <w:noProof/>
          <w:lang w:val="id-ID"/>
        </w:rPr>
        <w:t xml:space="preserve">Harga Minyak Dunia berpengaruh </w:t>
      </w:r>
      <w:r w:rsidRPr="006177C0">
        <w:rPr>
          <w:lang w:val="id-ID"/>
        </w:rPr>
        <w:t xml:space="preserve">positif terhadap IHSG diterima. </w:t>
      </w:r>
      <w:r w:rsidRPr="006177C0">
        <w:rPr>
          <w:color w:val="000000" w:themeColor="text1"/>
          <w:lang w:val="id-ID"/>
        </w:rPr>
        <w:t xml:space="preserve">Hasil penelitian </w:t>
      </w:r>
      <w:r w:rsidRPr="006177C0">
        <w:rPr>
          <w:lang w:val="id-ID"/>
        </w:rPr>
        <w:t xml:space="preserve">menyebutkan bahwa </w:t>
      </w:r>
      <w:r w:rsidRPr="006177C0">
        <w:rPr>
          <w:noProof/>
          <w:lang w:val="id-ID"/>
        </w:rPr>
        <w:t xml:space="preserve">Harga </w:t>
      </w:r>
      <w:r w:rsidRPr="006177C0">
        <w:rPr>
          <w:noProof/>
          <w:lang w:val="id-ID"/>
        </w:rPr>
        <w:lastRenderedPageBreak/>
        <w:t xml:space="preserve">Minyak Dunia </w:t>
      </w:r>
      <w:r w:rsidRPr="006177C0">
        <w:rPr>
          <w:lang w:val="id-ID"/>
        </w:rPr>
        <w:t xml:space="preserve">berpengaruh positif dan signifikan terhadap IHSG. </w:t>
      </w:r>
      <w:r w:rsidRPr="006177C0">
        <w:rPr>
          <w:color w:val="000000" w:themeColor="text1"/>
          <w:lang w:val="id-ID"/>
        </w:rPr>
        <w:t>Hasil penelitian menunjukkan bahwa peningkatan harga minyak dunia seiring dengan peningkatan IHSG</w:t>
      </w:r>
      <w:r w:rsidRPr="006177C0">
        <w:rPr>
          <w:color w:val="000000"/>
          <w:lang w:val="id-ID"/>
        </w:rPr>
        <w:t>.</w:t>
      </w:r>
      <w:r w:rsidR="006177C0">
        <w:rPr>
          <w:color w:val="000000"/>
          <w:lang w:val="en-US"/>
        </w:rPr>
        <w:t xml:space="preserve"> </w:t>
      </w:r>
      <w:r w:rsidRPr="006177C0">
        <w:rPr>
          <w:color w:val="000000"/>
          <w:lang w:val="id-ID"/>
        </w:rPr>
        <w:t xml:space="preserve">Selama periode penelitian, meningkatnya harga minyak dikarenakan meningkatnya permintaan yang mengindikasikan pertumbuhan ekonomi dunia </w:t>
      </w:r>
      <w:r w:rsidRPr="006177C0">
        <w:rPr>
          <w:rFonts w:ascii="TimesNewRomanPSMT" w:hAnsi="TimesNewRomanPSMT"/>
          <w:color w:val="000000"/>
          <w:lang w:val="id-ID"/>
        </w:rPr>
        <w:t>(</w:t>
      </w:r>
      <w:hyperlink r:id="rId13" w:history="1">
        <w:r w:rsidRPr="006177C0">
          <w:rPr>
            <w:rStyle w:val="Hyperlink"/>
            <w:rFonts w:ascii="TimesNewRomanPSMT" w:hAnsi="TimesNewRomanPSMT"/>
            <w:lang w:val="id-ID"/>
          </w:rPr>
          <w:t>www.opec.org</w:t>
        </w:r>
      </w:hyperlink>
      <w:r w:rsidRPr="006177C0">
        <w:rPr>
          <w:rFonts w:ascii="TimesNewRomanPSMT" w:hAnsi="TimesNewRomanPSMT"/>
          <w:color w:val="000000"/>
          <w:lang w:val="id-ID"/>
        </w:rPr>
        <w:t>).</w:t>
      </w:r>
      <w:r w:rsidRPr="006177C0">
        <w:rPr>
          <w:color w:val="000000"/>
          <w:lang w:val="id-ID"/>
        </w:rPr>
        <w:t xml:space="preserve"> Kenaikkan harga minyak mentah akan mendorong investor untuk berinvestasi karena menganggap membaiknya ekonomi global sehingga kinerja perusahaan akan membaik. Hal ini akan meningkatkan perdagangan saham yang berdampak meningkatkan IHSG. </w:t>
      </w:r>
    </w:p>
    <w:p w:rsidR="00B4493A" w:rsidRPr="006177C0" w:rsidRDefault="00B4493A" w:rsidP="006177C0">
      <w:pPr>
        <w:autoSpaceDE w:val="0"/>
        <w:autoSpaceDN w:val="0"/>
        <w:adjustRightInd w:val="0"/>
        <w:spacing w:line="360" w:lineRule="auto"/>
        <w:jc w:val="both"/>
        <w:rPr>
          <w:lang w:val="id-ID"/>
        </w:rPr>
      </w:pP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Pengaruh </w:t>
      </w:r>
      <w:r w:rsidRPr="006177C0">
        <w:rPr>
          <w:b/>
          <w:noProof/>
          <w:lang w:val="id-ID"/>
        </w:rPr>
        <w:t xml:space="preserve">Indeks Dow Jones </w:t>
      </w:r>
      <w:r w:rsidRPr="006177C0">
        <w:rPr>
          <w:b/>
          <w:lang w:val="id-ID"/>
        </w:rPr>
        <w:t>terhadap IHSG</w:t>
      </w:r>
    </w:p>
    <w:p w:rsidR="00B4493A" w:rsidRDefault="00B4493A" w:rsidP="006177C0">
      <w:pPr>
        <w:autoSpaceDE w:val="0"/>
        <w:autoSpaceDN w:val="0"/>
        <w:adjustRightInd w:val="0"/>
        <w:spacing w:line="360" w:lineRule="auto"/>
        <w:ind w:firstLine="720"/>
        <w:jc w:val="both"/>
        <w:rPr>
          <w:color w:val="000000"/>
          <w:lang w:val="en-US"/>
        </w:rPr>
      </w:pPr>
      <w:r w:rsidRPr="006177C0">
        <w:rPr>
          <w:lang w:val="id-ID"/>
        </w:rPr>
        <w:t xml:space="preserve">Hipotesis yang menyatakan bahwa </w:t>
      </w:r>
      <w:r w:rsidRPr="006177C0">
        <w:rPr>
          <w:noProof/>
          <w:lang w:val="id-ID"/>
        </w:rPr>
        <w:t xml:space="preserve">Indeks Dow Jones </w:t>
      </w:r>
      <w:r w:rsidRPr="006177C0">
        <w:rPr>
          <w:lang w:val="id-ID"/>
        </w:rPr>
        <w:t xml:space="preserve">berpengaruh positif terhadap IHSG diterima. </w:t>
      </w:r>
      <w:r w:rsidRPr="006177C0">
        <w:rPr>
          <w:color w:val="000000" w:themeColor="text1"/>
          <w:lang w:val="id-ID"/>
        </w:rPr>
        <w:t xml:space="preserve">Hasil penelitian menunjukkan bahwa peningkatan </w:t>
      </w:r>
      <w:r w:rsidRPr="006177C0">
        <w:rPr>
          <w:noProof/>
          <w:lang w:val="id-ID"/>
        </w:rPr>
        <w:t xml:space="preserve">Indeks Dow Jones </w:t>
      </w:r>
      <w:r w:rsidRPr="006177C0">
        <w:rPr>
          <w:color w:val="000000" w:themeColor="text1"/>
          <w:lang w:val="id-ID"/>
        </w:rPr>
        <w:t>seiring dengan peningkatan IHSG</w:t>
      </w:r>
      <w:r w:rsidR="006177C0">
        <w:rPr>
          <w:color w:val="000000" w:themeColor="text1"/>
          <w:lang w:val="en-US"/>
        </w:rPr>
        <w:t>.</w:t>
      </w:r>
      <w:r w:rsidRPr="006177C0">
        <w:rPr>
          <w:color w:val="000000" w:themeColor="text1"/>
          <w:lang w:val="id-ID"/>
        </w:rPr>
        <w:t xml:space="preserve"> </w:t>
      </w:r>
      <w:r w:rsidRPr="006177C0">
        <w:rPr>
          <w:lang w:val="id-ID"/>
        </w:rPr>
        <w:t>Indeks Dow Jones menggambarkan kinerja perekonomian Amerika Serikat</w:t>
      </w:r>
      <w:r w:rsidR="00CD7A47">
        <w:rPr>
          <w:lang w:val="id-ID"/>
        </w:rPr>
        <w:t>.</w:t>
      </w:r>
      <w:r w:rsidR="00CD7A47">
        <w:rPr>
          <w:lang w:val="en-US"/>
        </w:rPr>
        <w:t xml:space="preserve"> </w:t>
      </w:r>
      <w:r w:rsidR="00CD7A47">
        <w:rPr>
          <w:lang w:val="id-ID"/>
        </w:rPr>
        <w:t>Amerika</w:t>
      </w:r>
      <w:r w:rsidR="00CD7A47">
        <w:rPr>
          <w:lang w:val="en-US"/>
        </w:rPr>
        <w:t xml:space="preserve"> </w:t>
      </w:r>
      <w:r w:rsidRPr="006177C0">
        <w:rPr>
          <w:lang w:val="id-ID"/>
        </w:rPr>
        <w:t xml:space="preserve">Serikat </w:t>
      </w:r>
      <w:r w:rsidR="00CD7A47">
        <w:rPr>
          <w:lang w:val="id-ID"/>
        </w:rPr>
        <w:t>merupakan negara</w:t>
      </w:r>
      <w:r w:rsidR="00CD7A47">
        <w:rPr>
          <w:lang w:val="en-US"/>
        </w:rPr>
        <w:t xml:space="preserve"> </w:t>
      </w:r>
      <w:r w:rsidRPr="006177C0">
        <w:rPr>
          <w:lang w:val="id-ID"/>
        </w:rPr>
        <w:t xml:space="preserve">dengan </w:t>
      </w:r>
      <w:r w:rsidRPr="006177C0">
        <w:rPr>
          <w:noProof/>
          <w:color w:val="000000"/>
          <w:lang w:val="id-ID" w:eastAsia="id-ID"/>
        </w:rPr>
        <w:t xml:space="preserve">komposisi GDP paling besar yaitu </w:t>
      </w:r>
      <w:r w:rsidRPr="006177C0">
        <w:rPr>
          <w:noProof/>
          <w:lang w:val="id-ID" w:eastAsia="id-ID"/>
        </w:rPr>
        <w:t xml:space="preserve">22,45 </w:t>
      </w:r>
      <w:r w:rsidRPr="006177C0">
        <w:rPr>
          <w:noProof/>
          <w:color w:val="000000"/>
          <w:lang w:val="id-ID" w:eastAsia="id-ID"/>
        </w:rPr>
        <w:t xml:space="preserve">% sehingga sangat mempengaruhi perekonomian dunia. </w:t>
      </w:r>
      <w:r w:rsidRPr="006177C0">
        <w:rPr>
          <w:lang w:val="id-ID"/>
        </w:rPr>
        <w:t>Dengan naiknya Indeks Dow Jones berarti kinerja perekonomian Amerika Serikat cukup baik yang menimbulkan</w:t>
      </w:r>
      <w:r w:rsidRPr="006177C0">
        <w:rPr>
          <w:color w:val="000000"/>
          <w:lang w:val="id-ID"/>
        </w:rPr>
        <w:t xml:space="preserve"> sentimen positif dari investor terhadap kondisi ekonomi dunia. Selain itu </w:t>
      </w:r>
      <w:r w:rsidRPr="006177C0">
        <w:rPr>
          <w:rFonts w:ascii="TimesNewRomanPSMT" w:hAnsi="TimesNewRomanPSMT"/>
          <w:color w:val="000000"/>
          <w:lang w:val="id-ID"/>
        </w:rPr>
        <w:t xml:space="preserve">Amerika Serikat merupakan negara tujuan ekspor utama Indonesia (www.bi.go.id), </w:t>
      </w:r>
      <w:r w:rsidRPr="006177C0">
        <w:rPr>
          <w:color w:val="000000"/>
          <w:lang w:val="id-ID"/>
        </w:rPr>
        <w:t xml:space="preserve">sehingga peningkatan indeks DJIA berdampak positif terhadap IHSG. </w:t>
      </w:r>
    </w:p>
    <w:p w:rsidR="00D86A88" w:rsidRPr="00D86A88" w:rsidRDefault="00D86A88" w:rsidP="006177C0">
      <w:pPr>
        <w:autoSpaceDE w:val="0"/>
        <w:autoSpaceDN w:val="0"/>
        <w:adjustRightInd w:val="0"/>
        <w:spacing w:line="360" w:lineRule="auto"/>
        <w:ind w:firstLine="720"/>
        <w:jc w:val="both"/>
        <w:rPr>
          <w:color w:val="000000"/>
          <w:lang w:val="en-US"/>
        </w:rPr>
      </w:pP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Pengaruh </w:t>
      </w:r>
      <w:r w:rsidRPr="006177C0">
        <w:rPr>
          <w:b/>
          <w:noProof/>
          <w:lang w:val="id-ID"/>
        </w:rPr>
        <w:t xml:space="preserve">Indeks Nikkei 225 </w:t>
      </w:r>
      <w:r w:rsidRPr="006177C0">
        <w:rPr>
          <w:b/>
          <w:lang w:val="id-ID"/>
        </w:rPr>
        <w:t xml:space="preserve">terhadap IHSG </w:t>
      </w:r>
    </w:p>
    <w:p w:rsidR="00B4493A" w:rsidRPr="006177C0" w:rsidRDefault="00B4493A" w:rsidP="006177C0">
      <w:pPr>
        <w:autoSpaceDE w:val="0"/>
        <w:autoSpaceDN w:val="0"/>
        <w:adjustRightInd w:val="0"/>
        <w:spacing w:line="360" w:lineRule="auto"/>
        <w:ind w:firstLine="720"/>
        <w:jc w:val="both"/>
        <w:rPr>
          <w:color w:val="000000"/>
          <w:lang w:val="id-ID"/>
        </w:rPr>
      </w:pPr>
      <w:r w:rsidRPr="006177C0">
        <w:rPr>
          <w:lang w:val="id-ID"/>
        </w:rPr>
        <w:t xml:space="preserve">Hipotesis yang menyatakan bahwa Indeks Nikkei 225 berpengaruh positif terhadap IHSG ditolak. Hasil penelitian menyebutkan bahwa Indeks Nikkei 225 berpengaruh negatif tidak signifikan terhadap IHSG. Hasil penelitian menunjukkan bahwa pergerakan Indeks Nikkei 225 tidak begitu mempengaruhi pergerakan IHSG. Jepang </w:t>
      </w:r>
      <w:r w:rsidRPr="006177C0">
        <w:rPr>
          <w:noProof/>
          <w:lang w:val="id-ID"/>
        </w:rPr>
        <w:t xml:space="preserve">merupakan negara dengan GDP ketiga terbesar di dunia Jepang yaitu 6,56%, selian itu Jepang merupakan negara tujuan ekspor nomor dua setelah China dengan porsi 10,73 % dari total ekspor non-migas. Namun demikian, tidak seperti Indeks Dow Jones yang cukup mempengaruhi Indonesia, indeks </w:t>
      </w:r>
      <w:r w:rsidRPr="006177C0">
        <w:rPr>
          <w:lang w:val="id-ID"/>
        </w:rPr>
        <w:t xml:space="preserve">Nikkei 225 </w:t>
      </w:r>
      <w:r w:rsidRPr="006177C0">
        <w:rPr>
          <w:noProof/>
          <w:lang w:val="id-ID"/>
        </w:rPr>
        <w:t xml:space="preserve">justru sebaliknya. Hal ini dikarenakan </w:t>
      </w:r>
      <w:r w:rsidRPr="006177C0">
        <w:rPr>
          <w:color w:val="000000"/>
          <w:lang w:val="id-ID"/>
        </w:rPr>
        <w:t xml:space="preserve">pada akhir 2008 Jepang mengalami penurunan nilai ekspor yang cukup tajam, kemudian pada tahun 2011 </w:t>
      </w:r>
      <w:r w:rsidRPr="006177C0">
        <w:rPr>
          <w:color w:val="000000"/>
          <w:lang w:val="id-ID"/>
        </w:rPr>
        <w:lastRenderedPageBreak/>
        <w:t xml:space="preserve">tekanan ekonomi akibat utang yang mencapai 200% dari GDP dan dilanjutkan dengan terjadinya gempa besar berkekuatan 9,0 SL dan tsunami. Pada periode tersebut negara lainnya termasuk Indonesia sedang mengalami pertumbuhan ekonomi. </w:t>
      </w:r>
    </w:p>
    <w:p w:rsidR="00B4493A" w:rsidRPr="006177C0" w:rsidRDefault="00B4493A" w:rsidP="006177C0">
      <w:pPr>
        <w:autoSpaceDE w:val="0"/>
        <w:autoSpaceDN w:val="0"/>
        <w:adjustRightInd w:val="0"/>
        <w:spacing w:line="360" w:lineRule="auto"/>
        <w:jc w:val="both"/>
        <w:rPr>
          <w:b/>
          <w:lang w:val="id-ID"/>
        </w:rPr>
      </w:pPr>
    </w:p>
    <w:p w:rsidR="00B4493A" w:rsidRPr="006177C0" w:rsidRDefault="00B4493A" w:rsidP="006177C0">
      <w:pPr>
        <w:autoSpaceDE w:val="0"/>
        <w:autoSpaceDN w:val="0"/>
        <w:adjustRightInd w:val="0"/>
        <w:spacing w:line="360" w:lineRule="auto"/>
        <w:jc w:val="both"/>
        <w:rPr>
          <w:b/>
          <w:lang w:val="id-ID"/>
        </w:rPr>
      </w:pPr>
      <w:r w:rsidRPr="006177C0">
        <w:rPr>
          <w:b/>
          <w:lang w:val="id-ID"/>
        </w:rPr>
        <w:t xml:space="preserve">Pengaruh Pembelian Bersih Asing terhadap IHSG </w:t>
      </w:r>
    </w:p>
    <w:p w:rsidR="00B4493A" w:rsidRPr="006177C0" w:rsidRDefault="00B4493A" w:rsidP="00D86A88">
      <w:pPr>
        <w:autoSpaceDE w:val="0"/>
        <w:autoSpaceDN w:val="0"/>
        <w:adjustRightInd w:val="0"/>
        <w:spacing w:line="360" w:lineRule="auto"/>
        <w:ind w:firstLine="720"/>
        <w:jc w:val="both"/>
        <w:rPr>
          <w:color w:val="000000"/>
          <w:lang w:val="id-ID"/>
        </w:rPr>
      </w:pPr>
      <w:r w:rsidRPr="006177C0">
        <w:rPr>
          <w:lang w:val="id-ID"/>
        </w:rPr>
        <w:t xml:space="preserve">Hipotesis yang menyatakan Pembelian Bersih Asing berpengaruh positif terhadap IHSG ditolak. </w:t>
      </w:r>
      <w:r w:rsidRPr="006177C0">
        <w:rPr>
          <w:color w:val="000000" w:themeColor="text1"/>
          <w:lang w:val="id-ID"/>
        </w:rPr>
        <w:t xml:space="preserve">Hasil penelitian </w:t>
      </w:r>
      <w:r w:rsidRPr="006177C0">
        <w:rPr>
          <w:lang w:val="id-ID"/>
        </w:rPr>
        <w:t>menyebutkan</w:t>
      </w:r>
      <w:r w:rsidRPr="006177C0">
        <w:rPr>
          <w:color w:val="000000" w:themeColor="text1"/>
          <w:lang w:val="id-ID"/>
        </w:rPr>
        <w:t xml:space="preserve"> </w:t>
      </w:r>
      <w:r w:rsidRPr="006177C0">
        <w:rPr>
          <w:lang w:val="id-ID"/>
        </w:rPr>
        <w:t xml:space="preserve">bahwa Pembelian Bersih Asing berpengaruh negatif signifikan terhadap IHSG. </w:t>
      </w:r>
      <w:r w:rsidR="00D86A88">
        <w:rPr>
          <w:color w:val="000000" w:themeColor="text1"/>
          <w:lang w:val="en-US"/>
        </w:rPr>
        <w:t>P</w:t>
      </w:r>
      <w:r w:rsidRPr="006177C0">
        <w:rPr>
          <w:color w:val="000000"/>
          <w:lang w:val="id-ID"/>
        </w:rPr>
        <w:t xml:space="preserve">ada tahun 2005 investor </w:t>
      </w:r>
      <w:r w:rsidRPr="006177C0">
        <w:rPr>
          <w:noProof/>
          <w:lang w:val="id-ID"/>
        </w:rPr>
        <w:t xml:space="preserve">asing menunjukkan </w:t>
      </w:r>
      <w:r w:rsidRPr="006177C0">
        <w:rPr>
          <w:i/>
          <w:noProof/>
          <w:lang w:val="id-ID"/>
        </w:rPr>
        <w:t>total net sell</w:t>
      </w:r>
      <w:r w:rsidRPr="006177C0">
        <w:rPr>
          <w:noProof/>
          <w:lang w:val="id-ID"/>
        </w:rPr>
        <w:t xml:space="preserve">, namun IHSG cenderung mengalami kenaikan, khususnya pada bulan Maret tahun 2005 terjadi aksi </w:t>
      </w:r>
      <w:r w:rsidRPr="006177C0">
        <w:rPr>
          <w:i/>
          <w:noProof/>
          <w:lang w:val="id-ID"/>
        </w:rPr>
        <w:t>provit taking</w:t>
      </w:r>
      <w:r w:rsidRPr="006177C0">
        <w:rPr>
          <w:noProof/>
          <w:lang w:val="id-ID"/>
        </w:rPr>
        <w:t xml:space="preserve"> dikarenakan pada saat itu IHSG mencapai titik tertingginya. Selain itu pada tahun 2008 ketika IHSG terpuruk hingga 50% investor asing banyak melakukan pembelian di harga diskon. </w:t>
      </w:r>
    </w:p>
    <w:p w:rsidR="00B4493A" w:rsidRPr="006177C0" w:rsidRDefault="00B4493A" w:rsidP="0061241F">
      <w:pPr>
        <w:spacing w:line="360" w:lineRule="auto"/>
        <w:rPr>
          <w:b/>
          <w:lang w:val="id-ID"/>
        </w:rPr>
      </w:pPr>
    </w:p>
    <w:p w:rsidR="006177C0" w:rsidRPr="00D86A88" w:rsidRDefault="00937262" w:rsidP="00D86A88">
      <w:pPr>
        <w:spacing w:line="360" w:lineRule="auto"/>
        <w:rPr>
          <w:b/>
          <w:lang w:val="id-ID"/>
        </w:rPr>
      </w:pPr>
      <w:r w:rsidRPr="006177C0">
        <w:rPr>
          <w:b/>
          <w:lang w:val="id-ID"/>
        </w:rPr>
        <w:t xml:space="preserve">Kesimpulan </w:t>
      </w:r>
      <w:proofErr w:type="spellStart"/>
      <w:r w:rsidR="00D86A88">
        <w:rPr>
          <w:b/>
          <w:lang w:val="en-US"/>
        </w:rPr>
        <w:t>dan</w:t>
      </w:r>
      <w:proofErr w:type="spellEnd"/>
      <w:r w:rsidR="00D86A88">
        <w:rPr>
          <w:b/>
          <w:lang w:val="en-US"/>
        </w:rPr>
        <w:t xml:space="preserve"> </w:t>
      </w:r>
      <w:r w:rsidR="006177C0" w:rsidRPr="006177C0">
        <w:rPr>
          <w:rFonts w:ascii="TimesNewRoman" w:hAnsi="TimesNewRoman"/>
          <w:b/>
          <w:bCs/>
          <w:color w:val="000000"/>
          <w:lang w:val="id-ID"/>
        </w:rPr>
        <w:t>Implikasi Kebijakan</w:t>
      </w:r>
    </w:p>
    <w:p w:rsidR="006177C0" w:rsidRPr="006177C0" w:rsidRDefault="006177C0" w:rsidP="006177C0">
      <w:pPr>
        <w:autoSpaceDE w:val="0"/>
        <w:autoSpaceDN w:val="0"/>
        <w:adjustRightInd w:val="0"/>
        <w:spacing w:line="360" w:lineRule="auto"/>
        <w:ind w:firstLine="720"/>
        <w:jc w:val="both"/>
        <w:outlineLvl w:val="0"/>
        <w:rPr>
          <w:color w:val="000000"/>
          <w:lang w:val="id-ID"/>
        </w:rPr>
      </w:pPr>
      <w:r w:rsidRPr="006177C0">
        <w:rPr>
          <w:color w:val="000000"/>
          <w:lang w:val="id-ID"/>
        </w:rPr>
        <w:t>Berdasarkan hasil penelitian mengenai pengaruh Nilai Tukar USD/Rupiah, Harga Emas Dunia, Harga Minyak Dunia, Indeks DJIA, Indeks Nikkei, Pembelian Bersih Asing terhadap Indeks Harga Saham Gabungan di Bursa Efek Indonesia periode tahun 2003 - 2013 implikasi kebijakan yang diambil antara lain :</w:t>
      </w:r>
    </w:p>
    <w:p w:rsidR="006177C0" w:rsidRPr="006177C0" w:rsidRDefault="006177C0" w:rsidP="006177C0">
      <w:pPr>
        <w:pStyle w:val="ListParagraph"/>
        <w:numPr>
          <w:ilvl w:val="0"/>
          <w:numId w:val="6"/>
        </w:numPr>
        <w:autoSpaceDE w:val="0"/>
        <w:autoSpaceDN w:val="0"/>
        <w:adjustRightInd w:val="0"/>
        <w:spacing w:line="360" w:lineRule="auto"/>
        <w:jc w:val="both"/>
        <w:outlineLvl w:val="0"/>
        <w:rPr>
          <w:rFonts w:ascii="TimesNewRoman" w:hAnsi="TimesNewRoman"/>
          <w:lang w:val="id-ID"/>
        </w:rPr>
      </w:pPr>
      <w:r w:rsidRPr="006177C0">
        <w:rPr>
          <w:color w:val="000000"/>
          <w:lang w:val="id-ID"/>
        </w:rPr>
        <w:t xml:space="preserve">Kurs USD/Rupiah berpengaruh positif </w:t>
      </w:r>
      <w:r w:rsidRPr="006177C0">
        <w:rPr>
          <w:lang w:val="id-ID"/>
        </w:rPr>
        <w:t xml:space="preserve">dan signifikan </w:t>
      </w:r>
      <w:r w:rsidRPr="006177C0">
        <w:rPr>
          <w:color w:val="000000"/>
          <w:lang w:val="id-ID"/>
        </w:rPr>
        <w:t xml:space="preserve">terhadap IHSG. Investor dalam proses pengambilan keputusan investasi, perlu mempertimbangkan perkembangan nilai tukar USD/Rupiah. Ketika terdapat perubahan nilai tukar </w:t>
      </w:r>
      <w:r w:rsidRPr="006177C0">
        <w:rPr>
          <w:lang w:val="id-ID"/>
        </w:rPr>
        <w:t xml:space="preserve">USD/Rupiah, investor harus meninjau komposisi portofolio mereka. Jika nilai tukar USD/Rupiah mengalami peningkatan (rupiah terdepresiasi) investor dapat mulai berinvestasi atau menahan portofolio yang telah dimiliki sebelumnya, kemudian ketika nilai tukar USD/Rupiah turun (rupiah terapresiasi) setelah periode puncak kenaikan tersebut maka investor dapat melakukan </w:t>
      </w:r>
      <w:r w:rsidRPr="006177C0">
        <w:rPr>
          <w:i/>
          <w:lang w:val="id-ID"/>
        </w:rPr>
        <w:t>profit taking</w:t>
      </w:r>
      <w:r w:rsidRPr="006177C0">
        <w:rPr>
          <w:lang w:val="id-ID"/>
        </w:rPr>
        <w:t>.</w:t>
      </w:r>
    </w:p>
    <w:p w:rsidR="006177C0" w:rsidRPr="006177C0" w:rsidRDefault="006177C0" w:rsidP="006177C0">
      <w:pPr>
        <w:pStyle w:val="ListParagraph"/>
        <w:numPr>
          <w:ilvl w:val="0"/>
          <w:numId w:val="6"/>
        </w:numPr>
        <w:autoSpaceDE w:val="0"/>
        <w:autoSpaceDN w:val="0"/>
        <w:adjustRightInd w:val="0"/>
        <w:spacing w:line="360" w:lineRule="auto"/>
        <w:jc w:val="both"/>
        <w:outlineLvl w:val="0"/>
        <w:rPr>
          <w:color w:val="000000"/>
          <w:lang w:val="id-ID"/>
        </w:rPr>
      </w:pPr>
      <w:r w:rsidRPr="006177C0">
        <w:rPr>
          <w:noProof/>
          <w:lang w:val="id-ID"/>
        </w:rPr>
        <w:t xml:space="preserve">Harga Emas Dunia </w:t>
      </w:r>
      <w:r w:rsidRPr="006177C0">
        <w:rPr>
          <w:color w:val="000000"/>
          <w:lang w:val="id-ID"/>
        </w:rPr>
        <w:t xml:space="preserve">berpengaruh </w:t>
      </w:r>
      <w:r w:rsidRPr="006177C0">
        <w:rPr>
          <w:lang w:val="id-ID"/>
        </w:rPr>
        <w:t xml:space="preserve">positif dan signifikan terhadap IHSG. Hampir sama dengan harga minyak dunia, harga emas dapat menjadi signal investor untuk berinvestasi pada modal. Walaupun berpengaruh positif dan signifikan, </w:t>
      </w:r>
      <w:r w:rsidRPr="006177C0">
        <w:rPr>
          <w:lang w:val="id-ID"/>
        </w:rPr>
        <w:lastRenderedPageBreak/>
        <w:t xml:space="preserve">emas tetap dapat digunakan sebagai diversifikasi karena </w:t>
      </w:r>
      <w:r w:rsidRPr="006177C0">
        <w:rPr>
          <w:color w:val="000000"/>
          <w:lang w:val="id-ID"/>
        </w:rPr>
        <w:t>emas cenderung aman dan bebas risiko</w:t>
      </w:r>
      <w:r w:rsidRPr="006177C0">
        <w:rPr>
          <w:lang w:val="id-ID"/>
        </w:rPr>
        <w:t xml:space="preserve">. </w:t>
      </w:r>
    </w:p>
    <w:p w:rsidR="006177C0" w:rsidRPr="006177C0" w:rsidRDefault="006177C0" w:rsidP="006177C0">
      <w:pPr>
        <w:pStyle w:val="ListParagraph"/>
        <w:numPr>
          <w:ilvl w:val="0"/>
          <w:numId w:val="6"/>
        </w:numPr>
        <w:spacing w:line="360" w:lineRule="auto"/>
        <w:ind w:left="357" w:hanging="357"/>
        <w:jc w:val="both"/>
        <w:rPr>
          <w:color w:val="000000"/>
          <w:lang w:val="id-ID"/>
        </w:rPr>
      </w:pPr>
      <w:r w:rsidRPr="006177C0">
        <w:rPr>
          <w:noProof/>
          <w:lang w:val="id-ID"/>
        </w:rPr>
        <w:t xml:space="preserve">Harga Minyak Dunia </w:t>
      </w:r>
      <w:r w:rsidRPr="006177C0">
        <w:rPr>
          <w:color w:val="000000"/>
          <w:lang w:val="id-ID"/>
        </w:rPr>
        <w:t xml:space="preserve">berpengaruh </w:t>
      </w:r>
      <w:r w:rsidRPr="006177C0">
        <w:rPr>
          <w:lang w:val="id-ID"/>
        </w:rPr>
        <w:t xml:space="preserve">positif dan signifikan terhadap IHSG. Investor dalam </w:t>
      </w:r>
      <w:r w:rsidRPr="006177C0">
        <w:rPr>
          <w:color w:val="000000"/>
          <w:lang w:val="id-ID"/>
        </w:rPr>
        <w:t xml:space="preserve">proses pengambilan keputusan investasi, perlu mempertimbangkan perkembangan </w:t>
      </w:r>
      <w:r w:rsidRPr="006177C0">
        <w:rPr>
          <w:noProof/>
          <w:lang w:val="id-ID"/>
        </w:rPr>
        <w:t xml:space="preserve">Harga Minyak Dunia. </w:t>
      </w:r>
      <w:r w:rsidRPr="006177C0">
        <w:rPr>
          <w:color w:val="000000"/>
          <w:lang w:val="id-ID"/>
        </w:rPr>
        <w:t xml:space="preserve">Ketika Harga Minyak Dunia mulai merangkak naik investor dapat mulai melakukan investasi atau menahan portofolio yang telah dimiliki sebelumnya, kemudian ketika harga minyak mulai turun setelah periode puncak dari kenaikan tersebut maka investor dapat melakukan </w:t>
      </w:r>
      <w:r w:rsidRPr="006177C0">
        <w:rPr>
          <w:i/>
          <w:color w:val="000000"/>
          <w:lang w:val="id-ID"/>
        </w:rPr>
        <w:t>profit taking</w:t>
      </w:r>
      <w:r w:rsidRPr="006177C0">
        <w:rPr>
          <w:color w:val="000000"/>
          <w:lang w:val="id-ID"/>
        </w:rPr>
        <w:t>.</w:t>
      </w:r>
    </w:p>
    <w:p w:rsidR="006177C0" w:rsidRPr="006177C0" w:rsidRDefault="006177C0" w:rsidP="006177C0">
      <w:pPr>
        <w:pStyle w:val="ListParagraph"/>
        <w:numPr>
          <w:ilvl w:val="0"/>
          <w:numId w:val="6"/>
        </w:numPr>
        <w:autoSpaceDE w:val="0"/>
        <w:autoSpaceDN w:val="0"/>
        <w:adjustRightInd w:val="0"/>
        <w:spacing w:line="360" w:lineRule="auto"/>
        <w:jc w:val="both"/>
        <w:outlineLvl w:val="0"/>
        <w:rPr>
          <w:rFonts w:ascii="TimesNewRoman" w:hAnsi="TimesNewRoman"/>
          <w:color w:val="000000"/>
          <w:lang w:val="id-ID"/>
        </w:rPr>
      </w:pPr>
      <w:r w:rsidRPr="006177C0">
        <w:rPr>
          <w:rFonts w:ascii="TimesNewRoman" w:hAnsi="TimesNewRoman"/>
          <w:color w:val="000000"/>
          <w:lang w:val="id-ID"/>
        </w:rPr>
        <w:t>Indeks</w:t>
      </w:r>
      <w:r w:rsidRPr="006177C0">
        <w:rPr>
          <w:color w:val="000000"/>
          <w:lang w:val="id-ID"/>
        </w:rPr>
        <w:t xml:space="preserve"> Dow Jones berpengaruh positif </w:t>
      </w:r>
      <w:r w:rsidRPr="006177C0">
        <w:rPr>
          <w:lang w:val="id-ID"/>
        </w:rPr>
        <w:t xml:space="preserve">dan signifikan </w:t>
      </w:r>
      <w:r w:rsidRPr="006177C0">
        <w:rPr>
          <w:color w:val="000000"/>
          <w:lang w:val="id-ID"/>
        </w:rPr>
        <w:t xml:space="preserve">terhadap IHSG. Indeks Dow Jones merupakan salah satu indeks saham yang sering dijadikan patokan atas kondisi ekonomi dunia bagi investor </w:t>
      </w:r>
      <w:r w:rsidRPr="006177C0">
        <w:rPr>
          <w:lang w:val="id-ID"/>
        </w:rPr>
        <w:t xml:space="preserve">dalam </w:t>
      </w:r>
      <w:r w:rsidRPr="006177C0">
        <w:rPr>
          <w:color w:val="000000"/>
          <w:lang w:val="id-ID"/>
        </w:rPr>
        <w:t xml:space="preserve">proses pengambilan keputusan investasi. Ketika </w:t>
      </w:r>
      <w:r w:rsidRPr="006177C0">
        <w:rPr>
          <w:rFonts w:ascii="TimesNewRoman" w:hAnsi="TimesNewRoman"/>
          <w:color w:val="000000"/>
          <w:lang w:val="id-ID"/>
        </w:rPr>
        <w:t>Indeks</w:t>
      </w:r>
      <w:r w:rsidRPr="006177C0">
        <w:rPr>
          <w:color w:val="000000"/>
          <w:lang w:val="id-ID"/>
        </w:rPr>
        <w:t xml:space="preserve"> Dow Jones mengalami kenaikan, hal ini biasanya diikuti oleh beberapa indeks saham di dunia termasuk IHSG, sehingga investor dapat mulai berinvestasi atau menahan aset yang telah dimiliki sebelumnya, kemudian ketika Indeks Dow Jones turun setelah periode puncak kenaikan tersebut maka investor dapat melakukan </w:t>
      </w:r>
      <w:r w:rsidRPr="006177C0">
        <w:rPr>
          <w:i/>
          <w:color w:val="000000"/>
          <w:lang w:val="id-ID"/>
        </w:rPr>
        <w:t>profit taking</w:t>
      </w:r>
      <w:r w:rsidRPr="006177C0">
        <w:rPr>
          <w:color w:val="000000"/>
          <w:lang w:val="id-ID"/>
        </w:rPr>
        <w:t>.</w:t>
      </w:r>
    </w:p>
    <w:p w:rsidR="00047CA5" w:rsidRPr="006177C0" w:rsidRDefault="006177C0" w:rsidP="006177C0">
      <w:pPr>
        <w:pStyle w:val="ListParagraph"/>
        <w:numPr>
          <w:ilvl w:val="0"/>
          <w:numId w:val="6"/>
        </w:numPr>
        <w:autoSpaceDE w:val="0"/>
        <w:autoSpaceDN w:val="0"/>
        <w:adjustRightInd w:val="0"/>
        <w:spacing w:line="360" w:lineRule="auto"/>
        <w:ind w:hanging="357"/>
        <w:jc w:val="both"/>
        <w:outlineLvl w:val="0"/>
        <w:rPr>
          <w:lang w:val="id-ID"/>
        </w:rPr>
      </w:pPr>
      <w:r w:rsidRPr="006177C0">
        <w:rPr>
          <w:lang w:val="id-ID"/>
        </w:rPr>
        <w:t xml:space="preserve">Pembelian Bersih Asing berpengaruh negatif signifikan terhadap IHSG. </w:t>
      </w:r>
      <w:r w:rsidRPr="006177C0">
        <w:rPr>
          <w:color w:val="000000"/>
          <w:lang w:val="id-ID"/>
        </w:rPr>
        <w:t xml:space="preserve">Investor dalam proses pengambilan keputusan investasi, perlu mempertimbangkan perkembangan </w:t>
      </w:r>
      <w:r w:rsidRPr="006177C0">
        <w:rPr>
          <w:lang w:val="id-ID"/>
        </w:rPr>
        <w:t>Pembelian Bersih Asing</w:t>
      </w:r>
      <w:r w:rsidRPr="006177C0">
        <w:rPr>
          <w:color w:val="000000"/>
          <w:lang w:val="id-ID"/>
        </w:rPr>
        <w:t xml:space="preserve">. </w:t>
      </w:r>
      <w:r w:rsidRPr="006177C0">
        <w:rPr>
          <w:lang w:val="id-ID"/>
        </w:rPr>
        <w:t>Ketika Pembelian Bersih Asing relatif tinggi hal ini menunjukkan IHSG sedang dalam posisi rendah, kemudian ketika Pembelian Bersih Asing relatif rendah maka IHSG cenderung mulai mengalami penurunan dari posisi puncak, sehingga investor lokal dapat mengikuti perilaku investor asing.</w:t>
      </w:r>
    </w:p>
    <w:p w:rsidR="00047CA5" w:rsidRPr="006177C0" w:rsidRDefault="00047CA5" w:rsidP="00596D79">
      <w:pPr>
        <w:rPr>
          <w:b/>
          <w:lang w:val="id-ID"/>
        </w:rPr>
      </w:pPr>
    </w:p>
    <w:p w:rsidR="00047CA5" w:rsidRDefault="00047CA5" w:rsidP="00596D79">
      <w:pPr>
        <w:rPr>
          <w:b/>
          <w:lang w:val="en-US"/>
        </w:rPr>
      </w:pPr>
    </w:p>
    <w:p w:rsidR="00CD7A47" w:rsidRDefault="00CD7A47" w:rsidP="00596D79">
      <w:pPr>
        <w:rPr>
          <w:b/>
          <w:lang w:val="en-US"/>
        </w:rPr>
      </w:pPr>
    </w:p>
    <w:p w:rsidR="00CD7A47" w:rsidRDefault="00CD7A47" w:rsidP="00596D79">
      <w:pPr>
        <w:rPr>
          <w:b/>
          <w:lang w:val="en-US"/>
        </w:rPr>
      </w:pPr>
    </w:p>
    <w:p w:rsidR="00CD7A47" w:rsidRDefault="00CD7A47" w:rsidP="00596D79">
      <w:pPr>
        <w:rPr>
          <w:b/>
          <w:lang w:val="en-US"/>
        </w:rPr>
      </w:pPr>
    </w:p>
    <w:p w:rsidR="00CD7A47" w:rsidRDefault="00CD7A47" w:rsidP="00596D79">
      <w:pPr>
        <w:rPr>
          <w:b/>
          <w:lang w:val="en-US"/>
        </w:rPr>
      </w:pPr>
    </w:p>
    <w:p w:rsidR="00CD7A47" w:rsidRDefault="00CD7A47" w:rsidP="00596D79">
      <w:pPr>
        <w:rPr>
          <w:b/>
          <w:lang w:val="en-US"/>
        </w:rPr>
      </w:pPr>
    </w:p>
    <w:p w:rsidR="00CD7A47" w:rsidRDefault="00CD7A47" w:rsidP="00596D79">
      <w:pPr>
        <w:rPr>
          <w:b/>
          <w:lang w:val="en-US"/>
        </w:rPr>
      </w:pPr>
    </w:p>
    <w:p w:rsidR="00CD7A47" w:rsidRDefault="00CD7A47" w:rsidP="00596D79">
      <w:pPr>
        <w:rPr>
          <w:b/>
          <w:lang w:val="en-US"/>
        </w:rPr>
      </w:pPr>
    </w:p>
    <w:p w:rsidR="00CD7A47" w:rsidRDefault="00CD7A47" w:rsidP="00596D79">
      <w:pPr>
        <w:rPr>
          <w:b/>
          <w:lang w:val="en-US"/>
        </w:rPr>
      </w:pPr>
    </w:p>
    <w:p w:rsidR="00CD7A47" w:rsidRPr="00CD7A47" w:rsidRDefault="00CD7A47" w:rsidP="00596D79">
      <w:pPr>
        <w:rPr>
          <w:b/>
          <w:lang w:val="en-US"/>
        </w:rPr>
      </w:pPr>
    </w:p>
    <w:p w:rsidR="00047CA5" w:rsidRPr="006177C0" w:rsidRDefault="00047CA5" w:rsidP="00596D79">
      <w:pPr>
        <w:rPr>
          <w:b/>
          <w:lang w:val="id-ID"/>
        </w:rPr>
      </w:pPr>
    </w:p>
    <w:p w:rsidR="007F7939" w:rsidRPr="006177C0" w:rsidRDefault="007F7939" w:rsidP="00596D79">
      <w:pPr>
        <w:rPr>
          <w:b/>
          <w:lang w:val="id-ID"/>
        </w:rPr>
      </w:pPr>
      <w:r w:rsidRPr="006177C0">
        <w:rPr>
          <w:b/>
          <w:lang w:val="id-ID"/>
        </w:rPr>
        <w:lastRenderedPageBreak/>
        <w:t>Daftar Pustaka</w:t>
      </w:r>
    </w:p>
    <w:p w:rsidR="006177C0" w:rsidRPr="006177C0" w:rsidRDefault="006177C0" w:rsidP="006177C0">
      <w:pPr>
        <w:pStyle w:val="Default"/>
        <w:jc w:val="both"/>
        <w:rPr>
          <w:noProof/>
          <w:color w:val="auto"/>
          <w:lang w:val="id-ID"/>
        </w:rPr>
      </w:pPr>
      <w:r w:rsidRPr="006177C0">
        <w:rPr>
          <w:noProof/>
          <w:color w:val="auto"/>
          <w:lang w:val="id-ID"/>
        </w:rPr>
        <w:t xml:space="preserve">Andiyasa, I Gusti Agus. 2014. Pengaruh Beberapa Indeks Saham dan Indikator </w:t>
      </w:r>
    </w:p>
    <w:p w:rsidR="006177C0" w:rsidRPr="006177C0" w:rsidRDefault="006177C0" w:rsidP="006177C0">
      <w:pPr>
        <w:pStyle w:val="Default"/>
        <w:ind w:left="720"/>
        <w:jc w:val="both"/>
        <w:rPr>
          <w:color w:val="auto"/>
          <w:lang w:val="id-ID"/>
        </w:rPr>
      </w:pPr>
      <w:r w:rsidRPr="006177C0">
        <w:rPr>
          <w:noProof/>
          <w:color w:val="auto"/>
          <w:lang w:val="id-ID"/>
        </w:rPr>
        <w:t>Ekonomi Global Terhadap Kondisi Pasar Modal Indonesia. Tesis, Program Pascasarjana Universitas Udayana Denpasar. Indeks Nikkei 225 berpengaruh  negatif  terhadap  pergerakan  IHSG</w:t>
      </w:r>
      <w:r w:rsidRPr="006177C0">
        <w:rPr>
          <w:color w:val="auto"/>
          <w:lang w:val="id-ID"/>
        </w:rPr>
        <w:t>.</w:t>
      </w:r>
    </w:p>
    <w:p w:rsidR="006177C0" w:rsidRPr="006177C0" w:rsidRDefault="006177C0" w:rsidP="006177C0">
      <w:pPr>
        <w:pStyle w:val="Default"/>
        <w:ind w:left="720"/>
        <w:jc w:val="both"/>
        <w:rPr>
          <w:color w:val="auto"/>
          <w:lang w:val="id-ID"/>
        </w:rPr>
      </w:pPr>
    </w:p>
    <w:p w:rsidR="006177C0" w:rsidRPr="006177C0" w:rsidRDefault="006177C0" w:rsidP="006177C0">
      <w:pPr>
        <w:pStyle w:val="Default"/>
        <w:jc w:val="both"/>
        <w:rPr>
          <w:noProof/>
          <w:color w:val="auto"/>
          <w:lang w:val="id-ID"/>
        </w:rPr>
      </w:pPr>
      <w:r w:rsidRPr="006177C0">
        <w:rPr>
          <w:noProof/>
          <w:color w:val="auto"/>
          <w:lang w:val="id-ID"/>
        </w:rPr>
        <w:t>Anlas, Tulin. 2012. The Effects of Changes in Foreign Exchange Rates On ISE-</w:t>
      </w:r>
    </w:p>
    <w:p w:rsidR="006177C0" w:rsidRPr="006177C0" w:rsidRDefault="006177C0" w:rsidP="006177C0">
      <w:pPr>
        <w:pStyle w:val="Default"/>
        <w:ind w:left="720"/>
        <w:jc w:val="both"/>
        <w:rPr>
          <w:noProof/>
          <w:color w:val="auto"/>
          <w:lang w:val="id-ID"/>
        </w:rPr>
      </w:pPr>
      <w:r w:rsidRPr="006177C0">
        <w:rPr>
          <w:noProof/>
          <w:color w:val="auto"/>
          <w:lang w:val="id-ID"/>
        </w:rPr>
        <w:t>100 Index. Journal of Applied Economics and Business Research JAEBR, 2(1): 34-45.</w:t>
      </w:r>
    </w:p>
    <w:p w:rsidR="006177C0" w:rsidRPr="006177C0" w:rsidRDefault="006177C0" w:rsidP="006177C0">
      <w:pPr>
        <w:pStyle w:val="Default"/>
        <w:ind w:left="720"/>
        <w:jc w:val="both"/>
        <w:rPr>
          <w:color w:val="auto"/>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Blanchard, Olivier. 2006.  Macroeconomics, 4th  edition. New Jersey: Pearson </w:t>
      </w:r>
    </w:p>
    <w:p w:rsidR="006177C0" w:rsidRPr="006177C0" w:rsidRDefault="006177C0" w:rsidP="006177C0">
      <w:pPr>
        <w:autoSpaceDE w:val="0"/>
        <w:autoSpaceDN w:val="0"/>
        <w:adjustRightInd w:val="0"/>
        <w:jc w:val="both"/>
        <w:rPr>
          <w:noProof/>
          <w:lang w:val="id-ID"/>
        </w:rPr>
      </w:pPr>
      <w:r w:rsidRPr="006177C0">
        <w:rPr>
          <w:noProof/>
          <w:lang w:val="id-ID"/>
        </w:rPr>
        <w:t xml:space="preserve"> </w:t>
      </w:r>
      <w:r w:rsidRPr="006177C0">
        <w:rPr>
          <w:noProof/>
          <w:lang w:val="id-ID"/>
        </w:rPr>
        <w:tab/>
        <w:t>Prentice Hall</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Chandra Rudy, Bisnis &amp; Birokrasi, Jurnal Ilmu Administrasi dan Organisasi, </w:t>
      </w:r>
    </w:p>
    <w:p w:rsidR="006177C0" w:rsidRPr="006177C0" w:rsidRDefault="006177C0" w:rsidP="006177C0">
      <w:pPr>
        <w:autoSpaceDE w:val="0"/>
        <w:autoSpaceDN w:val="0"/>
        <w:adjustRightInd w:val="0"/>
        <w:ind w:firstLine="720"/>
        <w:jc w:val="both"/>
        <w:rPr>
          <w:noProof/>
          <w:lang w:val="id-ID"/>
        </w:rPr>
      </w:pPr>
      <w:r w:rsidRPr="006177C0">
        <w:rPr>
          <w:noProof/>
          <w:lang w:val="id-ID"/>
        </w:rPr>
        <w:t>Mei—Agus 2010, hlm. 101-113 ISSN 0854-3844 Volume 17, Nomor 2)</w:t>
      </w:r>
    </w:p>
    <w:p w:rsidR="006177C0" w:rsidRPr="006177C0" w:rsidRDefault="006177C0" w:rsidP="006177C0">
      <w:pPr>
        <w:autoSpaceDE w:val="0"/>
        <w:autoSpaceDN w:val="0"/>
        <w:adjustRightInd w:val="0"/>
        <w:ind w:firstLine="720"/>
        <w:jc w:val="both"/>
        <w:rPr>
          <w:noProof/>
          <w:lang w:val="id-ID"/>
        </w:rPr>
      </w:pPr>
    </w:p>
    <w:p w:rsidR="006177C0" w:rsidRPr="006177C0" w:rsidRDefault="006177C0" w:rsidP="006177C0">
      <w:pPr>
        <w:autoSpaceDE w:val="0"/>
        <w:autoSpaceDN w:val="0"/>
        <w:adjustRightInd w:val="0"/>
        <w:jc w:val="both"/>
        <w:rPr>
          <w:i/>
          <w:noProof/>
          <w:lang w:val="id-ID"/>
        </w:rPr>
      </w:pPr>
      <w:r w:rsidRPr="006177C0">
        <w:rPr>
          <w:noProof/>
          <w:lang w:val="id-ID"/>
        </w:rPr>
        <w:t xml:space="preserve">Cipto, Rahajeng Cahyaning Putri dan Akhsyim Afandi. </w:t>
      </w:r>
      <w:r w:rsidRPr="006177C0">
        <w:rPr>
          <w:i/>
          <w:noProof/>
          <w:lang w:val="id-ID"/>
        </w:rPr>
        <w:t xml:space="preserve">Domestic and Foreign </w:t>
      </w:r>
    </w:p>
    <w:p w:rsidR="006177C0" w:rsidRPr="006177C0" w:rsidRDefault="006177C0" w:rsidP="006177C0">
      <w:pPr>
        <w:autoSpaceDE w:val="0"/>
        <w:autoSpaceDN w:val="0"/>
        <w:adjustRightInd w:val="0"/>
        <w:ind w:left="720"/>
        <w:jc w:val="both"/>
        <w:rPr>
          <w:noProof/>
          <w:lang w:val="id-ID"/>
        </w:rPr>
      </w:pPr>
      <w:r w:rsidRPr="006177C0">
        <w:rPr>
          <w:i/>
          <w:noProof/>
          <w:lang w:val="id-ID"/>
        </w:rPr>
        <w:t>Factor for Stock Price in Indonesia</w:t>
      </w:r>
      <w:r w:rsidRPr="006177C0">
        <w:rPr>
          <w:noProof/>
          <w:lang w:val="id-ID"/>
        </w:rPr>
        <w:t>. Economic Journal of Emerging Markets. August 2010.</w:t>
      </w:r>
    </w:p>
    <w:p w:rsidR="006177C0" w:rsidRPr="006177C0" w:rsidRDefault="006177C0" w:rsidP="006177C0">
      <w:pPr>
        <w:autoSpaceDE w:val="0"/>
        <w:autoSpaceDN w:val="0"/>
        <w:adjustRightInd w:val="0"/>
        <w:ind w:firstLine="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Fabozzi, Frank J. 1999. Manajemen Investasi. Buku Satu. Salemba Empat Jakarta.</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Frensidy, Budi.  2008. Analisis Pengaruh Aksi Beli-Jual Asing, Kurs dan Indeks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Hang Seng terhadap Indeks Harga Saham Gabungan di Bursa Efek </w:t>
      </w:r>
    </w:p>
    <w:p w:rsidR="006177C0" w:rsidRPr="006177C0" w:rsidRDefault="006177C0" w:rsidP="006177C0">
      <w:pPr>
        <w:autoSpaceDE w:val="0"/>
        <w:autoSpaceDN w:val="0"/>
        <w:adjustRightInd w:val="0"/>
        <w:ind w:left="720"/>
        <w:jc w:val="both"/>
        <w:rPr>
          <w:noProof/>
          <w:lang w:val="id-ID"/>
        </w:rPr>
      </w:pPr>
      <w:r w:rsidRPr="006177C0">
        <w:rPr>
          <w:noProof/>
          <w:lang w:val="id-ID"/>
        </w:rPr>
        <w:t>Indonesia dengan Model GARCH. Media Riset Bisnis &amp; Manajemen. Vol8 No.1 April.</w:t>
      </w:r>
    </w:p>
    <w:p w:rsidR="006177C0" w:rsidRPr="006177C0" w:rsidRDefault="006177C0" w:rsidP="006177C0">
      <w:pPr>
        <w:autoSpaceDE w:val="0"/>
        <w:autoSpaceDN w:val="0"/>
        <w:adjustRightInd w:val="0"/>
        <w:ind w:firstLine="720"/>
        <w:jc w:val="both"/>
        <w:rPr>
          <w:noProof/>
          <w:lang w:val="id-ID"/>
        </w:rPr>
      </w:pPr>
    </w:p>
    <w:p w:rsidR="006177C0" w:rsidRPr="006177C0" w:rsidRDefault="006177C0" w:rsidP="006177C0">
      <w:pPr>
        <w:pStyle w:val="Default"/>
        <w:jc w:val="both"/>
        <w:rPr>
          <w:noProof/>
          <w:color w:val="auto"/>
          <w:lang w:val="id-ID"/>
        </w:rPr>
      </w:pPr>
      <w:r w:rsidRPr="006177C0">
        <w:rPr>
          <w:noProof/>
          <w:color w:val="auto"/>
          <w:lang w:val="id-ID"/>
        </w:rPr>
        <w:t>Ghozali, Imam. 2001. Aplikasi Analisis Multivariate dengan Program SPSS.</w:t>
      </w:r>
    </w:p>
    <w:p w:rsidR="006177C0" w:rsidRPr="006177C0" w:rsidRDefault="006177C0" w:rsidP="006177C0">
      <w:pPr>
        <w:pStyle w:val="Default"/>
        <w:jc w:val="both"/>
        <w:rPr>
          <w:noProof/>
          <w:color w:val="auto"/>
          <w:lang w:val="id-ID"/>
        </w:rPr>
      </w:pPr>
      <w:r w:rsidRPr="006177C0">
        <w:rPr>
          <w:noProof/>
          <w:color w:val="auto"/>
          <w:lang w:val="id-ID"/>
        </w:rPr>
        <w:t xml:space="preserve"> </w:t>
      </w:r>
      <w:r w:rsidRPr="006177C0">
        <w:rPr>
          <w:noProof/>
          <w:color w:val="auto"/>
          <w:lang w:val="id-ID"/>
        </w:rPr>
        <w:tab/>
        <w:t>Semarang, BP Undip.</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Gupta,  Jyoti  P.,  Alain  Chevalier  and  Fran Sayekt.  2000. The  Causality  </w:t>
      </w:r>
    </w:p>
    <w:p w:rsidR="006177C0" w:rsidRPr="006177C0" w:rsidRDefault="006177C0" w:rsidP="006177C0">
      <w:pPr>
        <w:autoSpaceDE w:val="0"/>
        <w:autoSpaceDN w:val="0"/>
        <w:adjustRightInd w:val="0"/>
        <w:ind w:left="720"/>
        <w:jc w:val="both"/>
        <w:rPr>
          <w:noProof/>
          <w:lang w:val="id-ID"/>
        </w:rPr>
      </w:pPr>
      <w:r w:rsidRPr="006177C0">
        <w:rPr>
          <w:noProof/>
          <w:lang w:val="id-ID"/>
        </w:rPr>
        <w:t>Between Interest  Rate,  Exchange  Rate  and Stock  Price  in  Emerging  Market:  The Case  Of  The  Jakarta  Stock  Exchange. Working  Paper  Series.  European Financial Management Journal.</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Hasibuan,  Ali  Fikri  dan  Hidayat,  Taufik.  2011.  Pengaruh  Indeks  Harga  </w:t>
      </w:r>
    </w:p>
    <w:p w:rsidR="006177C0" w:rsidRPr="006177C0" w:rsidRDefault="006177C0" w:rsidP="006177C0">
      <w:pPr>
        <w:autoSpaceDE w:val="0"/>
        <w:autoSpaceDN w:val="0"/>
        <w:adjustRightInd w:val="0"/>
        <w:ind w:left="720"/>
        <w:jc w:val="both"/>
        <w:rPr>
          <w:noProof/>
          <w:lang w:val="id-ID"/>
        </w:rPr>
      </w:pPr>
      <w:r w:rsidRPr="006177C0">
        <w:rPr>
          <w:noProof/>
          <w:lang w:val="id-ID"/>
        </w:rPr>
        <w:t>Saham Global  Terhadap  Pergerakan  Indeks  Harga  Saham  Gabungan  (IHSG). Jurnal Keuangan dan Bisnis, Volume 3, No 3.</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Hau, Harald and Hélène Rey.</w:t>
      </w:r>
      <w:r w:rsidRPr="006177C0">
        <w:rPr>
          <w:rFonts w:ascii="Dcr10" w:hAnsi="Dcr10"/>
          <w:color w:val="000000"/>
          <w:lang w:val="id-ID"/>
        </w:rPr>
        <w:t xml:space="preserve"> 2004.</w:t>
      </w:r>
      <w:r w:rsidRPr="006177C0">
        <w:rPr>
          <w:noProof/>
          <w:lang w:val="id-ID"/>
        </w:rPr>
        <w:t xml:space="preserve"> Can Portfolio Rebalancing Explain the </w:t>
      </w:r>
    </w:p>
    <w:p w:rsidR="006177C0" w:rsidRPr="006177C0" w:rsidRDefault="006177C0" w:rsidP="006177C0">
      <w:pPr>
        <w:autoSpaceDE w:val="0"/>
        <w:autoSpaceDN w:val="0"/>
        <w:adjustRightInd w:val="0"/>
        <w:ind w:left="720"/>
        <w:jc w:val="both"/>
        <w:rPr>
          <w:noProof/>
          <w:lang w:val="id-ID"/>
        </w:rPr>
      </w:pPr>
      <w:r w:rsidRPr="006177C0">
        <w:rPr>
          <w:noProof/>
          <w:lang w:val="id-ID"/>
        </w:rPr>
        <w:t>Dynamics of Equity Returns, Equity Flows, and Exchange Rates. Princeton University.</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Hau, Harald and Hélène Rey. 2006. Exchange Rates, Equity Prices, and Capital </w:t>
      </w:r>
    </w:p>
    <w:p w:rsidR="006177C0" w:rsidRPr="006177C0" w:rsidRDefault="006177C0" w:rsidP="006177C0">
      <w:pPr>
        <w:autoSpaceDE w:val="0"/>
        <w:autoSpaceDN w:val="0"/>
        <w:adjustRightInd w:val="0"/>
        <w:ind w:firstLine="720"/>
        <w:jc w:val="both"/>
        <w:rPr>
          <w:noProof/>
          <w:lang w:val="id-ID"/>
        </w:rPr>
      </w:pPr>
      <w:r w:rsidRPr="006177C0">
        <w:rPr>
          <w:noProof/>
          <w:lang w:val="id-ID"/>
        </w:rPr>
        <w:t>Flows. The Review of Financial Studies / v 19 n 1 2006.</w:t>
      </w:r>
    </w:p>
    <w:p w:rsidR="006177C0" w:rsidRPr="006177C0" w:rsidRDefault="006177C0" w:rsidP="006177C0">
      <w:pPr>
        <w:autoSpaceDE w:val="0"/>
        <w:autoSpaceDN w:val="0"/>
        <w:adjustRightInd w:val="0"/>
        <w:jc w:val="both"/>
        <w:rPr>
          <w:noProof/>
          <w:lang w:val="id-ID"/>
        </w:rPr>
      </w:pPr>
    </w:p>
    <w:p w:rsidR="00CD7A47" w:rsidRDefault="00CD7A47" w:rsidP="006177C0">
      <w:pPr>
        <w:autoSpaceDE w:val="0"/>
        <w:autoSpaceDN w:val="0"/>
        <w:adjustRightInd w:val="0"/>
        <w:jc w:val="both"/>
        <w:rPr>
          <w:noProof/>
          <w:lang w:val="en-US"/>
        </w:rPr>
      </w:pPr>
    </w:p>
    <w:p w:rsidR="00CD7A47" w:rsidRDefault="00CD7A47" w:rsidP="006177C0">
      <w:pPr>
        <w:autoSpaceDE w:val="0"/>
        <w:autoSpaceDN w:val="0"/>
        <w:adjustRightInd w:val="0"/>
        <w:jc w:val="both"/>
        <w:rPr>
          <w:noProof/>
          <w:lang w:val="en-US"/>
        </w:rPr>
      </w:pPr>
    </w:p>
    <w:p w:rsidR="006177C0" w:rsidRPr="006177C0" w:rsidRDefault="006177C0" w:rsidP="006177C0">
      <w:pPr>
        <w:autoSpaceDE w:val="0"/>
        <w:autoSpaceDN w:val="0"/>
        <w:adjustRightInd w:val="0"/>
        <w:jc w:val="both"/>
        <w:rPr>
          <w:noProof/>
          <w:lang w:val="id-ID"/>
        </w:rPr>
      </w:pPr>
      <w:r w:rsidRPr="006177C0">
        <w:rPr>
          <w:noProof/>
          <w:lang w:val="id-ID"/>
        </w:rPr>
        <w:lastRenderedPageBreak/>
        <w:t xml:space="preserve">Hayo,  Bernd  and  M.  Kuntan,  Ali.  2004.  The  Impact  of  News,  Oil  Prices,  </w:t>
      </w:r>
    </w:p>
    <w:p w:rsidR="006177C0" w:rsidRPr="006177C0" w:rsidRDefault="006177C0" w:rsidP="006177C0">
      <w:pPr>
        <w:autoSpaceDE w:val="0"/>
        <w:autoSpaceDN w:val="0"/>
        <w:adjustRightInd w:val="0"/>
        <w:ind w:left="720"/>
        <w:jc w:val="both"/>
        <w:rPr>
          <w:noProof/>
          <w:lang w:val="id-ID"/>
        </w:rPr>
      </w:pPr>
      <w:r w:rsidRPr="006177C0">
        <w:rPr>
          <w:noProof/>
          <w:lang w:val="id-ID"/>
        </w:rPr>
        <w:t>and Global  Market  Development  on  Russian  Financial  Markets,  William Davidson Institute Working Paper, No. 656</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Hosseini, Seyed Mehdi., Zamri Ahmad, Yew Wah Lai. 2011. The Role of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Macroeconomic Variables on Stock Market Index  in China and </w:t>
      </w:r>
    </w:p>
    <w:p w:rsidR="006177C0" w:rsidRPr="006177C0" w:rsidRDefault="006177C0" w:rsidP="006177C0">
      <w:pPr>
        <w:autoSpaceDE w:val="0"/>
        <w:autoSpaceDN w:val="0"/>
        <w:adjustRightInd w:val="0"/>
        <w:ind w:left="720"/>
        <w:jc w:val="both"/>
        <w:rPr>
          <w:noProof/>
          <w:lang w:val="id-ID"/>
        </w:rPr>
      </w:pPr>
      <w:r w:rsidRPr="006177C0">
        <w:rPr>
          <w:noProof/>
          <w:lang w:val="id-ID"/>
        </w:rPr>
        <w:t>India.International Journal of Economics and Finance Vol. 3, No. 6; November 2011. Canadian Center of Science and Education.</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Hossenidoust, Ehsan, Hawati Janor, Masoud Yusefi and Hafizi Abdul Majid. </w:t>
      </w:r>
    </w:p>
    <w:p w:rsidR="006177C0" w:rsidRPr="006177C0" w:rsidRDefault="006177C0" w:rsidP="006177C0">
      <w:pPr>
        <w:autoSpaceDE w:val="0"/>
        <w:autoSpaceDN w:val="0"/>
        <w:adjustRightInd w:val="0"/>
        <w:ind w:left="720"/>
        <w:jc w:val="both"/>
        <w:rPr>
          <w:noProof/>
          <w:lang w:val="id-ID"/>
        </w:rPr>
      </w:pPr>
      <w:r w:rsidRPr="006177C0">
        <w:rPr>
          <w:noProof/>
          <w:lang w:val="id-ID"/>
        </w:rPr>
        <w:t>2013. Volatility  Spillovers  across  Commodity  and  Stock  Markets  among ASEAN Countries. Prosiding Perkem VIII, Jilid 3</w:t>
      </w:r>
    </w:p>
    <w:p w:rsidR="006177C0" w:rsidRPr="006177C0" w:rsidRDefault="006177C0" w:rsidP="006177C0">
      <w:pPr>
        <w:autoSpaceDE w:val="0"/>
        <w:autoSpaceDN w:val="0"/>
        <w:adjustRightInd w:val="0"/>
        <w:ind w:left="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Jogiyanto. 2003. Teori Portofolio dan Analisis Investasi edisi ketiga cetakan</w:t>
      </w:r>
    </w:p>
    <w:p w:rsidR="006177C0" w:rsidRPr="006177C0" w:rsidRDefault="006177C0" w:rsidP="006177C0">
      <w:pPr>
        <w:autoSpaceDE w:val="0"/>
        <w:autoSpaceDN w:val="0"/>
        <w:adjustRightInd w:val="0"/>
        <w:ind w:firstLine="720"/>
        <w:jc w:val="both"/>
        <w:rPr>
          <w:noProof/>
          <w:lang w:val="id-ID"/>
        </w:rPr>
      </w:pPr>
      <w:r w:rsidRPr="006177C0">
        <w:rPr>
          <w:noProof/>
          <w:lang w:val="id-ID"/>
        </w:rPr>
        <w:t>pertama. Yogyakarta: BPFE-Yogyakarta</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Kilian, Lutz and  Park, Cheolbeom. 2007. The Impact of Oil Prices Shocks on the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U.S. Stock Market, Research Paper, Department of Economics, University </w:t>
      </w:r>
    </w:p>
    <w:p w:rsidR="006177C0" w:rsidRPr="006177C0" w:rsidRDefault="006177C0" w:rsidP="006177C0">
      <w:pPr>
        <w:autoSpaceDE w:val="0"/>
        <w:autoSpaceDN w:val="0"/>
        <w:adjustRightInd w:val="0"/>
        <w:ind w:firstLine="720"/>
        <w:jc w:val="both"/>
        <w:rPr>
          <w:noProof/>
          <w:lang w:val="id-ID"/>
        </w:rPr>
      </w:pPr>
      <w:r w:rsidRPr="006177C0">
        <w:rPr>
          <w:noProof/>
          <w:lang w:val="id-ID"/>
        </w:rPr>
        <w:t>of Michigan</w:t>
      </w:r>
    </w:p>
    <w:p w:rsidR="006177C0" w:rsidRPr="006177C0" w:rsidRDefault="006177C0" w:rsidP="006177C0">
      <w:pPr>
        <w:autoSpaceDE w:val="0"/>
        <w:autoSpaceDN w:val="0"/>
        <w:adjustRightInd w:val="0"/>
        <w:ind w:firstLine="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Kurihara, Yutaka and Eiji Nezu. 2006. Recent stock price relationships between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Japanese and US stock markets. Studies in Economics and Finance </w:t>
      </w:r>
    </w:p>
    <w:p w:rsidR="006177C0" w:rsidRPr="006177C0" w:rsidRDefault="006177C0" w:rsidP="006177C0">
      <w:pPr>
        <w:autoSpaceDE w:val="0"/>
        <w:autoSpaceDN w:val="0"/>
        <w:adjustRightInd w:val="0"/>
        <w:ind w:firstLine="720"/>
        <w:jc w:val="both"/>
        <w:rPr>
          <w:noProof/>
          <w:lang w:val="id-ID"/>
        </w:rPr>
      </w:pPr>
      <w:r w:rsidRPr="006177C0">
        <w:rPr>
          <w:noProof/>
          <w:lang w:val="id-ID"/>
        </w:rPr>
        <w:t>Vol. 23 No. 3, 2006 Emerald Group Publishing Limited</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Mankiw, N Gregory. 2006. Pengantar Ekonomi Makro. Edisi 3. Jakarta, Salemba </w:t>
      </w:r>
    </w:p>
    <w:p w:rsidR="006177C0" w:rsidRPr="006177C0" w:rsidRDefault="006177C0" w:rsidP="006177C0">
      <w:pPr>
        <w:autoSpaceDE w:val="0"/>
        <w:autoSpaceDN w:val="0"/>
        <w:adjustRightInd w:val="0"/>
        <w:ind w:firstLine="720"/>
        <w:jc w:val="both"/>
        <w:rPr>
          <w:noProof/>
          <w:lang w:val="id-ID"/>
        </w:rPr>
      </w:pPr>
      <w:r w:rsidRPr="006177C0">
        <w:rPr>
          <w:noProof/>
          <w:lang w:val="id-ID"/>
        </w:rPr>
        <w:t>Empat.</w:t>
      </w:r>
    </w:p>
    <w:p w:rsidR="006177C0" w:rsidRPr="006177C0" w:rsidRDefault="006177C0" w:rsidP="006177C0">
      <w:pPr>
        <w:autoSpaceDE w:val="0"/>
        <w:autoSpaceDN w:val="0"/>
        <w:adjustRightInd w:val="0"/>
        <w:ind w:firstLine="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Mansur, Moh. 2005. Pengaruh Indeks Bursa Global terhadap Indeks Harga Saham </w:t>
      </w:r>
    </w:p>
    <w:p w:rsidR="006177C0" w:rsidRPr="006177C0" w:rsidRDefault="006177C0" w:rsidP="006177C0">
      <w:pPr>
        <w:autoSpaceDE w:val="0"/>
        <w:autoSpaceDN w:val="0"/>
        <w:adjustRightInd w:val="0"/>
        <w:ind w:left="720"/>
        <w:jc w:val="both"/>
        <w:rPr>
          <w:noProof/>
          <w:lang w:val="id-ID"/>
        </w:rPr>
      </w:pPr>
      <w:r w:rsidRPr="006177C0">
        <w:rPr>
          <w:noProof/>
          <w:lang w:val="id-ID"/>
        </w:rPr>
        <w:t>Gabungan (IHSG) Pada Bursa Efek Jakarta (BEJ) Periode Tahun 2000-2002. Sosiohumaniora, Vol. 7, No. 3, November 2005 : 203 - 219</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lang w:val="id-ID"/>
        </w:rPr>
      </w:pPr>
      <w:r w:rsidRPr="006177C0">
        <w:rPr>
          <w:lang w:val="id-ID"/>
        </w:rPr>
        <w:t xml:space="preserve">Markowitz,  Harry.  1952.  </w:t>
      </w:r>
      <w:r w:rsidRPr="006177C0">
        <w:rPr>
          <w:i/>
          <w:lang w:val="id-ID"/>
        </w:rPr>
        <w:t>Portfolio  Selection.</w:t>
      </w:r>
      <w:r w:rsidRPr="006177C0">
        <w:rPr>
          <w:lang w:val="id-ID"/>
        </w:rPr>
        <w:t xml:space="preserve"> The  Journal  of Finance, Vol. 7, </w:t>
      </w:r>
    </w:p>
    <w:p w:rsidR="006177C0" w:rsidRPr="006177C0" w:rsidRDefault="006177C0" w:rsidP="006177C0">
      <w:pPr>
        <w:autoSpaceDE w:val="0"/>
        <w:autoSpaceDN w:val="0"/>
        <w:adjustRightInd w:val="0"/>
        <w:ind w:firstLine="720"/>
        <w:jc w:val="both"/>
        <w:rPr>
          <w:lang w:val="id-ID"/>
        </w:rPr>
      </w:pPr>
      <w:r w:rsidRPr="006177C0">
        <w:rPr>
          <w:lang w:val="id-ID"/>
        </w:rPr>
        <w:t>No. 1</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Muharam,  Harjum.  Zuraedah  Nurafni.  2008.  Analisis  Pengaruh  Nilai  Tukar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Rupiah  dan  Indek Saham  Dow  Jones  Industrial  Average  Terhadap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Indek  Harga  Saham  Gabungan  di  BEJ. Jurnal MAKSI. Vol. 8, No. 1 </w:t>
      </w:r>
    </w:p>
    <w:p w:rsidR="006177C0" w:rsidRPr="006177C0" w:rsidRDefault="006177C0" w:rsidP="006177C0">
      <w:pPr>
        <w:autoSpaceDE w:val="0"/>
        <w:autoSpaceDN w:val="0"/>
        <w:adjustRightInd w:val="0"/>
        <w:ind w:firstLine="720"/>
        <w:jc w:val="both"/>
        <w:rPr>
          <w:noProof/>
          <w:lang w:val="id-ID"/>
        </w:rPr>
      </w:pPr>
      <w:r w:rsidRPr="006177C0">
        <w:rPr>
          <w:noProof/>
          <w:lang w:val="id-ID"/>
        </w:rPr>
        <w:t>Januari 2008 : 24 – 42. Universitas Diponegoro.</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lang w:val="id-ID"/>
        </w:rPr>
      </w:pPr>
      <w:r w:rsidRPr="006177C0">
        <w:rPr>
          <w:lang w:val="id-ID"/>
        </w:rPr>
        <w:t xml:space="preserve">Nachrowi, D. dan Hardius Usman. 2006. Pendekatan Populer dan Praktis </w:t>
      </w:r>
    </w:p>
    <w:p w:rsidR="006177C0" w:rsidRPr="006177C0" w:rsidRDefault="006177C0" w:rsidP="006177C0">
      <w:pPr>
        <w:autoSpaceDE w:val="0"/>
        <w:autoSpaceDN w:val="0"/>
        <w:adjustRightInd w:val="0"/>
        <w:ind w:left="720"/>
        <w:jc w:val="both"/>
        <w:rPr>
          <w:lang w:val="id-ID"/>
        </w:rPr>
      </w:pPr>
      <w:r w:rsidRPr="006177C0">
        <w:rPr>
          <w:lang w:val="id-ID"/>
        </w:rPr>
        <w:t>Ekonometrika untuk  Analisis  Ekonomi dan Keuangan.  Jakarta :  Lembaga Penerbit Fakultas Ekonomi Universitas Indonesia.</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Rahman, Md. Lutfur and Jashim Uddin.2009. Dynamic Relationship between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Stock Prices and Exchange Rates: Evidence from Three South Asian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Countries. CCSE International Business Research. Vol.2 No.2 </w:t>
      </w:r>
    </w:p>
    <w:p w:rsidR="006177C0" w:rsidRPr="006177C0" w:rsidRDefault="006177C0" w:rsidP="006177C0">
      <w:pPr>
        <w:autoSpaceDE w:val="0"/>
        <w:autoSpaceDN w:val="0"/>
        <w:adjustRightInd w:val="0"/>
        <w:jc w:val="both"/>
        <w:rPr>
          <w:noProof/>
          <w:lang w:val="id-ID"/>
        </w:rPr>
      </w:pPr>
    </w:p>
    <w:p w:rsidR="00CD7A47" w:rsidRDefault="00CD7A47" w:rsidP="006177C0">
      <w:pPr>
        <w:autoSpaceDE w:val="0"/>
        <w:autoSpaceDN w:val="0"/>
        <w:adjustRightInd w:val="0"/>
        <w:jc w:val="both"/>
        <w:rPr>
          <w:lang w:val="en-US"/>
        </w:rPr>
      </w:pPr>
    </w:p>
    <w:p w:rsidR="006177C0" w:rsidRPr="006177C0" w:rsidRDefault="006177C0" w:rsidP="006177C0">
      <w:pPr>
        <w:autoSpaceDE w:val="0"/>
        <w:autoSpaceDN w:val="0"/>
        <w:adjustRightInd w:val="0"/>
        <w:jc w:val="both"/>
        <w:rPr>
          <w:lang w:val="id-ID"/>
        </w:rPr>
      </w:pPr>
      <w:r w:rsidRPr="006177C0">
        <w:rPr>
          <w:lang w:val="id-ID"/>
        </w:rPr>
        <w:lastRenderedPageBreak/>
        <w:t>Rizal, Jose Joesoef. 2007. Pasar Uang dan Pasar Valuta Asing. Jakarta :</w:t>
      </w:r>
    </w:p>
    <w:p w:rsidR="006177C0" w:rsidRPr="006177C0" w:rsidRDefault="006177C0" w:rsidP="006177C0">
      <w:pPr>
        <w:autoSpaceDE w:val="0"/>
        <w:autoSpaceDN w:val="0"/>
        <w:adjustRightInd w:val="0"/>
        <w:ind w:firstLine="720"/>
        <w:jc w:val="both"/>
        <w:rPr>
          <w:lang w:val="id-ID"/>
        </w:rPr>
      </w:pPr>
      <w:r w:rsidRPr="006177C0">
        <w:rPr>
          <w:lang w:val="id-ID"/>
        </w:rPr>
        <w:t xml:space="preserve">Salemba Empat. </w:t>
      </w:r>
    </w:p>
    <w:p w:rsidR="006177C0" w:rsidRPr="006177C0" w:rsidRDefault="006177C0" w:rsidP="006177C0">
      <w:pPr>
        <w:autoSpaceDE w:val="0"/>
        <w:autoSpaceDN w:val="0"/>
        <w:adjustRightInd w:val="0"/>
        <w:jc w:val="both"/>
        <w:rPr>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Robert, A.  2001.  Buku Pintar Pasar Modal Indonesia. Jakarta: Penerbit First </w:t>
      </w:r>
    </w:p>
    <w:p w:rsidR="006177C0" w:rsidRPr="006177C0" w:rsidRDefault="006177C0" w:rsidP="006177C0">
      <w:pPr>
        <w:autoSpaceDE w:val="0"/>
        <w:autoSpaceDN w:val="0"/>
        <w:adjustRightInd w:val="0"/>
        <w:ind w:firstLine="720"/>
        <w:jc w:val="both"/>
        <w:rPr>
          <w:noProof/>
          <w:lang w:val="id-ID"/>
        </w:rPr>
      </w:pPr>
      <w:r w:rsidRPr="006177C0">
        <w:rPr>
          <w:noProof/>
          <w:lang w:val="id-ID"/>
        </w:rPr>
        <w:t>Edition Mediasoft</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Samsul,  Mohammad.  2006.  Pasar Modal dan Manajemen Portofolio, Jakarta: </w:t>
      </w:r>
    </w:p>
    <w:p w:rsidR="006177C0" w:rsidRPr="006177C0" w:rsidRDefault="006177C0" w:rsidP="006177C0">
      <w:pPr>
        <w:autoSpaceDE w:val="0"/>
        <w:autoSpaceDN w:val="0"/>
        <w:adjustRightInd w:val="0"/>
        <w:ind w:firstLine="720"/>
        <w:jc w:val="both"/>
        <w:rPr>
          <w:noProof/>
          <w:lang w:val="id-ID"/>
        </w:rPr>
      </w:pPr>
      <w:r w:rsidRPr="006177C0">
        <w:rPr>
          <w:noProof/>
          <w:lang w:val="id-ID"/>
        </w:rPr>
        <w:t>Penerbit Erlangga.</w:t>
      </w:r>
    </w:p>
    <w:p w:rsidR="006177C0" w:rsidRPr="006177C0" w:rsidRDefault="006177C0" w:rsidP="006177C0">
      <w:pPr>
        <w:autoSpaceDE w:val="0"/>
        <w:autoSpaceDN w:val="0"/>
        <w:adjustRightInd w:val="0"/>
        <w:ind w:left="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Sitinjak,  Elyzabeth  Lucky Maretha  dan Widuri  Kurniasari. 2003. Indikator </w:t>
      </w:r>
    </w:p>
    <w:p w:rsidR="006177C0" w:rsidRPr="006177C0" w:rsidRDefault="006177C0" w:rsidP="006177C0">
      <w:pPr>
        <w:autoSpaceDE w:val="0"/>
        <w:autoSpaceDN w:val="0"/>
        <w:adjustRightInd w:val="0"/>
        <w:ind w:left="720"/>
        <w:jc w:val="both"/>
        <w:rPr>
          <w:noProof/>
          <w:lang w:val="id-ID"/>
        </w:rPr>
      </w:pPr>
      <w:r w:rsidRPr="006177C0">
        <w:rPr>
          <w:noProof/>
          <w:lang w:val="id-ID"/>
        </w:rPr>
        <w:t>indikator  Pasar  Saham  dan  Pasar Uang  Yang  Saling  Berkaitan  Ditijau Dari Pasae Saham Sedang Bullish dan Bearish. Jurnal  Riset  Ekonomi  dan Manajemen. Vol. 3 No. 3.</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Smith, Graham. 2001. The Price of Gold and Stock Prices Indices For the United </w:t>
      </w:r>
    </w:p>
    <w:p w:rsidR="006177C0" w:rsidRPr="006177C0" w:rsidRDefault="006177C0" w:rsidP="006177C0">
      <w:pPr>
        <w:autoSpaceDE w:val="0"/>
        <w:autoSpaceDN w:val="0"/>
        <w:adjustRightInd w:val="0"/>
        <w:ind w:firstLine="720"/>
        <w:jc w:val="both"/>
        <w:rPr>
          <w:noProof/>
          <w:lang w:val="id-ID"/>
        </w:rPr>
      </w:pPr>
      <w:r w:rsidRPr="006177C0">
        <w:rPr>
          <w:noProof/>
          <w:lang w:val="id-ID"/>
        </w:rPr>
        <w:t>States,  Adrienne Roberts FT Personal Finance, pp.14.</w:t>
      </w:r>
    </w:p>
    <w:p w:rsidR="006177C0" w:rsidRPr="006177C0" w:rsidRDefault="006177C0" w:rsidP="006177C0">
      <w:pPr>
        <w:autoSpaceDE w:val="0"/>
        <w:autoSpaceDN w:val="0"/>
        <w:adjustRightInd w:val="0"/>
        <w:jc w:val="both"/>
        <w:rPr>
          <w:noProof/>
          <w:lang w:val="id-ID"/>
        </w:rPr>
      </w:pPr>
    </w:p>
    <w:p w:rsidR="006177C0" w:rsidRPr="006177C0" w:rsidRDefault="006177C0" w:rsidP="006177C0">
      <w:pPr>
        <w:jc w:val="both"/>
        <w:rPr>
          <w:noProof/>
          <w:lang w:val="id-ID"/>
        </w:rPr>
      </w:pPr>
      <w:r w:rsidRPr="006177C0">
        <w:rPr>
          <w:noProof/>
          <w:lang w:val="id-ID"/>
        </w:rPr>
        <w:t xml:space="preserve">Suad,  Husnan, 1996, Dasar-Dasar Teori Portofolio dan Analisis Investasi, Edisi </w:t>
      </w:r>
    </w:p>
    <w:p w:rsidR="006177C0" w:rsidRPr="006177C0" w:rsidRDefault="006177C0" w:rsidP="006177C0">
      <w:pPr>
        <w:autoSpaceDE w:val="0"/>
        <w:autoSpaceDN w:val="0"/>
        <w:adjustRightInd w:val="0"/>
        <w:ind w:firstLine="720"/>
        <w:jc w:val="both"/>
        <w:rPr>
          <w:noProof/>
          <w:lang w:val="id-ID"/>
        </w:rPr>
      </w:pPr>
      <w:r w:rsidRPr="006177C0">
        <w:rPr>
          <w:noProof/>
          <w:lang w:val="id-ID"/>
        </w:rPr>
        <w:t>Ketiga, Cetakan Kedua, Yogyakarta : YKPN.</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Sukcharoensin, Pariyada. 2013. Time-Varying Market, Interest Rate and </w:t>
      </w:r>
    </w:p>
    <w:p w:rsidR="006177C0" w:rsidRPr="006177C0" w:rsidRDefault="006177C0" w:rsidP="006177C0">
      <w:pPr>
        <w:autoSpaceDE w:val="0"/>
        <w:autoSpaceDN w:val="0"/>
        <w:adjustRightInd w:val="0"/>
        <w:ind w:left="720"/>
        <w:jc w:val="both"/>
        <w:rPr>
          <w:noProof/>
          <w:lang w:val="id-ID"/>
        </w:rPr>
      </w:pPr>
      <w:r w:rsidRPr="006177C0">
        <w:rPr>
          <w:noProof/>
          <w:lang w:val="id-ID"/>
        </w:rPr>
        <w:t>Exchange Rate Risks of Thai Commercial Banks. Asian Academy of</w:t>
      </w:r>
      <w:r w:rsidRPr="006177C0">
        <w:rPr>
          <w:noProof/>
          <w:lang w:val="id-ID"/>
        </w:rPr>
        <w:br/>
        <w:t>Management Journal of Accounting And Finance Vol. 9, No. 1, 25–45</w:t>
      </w:r>
    </w:p>
    <w:p w:rsidR="006177C0" w:rsidRPr="006177C0" w:rsidRDefault="006177C0" w:rsidP="006177C0">
      <w:pPr>
        <w:autoSpaceDE w:val="0"/>
        <w:autoSpaceDN w:val="0"/>
        <w:adjustRightInd w:val="0"/>
        <w:jc w:val="both"/>
        <w:rPr>
          <w:b/>
          <w:bCs/>
          <w:color w:val="000000"/>
          <w:sz w:val="20"/>
          <w:szCs w:val="20"/>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Sunariyah.  2011. “Pengantar  Pengetahuan  Pasar  Modal”,  Edisi  6, penerbit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UPP  STIM YKPN, Yogyakarta, </w:t>
      </w:r>
    </w:p>
    <w:p w:rsidR="006177C0" w:rsidRPr="006177C0" w:rsidRDefault="006177C0" w:rsidP="006177C0">
      <w:pPr>
        <w:autoSpaceDE w:val="0"/>
        <w:autoSpaceDN w:val="0"/>
        <w:adjustRightInd w:val="0"/>
        <w:ind w:firstLine="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Supriyanto, Wawan, 2006, Analisis Hubungan Dinamis Antara Arus Modal </w:t>
      </w:r>
    </w:p>
    <w:p w:rsidR="006177C0" w:rsidRPr="006177C0" w:rsidRDefault="006177C0" w:rsidP="006177C0">
      <w:pPr>
        <w:autoSpaceDE w:val="0"/>
        <w:autoSpaceDN w:val="0"/>
        <w:adjustRightInd w:val="0"/>
        <w:ind w:left="720"/>
        <w:jc w:val="both"/>
        <w:rPr>
          <w:noProof/>
          <w:lang w:val="id-ID"/>
        </w:rPr>
      </w:pPr>
      <w:r w:rsidRPr="006177C0">
        <w:rPr>
          <w:noProof/>
          <w:lang w:val="id-ID"/>
        </w:rPr>
        <w:t>Asing, Perubahan Nilai Tukar dan Pergerakan Indeks LQ45, Tesis, Universitas Indonesia, Jakarta</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Tim Studi Bappepam LK</w:t>
      </w:r>
      <w:r w:rsidRPr="006177C0">
        <w:rPr>
          <w:lang w:val="id-ID"/>
        </w:rPr>
        <w:t>. 2008. A</w:t>
      </w:r>
      <w:r w:rsidRPr="006177C0">
        <w:rPr>
          <w:noProof/>
          <w:lang w:val="id-ID"/>
        </w:rPr>
        <w:t xml:space="preserve">nalisis Hubungan Kointegrasi dan Kausalitas </w:t>
      </w:r>
    </w:p>
    <w:p w:rsidR="006177C0" w:rsidRPr="006177C0" w:rsidRDefault="006177C0" w:rsidP="006177C0">
      <w:pPr>
        <w:autoSpaceDE w:val="0"/>
        <w:autoSpaceDN w:val="0"/>
        <w:adjustRightInd w:val="0"/>
        <w:ind w:left="720"/>
        <w:jc w:val="both"/>
        <w:rPr>
          <w:noProof/>
          <w:lang w:val="id-ID"/>
        </w:rPr>
      </w:pPr>
      <w:r w:rsidRPr="006177C0">
        <w:rPr>
          <w:noProof/>
          <w:lang w:val="id-ID"/>
        </w:rPr>
        <w:t>Serta Hubungan Dinamis Antara Aliran Modal Asing, Perubahan Nilai Tukar dan Pergerakan IHSG di Pasar Modal Indonesia. Badan Pengawas Pasar Modal dan Lembaga Keuangan Departemen Keuangan Republik Indonesia</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i/>
          <w:noProof/>
          <w:lang w:val="id-ID"/>
        </w:rPr>
      </w:pPr>
      <w:r w:rsidRPr="006177C0">
        <w:rPr>
          <w:noProof/>
          <w:lang w:val="id-ID"/>
        </w:rPr>
        <w:t xml:space="preserve">Twite, Garry. 2002. </w:t>
      </w:r>
      <w:r w:rsidRPr="006177C0">
        <w:rPr>
          <w:i/>
          <w:noProof/>
          <w:lang w:val="id-ID"/>
        </w:rPr>
        <w:t>Gold Prices, Exchange Rates, Gold Stocks and the Gold</w:t>
      </w:r>
    </w:p>
    <w:p w:rsidR="006177C0" w:rsidRPr="006177C0" w:rsidRDefault="006177C0" w:rsidP="006177C0">
      <w:pPr>
        <w:autoSpaceDE w:val="0"/>
        <w:autoSpaceDN w:val="0"/>
        <w:adjustRightInd w:val="0"/>
        <w:jc w:val="both"/>
        <w:rPr>
          <w:noProof/>
          <w:lang w:val="id-ID"/>
        </w:rPr>
      </w:pPr>
      <w:r w:rsidRPr="006177C0">
        <w:rPr>
          <w:i/>
          <w:noProof/>
          <w:lang w:val="id-ID"/>
        </w:rPr>
        <w:t xml:space="preserve"> </w:t>
      </w:r>
      <w:r w:rsidRPr="006177C0">
        <w:rPr>
          <w:i/>
          <w:noProof/>
          <w:lang w:val="id-ID"/>
        </w:rPr>
        <w:tab/>
        <w:t xml:space="preserve">Premium. </w:t>
      </w:r>
      <w:r w:rsidRPr="006177C0">
        <w:rPr>
          <w:noProof/>
          <w:lang w:val="id-ID"/>
        </w:rPr>
        <w:t>Australian Journal of Management, Volume: 27, pp.123-140.</w:t>
      </w:r>
    </w:p>
    <w:p w:rsidR="006177C0" w:rsidRPr="006177C0" w:rsidRDefault="006177C0" w:rsidP="006177C0">
      <w:pPr>
        <w:pStyle w:val="NormalWeb"/>
        <w:shd w:val="clear" w:color="auto" w:fill="FFFFFF"/>
        <w:spacing w:before="0" w:beforeAutospacing="0" w:after="0" w:afterAutospacing="0"/>
        <w:jc w:val="both"/>
        <w:rPr>
          <w:noProof/>
          <w:lang w:val="id-ID"/>
        </w:rPr>
      </w:pPr>
    </w:p>
    <w:p w:rsidR="006177C0" w:rsidRPr="006177C0" w:rsidRDefault="006177C0" w:rsidP="006177C0">
      <w:pPr>
        <w:pStyle w:val="NormalWeb"/>
        <w:shd w:val="clear" w:color="auto" w:fill="FFFFFF"/>
        <w:spacing w:before="0" w:beforeAutospacing="0" w:after="0" w:afterAutospacing="0"/>
        <w:jc w:val="both"/>
        <w:rPr>
          <w:i/>
          <w:noProof/>
          <w:lang w:val="id-ID"/>
        </w:rPr>
      </w:pPr>
      <w:r w:rsidRPr="006177C0">
        <w:rPr>
          <w:noProof/>
          <w:lang w:val="id-ID"/>
        </w:rPr>
        <w:t xml:space="preserve">Venska, Dewa Ayu Kartika., Suhadak dan Siti Ragil Handayani. 2014. </w:t>
      </w:r>
      <w:r w:rsidRPr="006177C0">
        <w:rPr>
          <w:i/>
          <w:noProof/>
          <w:lang w:val="id-ID"/>
        </w:rPr>
        <w:t xml:space="preserve">The Effect </w:t>
      </w:r>
    </w:p>
    <w:p w:rsidR="006177C0" w:rsidRPr="006177C0" w:rsidRDefault="006177C0" w:rsidP="006177C0">
      <w:pPr>
        <w:pStyle w:val="NormalWeb"/>
        <w:shd w:val="clear" w:color="auto" w:fill="FFFFFF"/>
        <w:spacing w:before="0" w:beforeAutospacing="0" w:after="0" w:afterAutospacing="0"/>
        <w:ind w:left="720"/>
        <w:jc w:val="both"/>
        <w:rPr>
          <w:noProof/>
          <w:lang w:val="id-ID"/>
        </w:rPr>
      </w:pPr>
      <w:r w:rsidRPr="006177C0">
        <w:rPr>
          <w:i/>
          <w:noProof/>
          <w:lang w:val="id-ID"/>
        </w:rPr>
        <w:t>of Global Stock Indexs (Dow Jones Industrial Average, Nikkei 225, Hang Seng, And Strait Times) on Jakarta Composite Index at Indonesian Stock Exchange (Period of 2010 – 2012)</w:t>
      </w:r>
      <w:r w:rsidRPr="006177C0">
        <w:rPr>
          <w:noProof/>
          <w:lang w:val="id-ID"/>
        </w:rPr>
        <w:t xml:space="preserve">. Jurnal Administrasi Bisnis (JAB), Vol. 9 No. 2 April </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Wahyudi, Sugeng. 2004. Analisis Pasar Modal : Sinyal Kuning di BEJ. Senin, </w:t>
      </w:r>
    </w:p>
    <w:p w:rsidR="006177C0" w:rsidRPr="006177C0" w:rsidRDefault="006177C0" w:rsidP="006177C0">
      <w:pPr>
        <w:autoSpaceDE w:val="0"/>
        <w:autoSpaceDN w:val="0"/>
        <w:adjustRightInd w:val="0"/>
        <w:ind w:firstLine="720"/>
        <w:jc w:val="both"/>
        <w:rPr>
          <w:noProof/>
          <w:lang w:val="id-ID"/>
        </w:rPr>
      </w:pPr>
      <w:r w:rsidRPr="006177C0">
        <w:rPr>
          <w:noProof/>
          <w:lang w:val="id-ID"/>
        </w:rPr>
        <w:t>07 Juni 2004. www.suaramerdeka.com</w:t>
      </w:r>
    </w:p>
    <w:p w:rsidR="006177C0" w:rsidRPr="006177C0" w:rsidRDefault="006177C0" w:rsidP="006177C0">
      <w:pPr>
        <w:autoSpaceDE w:val="0"/>
        <w:autoSpaceDN w:val="0"/>
        <w:adjustRightInd w:val="0"/>
        <w:jc w:val="both"/>
        <w:rPr>
          <w:noProof/>
          <w:lang w:val="id-ID"/>
        </w:rPr>
      </w:pPr>
      <w:r w:rsidRPr="006177C0">
        <w:rPr>
          <w:noProof/>
          <w:lang w:val="id-ID"/>
        </w:rPr>
        <w:lastRenderedPageBreak/>
        <w:t xml:space="preserve">Wang, Jianxin. 2000. Foreign Trading and Market Volatility in Indonesia. School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of Finance, University of New South Wales Working Paper. </w:t>
      </w:r>
    </w:p>
    <w:p w:rsidR="006177C0" w:rsidRPr="006177C0" w:rsidRDefault="006177C0" w:rsidP="006177C0">
      <w:pPr>
        <w:autoSpaceDE w:val="0"/>
        <w:autoSpaceDN w:val="0"/>
        <w:adjustRightInd w:val="0"/>
        <w:jc w:val="both"/>
        <w:rPr>
          <w:noProof/>
          <w:lang w:val="id-ID"/>
        </w:rPr>
      </w:pPr>
    </w:p>
    <w:p w:rsidR="006177C0" w:rsidRPr="006177C0" w:rsidRDefault="006177C0" w:rsidP="006177C0">
      <w:pPr>
        <w:jc w:val="both"/>
        <w:rPr>
          <w:lang w:val="id-ID"/>
        </w:rPr>
      </w:pPr>
      <w:r w:rsidRPr="006177C0">
        <w:rPr>
          <w:lang w:val="id-ID"/>
        </w:rPr>
        <w:t xml:space="preserve">Winarno,  Wing  Wahyu.  2007.  Analisis Ekonometrika dan Statistika dengan </w:t>
      </w:r>
    </w:p>
    <w:p w:rsidR="006177C0" w:rsidRPr="006177C0" w:rsidRDefault="006177C0" w:rsidP="006177C0">
      <w:pPr>
        <w:ind w:left="720"/>
        <w:jc w:val="both"/>
        <w:rPr>
          <w:lang w:val="id-ID"/>
        </w:rPr>
      </w:pPr>
      <w:r w:rsidRPr="006177C0">
        <w:rPr>
          <w:lang w:val="id-ID"/>
        </w:rPr>
        <w:t>Eviews. Yogyakarta  :  Unit  Penerbit  dan  Percetakan Sekolah  Tinggi  Ilmu  Manajemen  YKPN.</w:t>
      </w:r>
    </w:p>
    <w:p w:rsidR="006177C0" w:rsidRPr="006177C0" w:rsidRDefault="006177C0" w:rsidP="006177C0">
      <w:pPr>
        <w:ind w:left="720"/>
        <w:jc w:val="both"/>
        <w:rPr>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Witjaksono, A. A. 2010. Analisis Pengaruh Tingkat Suku Bunga SBI, Harga </w:t>
      </w:r>
    </w:p>
    <w:p w:rsidR="006177C0" w:rsidRPr="006177C0" w:rsidRDefault="006177C0" w:rsidP="006177C0">
      <w:pPr>
        <w:autoSpaceDE w:val="0"/>
        <w:autoSpaceDN w:val="0"/>
        <w:adjustRightInd w:val="0"/>
        <w:ind w:left="720"/>
        <w:jc w:val="both"/>
        <w:rPr>
          <w:noProof/>
          <w:lang w:val="id-ID"/>
        </w:rPr>
      </w:pPr>
      <w:r w:rsidRPr="006177C0">
        <w:rPr>
          <w:noProof/>
          <w:lang w:val="id-ID"/>
        </w:rPr>
        <w:t>Minyak Dunia, Harga Emas Dunia, Kurs Rupiah, Indeks Nikkei 225, dan Indeks Dow Jones Terhadap IHSG. Karisma, VOL. 5 (2): 63-72</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Yogaswari, Dhira Dwijayanti., Anggoro Budi Nugroho dan Novika Candra </w:t>
      </w:r>
    </w:p>
    <w:p w:rsidR="006177C0" w:rsidRPr="006177C0" w:rsidRDefault="006177C0" w:rsidP="006177C0">
      <w:pPr>
        <w:autoSpaceDE w:val="0"/>
        <w:autoSpaceDN w:val="0"/>
        <w:adjustRightInd w:val="0"/>
        <w:ind w:left="720"/>
        <w:jc w:val="both"/>
        <w:rPr>
          <w:noProof/>
          <w:lang w:val="id-ID"/>
        </w:rPr>
      </w:pPr>
      <w:r w:rsidRPr="006177C0">
        <w:rPr>
          <w:noProof/>
          <w:lang w:val="id-ID"/>
        </w:rPr>
        <w:t xml:space="preserve">Astuti. </w:t>
      </w:r>
      <w:r w:rsidRPr="006177C0">
        <w:rPr>
          <w:i/>
          <w:lang w:val="id-ID"/>
        </w:rPr>
        <w:t>The Effect of Macroeconomic Variables on Stock Price Volatility Evidence from Jakarta Composite Index, Agriculture, and Basic Industry Sector</w:t>
      </w:r>
      <w:r w:rsidRPr="006177C0">
        <w:rPr>
          <w:noProof/>
          <w:lang w:val="id-ID"/>
        </w:rPr>
        <w:t>. International Proceedings of Economics Development and Research. DOI: 10.7763/IPEDR. 2012. V46. 18.</w:t>
      </w:r>
    </w:p>
    <w:p w:rsidR="006177C0" w:rsidRPr="006177C0" w:rsidRDefault="006177C0" w:rsidP="006177C0">
      <w:pPr>
        <w:autoSpaceDE w:val="0"/>
        <w:autoSpaceDN w:val="0"/>
        <w:adjustRightInd w:val="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Yusuf, Mazila Md and Hamisah Abd Rahman. 2013. Granger Causality </w:t>
      </w:r>
    </w:p>
    <w:p w:rsidR="006177C0" w:rsidRPr="006177C0" w:rsidRDefault="006177C0" w:rsidP="006177C0">
      <w:pPr>
        <w:autoSpaceDE w:val="0"/>
        <w:autoSpaceDN w:val="0"/>
        <w:adjustRightInd w:val="0"/>
        <w:ind w:left="720"/>
        <w:jc w:val="both"/>
        <w:rPr>
          <w:noProof/>
          <w:lang w:val="id-ID"/>
        </w:rPr>
      </w:pPr>
      <w:r w:rsidRPr="006177C0">
        <w:rPr>
          <w:noProof/>
          <w:lang w:val="id-ID"/>
        </w:rPr>
        <w:t>Relationship between Malaysia Equity Market and Exchange Rate Volatility. International Journal of Trade, Economics and Finance, Vol. 4, No. 1</w:t>
      </w:r>
    </w:p>
    <w:p w:rsidR="006177C0" w:rsidRPr="006177C0" w:rsidRDefault="006177C0" w:rsidP="006177C0">
      <w:pPr>
        <w:autoSpaceDE w:val="0"/>
        <w:autoSpaceDN w:val="0"/>
        <w:adjustRightInd w:val="0"/>
        <w:ind w:left="720"/>
        <w:jc w:val="both"/>
        <w:rPr>
          <w:noProof/>
          <w:lang w:val="id-ID"/>
        </w:rPr>
      </w:pPr>
    </w:p>
    <w:p w:rsidR="006177C0" w:rsidRPr="006177C0" w:rsidRDefault="006177C0" w:rsidP="006177C0">
      <w:pPr>
        <w:autoSpaceDE w:val="0"/>
        <w:autoSpaceDN w:val="0"/>
        <w:adjustRightInd w:val="0"/>
        <w:jc w:val="both"/>
        <w:rPr>
          <w:noProof/>
          <w:lang w:val="id-ID"/>
        </w:rPr>
      </w:pPr>
      <w:r w:rsidRPr="006177C0">
        <w:rPr>
          <w:noProof/>
          <w:lang w:val="id-ID"/>
        </w:rPr>
        <w:t xml:space="preserve">Zakaria, Zukarnain and Sofian Shamsuddin. 2012. Empirical Evidence on the </w:t>
      </w:r>
    </w:p>
    <w:p w:rsidR="006177C0" w:rsidRPr="006177C0" w:rsidRDefault="006177C0" w:rsidP="006177C0">
      <w:pPr>
        <w:autoSpaceDE w:val="0"/>
        <w:autoSpaceDN w:val="0"/>
        <w:adjustRightInd w:val="0"/>
        <w:ind w:firstLine="720"/>
        <w:jc w:val="both"/>
        <w:rPr>
          <w:noProof/>
          <w:lang w:val="id-ID"/>
        </w:rPr>
      </w:pPr>
      <w:r w:rsidRPr="006177C0">
        <w:rPr>
          <w:noProof/>
          <w:lang w:val="id-ID"/>
        </w:rPr>
        <w:t xml:space="preserve">Relationship between Stock Market Volatility and Macroeconomics </w:t>
      </w:r>
    </w:p>
    <w:p w:rsidR="006177C0" w:rsidRPr="006177C0" w:rsidRDefault="006177C0" w:rsidP="006177C0">
      <w:pPr>
        <w:autoSpaceDE w:val="0"/>
        <w:autoSpaceDN w:val="0"/>
        <w:adjustRightInd w:val="0"/>
        <w:ind w:left="720"/>
        <w:jc w:val="both"/>
        <w:rPr>
          <w:noProof/>
          <w:lang w:val="id-ID"/>
        </w:rPr>
      </w:pPr>
      <w:r w:rsidRPr="006177C0">
        <w:rPr>
          <w:noProof/>
          <w:lang w:val="id-ID"/>
        </w:rPr>
        <w:t>Volatility in Malaysia. Journal Business Studies Quarterly Vol. 4, No. 2.</w:t>
      </w:r>
    </w:p>
    <w:p w:rsidR="00047CA5" w:rsidRPr="006177C0" w:rsidRDefault="00047CA5" w:rsidP="00596D79">
      <w:pPr>
        <w:rPr>
          <w:b/>
          <w:lang w:val="id-ID"/>
        </w:rPr>
      </w:pPr>
    </w:p>
    <w:p w:rsidR="00047CA5" w:rsidRPr="006177C0" w:rsidRDefault="00047CA5" w:rsidP="00596D79">
      <w:pPr>
        <w:rPr>
          <w:b/>
          <w:lang w:val="id-ID"/>
        </w:rPr>
      </w:pPr>
    </w:p>
    <w:p w:rsidR="00047CA5" w:rsidRPr="006177C0" w:rsidRDefault="00047CA5" w:rsidP="00596D79">
      <w:pPr>
        <w:rPr>
          <w:b/>
          <w:lang w:val="id-ID"/>
        </w:rPr>
      </w:pPr>
    </w:p>
    <w:p w:rsidR="00047CA5" w:rsidRPr="006177C0" w:rsidRDefault="00047CA5" w:rsidP="00596D79">
      <w:pPr>
        <w:rPr>
          <w:b/>
          <w:lang w:val="id-ID"/>
        </w:rPr>
      </w:pPr>
    </w:p>
    <w:p w:rsidR="00047CA5" w:rsidRPr="006177C0" w:rsidRDefault="00047CA5" w:rsidP="00596D79">
      <w:pPr>
        <w:rPr>
          <w:b/>
          <w:lang w:val="id-ID"/>
        </w:rPr>
      </w:pPr>
    </w:p>
    <w:p w:rsidR="00047CA5" w:rsidRDefault="00047CA5"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Default="00D86A88" w:rsidP="00596D79">
      <w:pPr>
        <w:rPr>
          <w:b/>
          <w:lang w:val="en-US"/>
        </w:rPr>
      </w:pPr>
    </w:p>
    <w:p w:rsidR="00D86A88" w:rsidRPr="00D86A88" w:rsidRDefault="00D86A88" w:rsidP="00596D79">
      <w:pPr>
        <w:rPr>
          <w:b/>
          <w:lang w:val="en-US"/>
        </w:rPr>
      </w:pPr>
    </w:p>
    <w:p w:rsidR="00047CA5" w:rsidRPr="006177C0" w:rsidRDefault="00047CA5" w:rsidP="00596D79">
      <w:pPr>
        <w:rPr>
          <w:b/>
          <w:lang w:val="id-ID"/>
        </w:rPr>
      </w:pPr>
    </w:p>
    <w:p w:rsidR="00047CA5" w:rsidRPr="006177C0" w:rsidRDefault="00047CA5" w:rsidP="00596D79">
      <w:pPr>
        <w:rPr>
          <w:b/>
          <w:lang w:val="id-ID"/>
        </w:rPr>
      </w:pPr>
    </w:p>
    <w:p w:rsidR="00047CA5" w:rsidRPr="006177C0" w:rsidRDefault="00047CA5" w:rsidP="00596D79">
      <w:pPr>
        <w:rPr>
          <w:b/>
          <w:lang w:val="id-ID"/>
        </w:rPr>
      </w:pPr>
    </w:p>
    <w:p w:rsidR="00937262" w:rsidRPr="006177C0" w:rsidRDefault="003E6725" w:rsidP="00596D79">
      <w:pPr>
        <w:rPr>
          <w:b/>
          <w:lang w:val="id-ID"/>
        </w:rPr>
      </w:pPr>
      <w:r w:rsidRPr="006177C0">
        <w:rPr>
          <w:b/>
          <w:lang w:val="id-ID"/>
        </w:rPr>
        <w:lastRenderedPageBreak/>
        <w:t>Lampiran</w:t>
      </w:r>
    </w:p>
    <w:p w:rsidR="00353B71" w:rsidRPr="006177C0" w:rsidRDefault="00D86A88" w:rsidP="00353B71">
      <w:pPr>
        <w:autoSpaceDE w:val="0"/>
        <w:autoSpaceDN w:val="0"/>
        <w:adjustRightInd w:val="0"/>
        <w:ind w:firstLine="720"/>
        <w:jc w:val="center"/>
        <w:rPr>
          <w:b/>
          <w:lang w:val="id-ID"/>
        </w:rPr>
      </w:pPr>
      <w:proofErr w:type="spellStart"/>
      <w:proofErr w:type="gramStart"/>
      <w:r>
        <w:rPr>
          <w:b/>
          <w:lang w:val="en-US"/>
        </w:rPr>
        <w:t>Lampiran</w:t>
      </w:r>
      <w:proofErr w:type="spellEnd"/>
      <w:r w:rsidR="00353B71" w:rsidRPr="006177C0">
        <w:rPr>
          <w:b/>
          <w:lang w:val="id-ID"/>
        </w:rPr>
        <w:t xml:space="preserve"> 1.</w:t>
      </w:r>
      <w:proofErr w:type="gramEnd"/>
      <w:r w:rsidR="00353B71" w:rsidRPr="006177C0">
        <w:rPr>
          <w:b/>
          <w:lang w:val="id-ID"/>
        </w:rPr>
        <w:t xml:space="preserve"> Model ARCH (1,0)</w:t>
      </w:r>
    </w:p>
    <w:p w:rsidR="00353B71" w:rsidRPr="006177C0" w:rsidRDefault="00353B71" w:rsidP="00353B71">
      <w:pPr>
        <w:autoSpaceDE w:val="0"/>
        <w:autoSpaceDN w:val="0"/>
        <w:adjustRightInd w:val="0"/>
        <w:ind w:firstLine="720"/>
        <w:jc w:val="center"/>
        <w:rPr>
          <w:b/>
          <w:sz w:val="16"/>
          <w:szCs w:val="16"/>
          <w:lang w:val="id-ID"/>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Dependent Variable: DIHSG</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Method: ML - ARCH (Marquardt) - Normal distribution</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Date: 03/24/15   Time: 09:01</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Sample (adjusted): 2003M02 2013M11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Included observations: 130 after adjustments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Convergence not achieved after 500 iterations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Presample variance: backcast (parameter = 0.7)</w:t>
            </w: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GARCH = C(8) + C(9)*RESID(-1)^2</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Variable</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Coefficient</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Std. Error</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z-Statistic</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Prob.  </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-2095.410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428.0029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-4.895785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DKURS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0.010812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0.036302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0.297824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0.7658</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DEMAS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2.169191</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0.144195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15.04349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DMINYAK</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4.938949</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1.695512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2.912954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0.0036</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DDJIA</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0.165500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0.025152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6.579903</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DNIKKEI</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0.002908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0.018423</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0.157858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0.8746</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FNP</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-9.55E-06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5.81E-06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-1.642969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0.1004</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2310" w:type="dxa"/>
            <w:gridSpan w:val="2"/>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Variance Equation</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37966.44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10282.64</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3.692284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RESID(-1)^2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0.534660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0.231325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2.311291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0.0208</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0.964641</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Mean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2309.872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Adjusted 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0.962917</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S.D.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1342.645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S.E. of regression</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258.5537</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Akaike info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13.65975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Sum squared resid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8222551.</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Schwarz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13.85827</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Log likelihood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-878.8837</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Hannan-Quinn criter.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13.74041</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Durbin-Watson stat</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0.501798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bl>
    <w:p w:rsidR="00353B71" w:rsidRPr="006177C0" w:rsidRDefault="00353B71" w:rsidP="00353B71">
      <w:pPr>
        <w:autoSpaceDE w:val="0"/>
        <w:autoSpaceDN w:val="0"/>
        <w:adjustRightInd w:val="0"/>
        <w:spacing w:line="360" w:lineRule="auto"/>
        <w:ind w:firstLine="720"/>
        <w:rPr>
          <w:sz w:val="22"/>
          <w:szCs w:val="22"/>
          <w:lang w:val="id-ID"/>
        </w:rPr>
      </w:pPr>
      <w:r w:rsidRPr="006177C0">
        <w:rPr>
          <w:sz w:val="22"/>
          <w:szCs w:val="22"/>
          <w:lang w:val="id-ID"/>
        </w:rPr>
        <w:t xml:space="preserve">Sumber : </w:t>
      </w:r>
      <w:r w:rsidRPr="006177C0">
        <w:rPr>
          <w:noProof/>
          <w:sz w:val="22"/>
          <w:szCs w:val="22"/>
          <w:lang w:val="id-ID"/>
        </w:rPr>
        <w:t>Output Eviews 8, 2015</w:t>
      </w:r>
    </w:p>
    <w:p w:rsidR="00353B71" w:rsidRPr="006177C0" w:rsidRDefault="00353B71" w:rsidP="00596D79">
      <w:pPr>
        <w:rPr>
          <w:b/>
          <w:lang w:val="id-ID"/>
        </w:rPr>
      </w:pPr>
    </w:p>
    <w:p w:rsidR="00353B71" w:rsidRPr="006177C0" w:rsidRDefault="00353B71" w:rsidP="00353B71">
      <w:pPr>
        <w:autoSpaceDE w:val="0"/>
        <w:autoSpaceDN w:val="0"/>
        <w:adjustRightInd w:val="0"/>
        <w:ind w:firstLine="720"/>
        <w:jc w:val="center"/>
        <w:rPr>
          <w:b/>
          <w:lang w:val="id-ID"/>
        </w:rPr>
      </w:pPr>
    </w:p>
    <w:p w:rsidR="00353B71" w:rsidRPr="006177C0" w:rsidRDefault="00D86A88" w:rsidP="00353B71">
      <w:pPr>
        <w:autoSpaceDE w:val="0"/>
        <w:autoSpaceDN w:val="0"/>
        <w:adjustRightInd w:val="0"/>
        <w:ind w:firstLine="720"/>
        <w:jc w:val="center"/>
        <w:rPr>
          <w:b/>
          <w:lang w:val="id-ID"/>
        </w:rPr>
      </w:pPr>
      <w:proofErr w:type="spellStart"/>
      <w:proofErr w:type="gramStart"/>
      <w:r>
        <w:rPr>
          <w:b/>
          <w:lang w:val="en-US"/>
        </w:rPr>
        <w:t>Lampiran</w:t>
      </w:r>
      <w:proofErr w:type="spellEnd"/>
      <w:r w:rsidRPr="006177C0">
        <w:rPr>
          <w:b/>
          <w:lang w:val="id-ID"/>
        </w:rPr>
        <w:t xml:space="preserve"> </w:t>
      </w:r>
      <w:r w:rsidR="00353B71" w:rsidRPr="006177C0">
        <w:rPr>
          <w:b/>
          <w:lang w:val="id-ID"/>
        </w:rPr>
        <w:t>2.</w:t>
      </w:r>
      <w:proofErr w:type="gramEnd"/>
      <w:r w:rsidR="00353B71" w:rsidRPr="006177C0">
        <w:rPr>
          <w:b/>
          <w:lang w:val="id-ID"/>
        </w:rPr>
        <w:t xml:space="preserve"> Model ARCH (2,0)</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Dependent Variable: DIHSG</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Method: ML - ARCH (Marquardt) - Normal distribution</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Date: 03/24/15   Time: 09:02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Sample (adjusted): 2003M02 2013M11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Included observations: 130 after adjustments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Convergence not achieved after 500 iterations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Presample variance: backcast (parameter = 0.7)</w:t>
            </w: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GARCH = C(8) + C(9)*RESID(-1)^2 + C(10)*RESID(-2)^2</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Variable</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Coefficient</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Std. Error</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z-Statistic</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Prob.  </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-1965.170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433.5270</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-4.532981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DKURS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0.001130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0.036392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0.031048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0.9752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DEMAS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2.188404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0.138452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15.80618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DMINYAK</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4.833508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1.655011</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2.920529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0.0035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DDJIA</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0.158970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0.024717</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6.431515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DNIKKEI</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0.004610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0.017719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0.260152</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0.7947</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FNP</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-9.39E-06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5.71E-06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-1.644349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0.1001</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2310" w:type="dxa"/>
            <w:gridSpan w:val="2"/>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Variance Equation</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35233.61</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9623.634</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3.661154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0.0003</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RESID(-1)^2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0.555523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0.273522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2.031001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0.0423</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RESID(-2)^2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0.009313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0.099448</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0.093647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0.9254</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0.963790</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Mean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2309.872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Adjusted 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0.962024</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S.D.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1342.645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S.E. of regression</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261.6475</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Akaike info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13.65424</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Sum squared resid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8420506.</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Schwarz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13.87482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Log likelihood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-877.5259</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Hannan-Quinn criter.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13.74387</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Durbin-Watson stat</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0.481699</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bl>
    <w:p w:rsidR="00353B71" w:rsidRPr="006177C0" w:rsidRDefault="00353B71" w:rsidP="00353B71">
      <w:pPr>
        <w:autoSpaceDE w:val="0"/>
        <w:autoSpaceDN w:val="0"/>
        <w:adjustRightInd w:val="0"/>
        <w:spacing w:line="360" w:lineRule="auto"/>
        <w:ind w:firstLine="720"/>
        <w:rPr>
          <w:sz w:val="22"/>
          <w:szCs w:val="22"/>
          <w:lang w:val="id-ID"/>
        </w:rPr>
      </w:pPr>
      <w:r w:rsidRPr="006177C0">
        <w:rPr>
          <w:sz w:val="22"/>
          <w:szCs w:val="22"/>
          <w:lang w:val="id-ID"/>
        </w:rPr>
        <w:t xml:space="preserve">Sumber : </w:t>
      </w:r>
      <w:r w:rsidRPr="006177C0">
        <w:rPr>
          <w:noProof/>
          <w:sz w:val="22"/>
          <w:szCs w:val="22"/>
          <w:lang w:val="id-ID"/>
        </w:rPr>
        <w:t>Output Eviews 8, 2015</w:t>
      </w:r>
    </w:p>
    <w:p w:rsidR="00353B71" w:rsidRPr="006177C0" w:rsidRDefault="00353B71" w:rsidP="00596D79">
      <w:pPr>
        <w:rPr>
          <w:b/>
          <w:lang w:val="id-ID"/>
        </w:rPr>
      </w:pPr>
    </w:p>
    <w:p w:rsidR="00353B71" w:rsidRPr="006177C0" w:rsidRDefault="00D86A88" w:rsidP="00353B71">
      <w:pPr>
        <w:autoSpaceDE w:val="0"/>
        <w:autoSpaceDN w:val="0"/>
        <w:adjustRightInd w:val="0"/>
        <w:ind w:firstLine="720"/>
        <w:jc w:val="center"/>
        <w:rPr>
          <w:b/>
          <w:lang w:val="id-ID"/>
        </w:rPr>
      </w:pPr>
      <w:proofErr w:type="spellStart"/>
      <w:proofErr w:type="gramStart"/>
      <w:r>
        <w:rPr>
          <w:b/>
          <w:lang w:val="en-US"/>
        </w:rPr>
        <w:t>Lampiran</w:t>
      </w:r>
      <w:proofErr w:type="spellEnd"/>
      <w:r w:rsidRPr="006177C0">
        <w:rPr>
          <w:b/>
          <w:lang w:val="id-ID"/>
        </w:rPr>
        <w:t xml:space="preserve"> </w:t>
      </w:r>
      <w:r w:rsidR="00353B71" w:rsidRPr="006177C0">
        <w:rPr>
          <w:b/>
          <w:lang w:val="id-ID"/>
        </w:rPr>
        <w:t>3.</w:t>
      </w:r>
      <w:proofErr w:type="gramEnd"/>
      <w:r w:rsidR="00353B71" w:rsidRPr="006177C0">
        <w:rPr>
          <w:b/>
          <w:lang w:val="id-ID"/>
        </w:rPr>
        <w:t xml:space="preserve"> Model GARCH (1,1)</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Dependent Variable: DIHSG</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Method: ML - ARCH (Marquardt) - Normal distribution</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Date: 03/24/15   Time: 09:04</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Sample (adjusted): 2003M02 2013M11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Included observations: 130 after adjustments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Convergence achieved after 22 iterations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Presample variance: backcast (parameter = 0.7)</w:t>
            </w: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GARCH = C(8) + C(9)*RESID(-1)^2 + C(10)*GARCH(-1)</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Variable</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Coefficient</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Std. Error</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z-Statistic</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Prob.  </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-2687.177</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416.7647</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-6.447708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DKURS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0.068218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0.039910</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1.709275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0.0874</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DEMAS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2.213388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0.143918</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15.37947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DMINYAK</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3.816931</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1.625184</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2.348615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0.0188</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DDJIA</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0.172224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0.024475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7.036661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DNIKKEI</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0.004175</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0.016700</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0.249971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0.8026</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FNP</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-7.47E-06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5.23E-06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-1.428034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0.1533</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2310" w:type="dxa"/>
            <w:gridSpan w:val="2"/>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Variance Equation</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37761.59</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10448.83</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3.613953</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0.0003</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RESID(-1)^2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0.803823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0.161495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4.977388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GARCH(-1)</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-0.124752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0.041685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-2.992754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0.0028</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0.964390</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Mean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2309.872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Adjusted 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0.962653</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S.D.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1342.645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S.E. of regression</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259.4698</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Akaike info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13.65536</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Sum squared resid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8280922.</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Schwarz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13.87594</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Log likelihood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-877.5984</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Hannan-Quinn criter.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13.74499</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Durbin-Watson stat</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0.529896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bl>
    <w:p w:rsidR="00353B71" w:rsidRPr="006177C0" w:rsidRDefault="00353B71" w:rsidP="00353B71">
      <w:pPr>
        <w:autoSpaceDE w:val="0"/>
        <w:autoSpaceDN w:val="0"/>
        <w:adjustRightInd w:val="0"/>
        <w:spacing w:line="360" w:lineRule="auto"/>
        <w:ind w:firstLine="720"/>
        <w:rPr>
          <w:sz w:val="22"/>
          <w:szCs w:val="22"/>
          <w:lang w:val="id-ID"/>
        </w:rPr>
      </w:pPr>
      <w:r w:rsidRPr="006177C0">
        <w:rPr>
          <w:sz w:val="22"/>
          <w:szCs w:val="22"/>
          <w:lang w:val="id-ID"/>
        </w:rPr>
        <w:t xml:space="preserve">Sumber : </w:t>
      </w:r>
      <w:r w:rsidRPr="006177C0">
        <w:rPr>
          <w:noProof/>
          <w:sz w:val="22"/>
          <w:szCs w:val="22"/>
          <w:lang w:val="id-ID"/>
        </w:rPr>
        <w:t>Output Eviews 8, 2015</w:t>
      </w: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D86A88" w:rsidP="00353B71">
      <w:pPr>
        <w:autoSpaceDE w:val="0"/>
        <w:autoSpaceDN w:val="0"/>
        <w:adjustRightInd w:val="0"/>
        <w:jc w:val="center"/>
        <w:rPr>
          <w:b/>
          <w:lang w:val="id-ID"/>
        </w:rPr>
      </w:pPr>
      <w:proofErr w:type="spellStart"/>
      <w:proofErr w:type="gramStart"/>
      <w:r>
        <w:rPr>
          <w:b/>
          <w:lang w:val="en-US"/>
        </w:rPr>
        <w:lastRenderedPageBreak/>
        <w:t>Lampiran</w:t>
      </w:r>
      <w:proofErr w:type="spellEnd"/>
      <w:r w:rsidRPr="006177C0">
        <w:rPr>
          <w:b/>
          <w:lang w:val="id-ID"/>
        </w:rPr>
        <w:t xml:space="preserve"> </w:t>
      </w:r>
      <w:r w:rsidR="00353B71" w:rsidRPr="006177C0">
        <w:rPr>
          <w:b/>
          <w:lang w:val="id-ID"/>
        </w:rPr>
        <w:t>4.</w:t>
      </w:r>
      <w:proofErr w:type="gramEnd"/>
      <w:r w:rsidR="00353B71" w:rsidRPr="006177C0">
        <w:rPr>
          <w:b/>
          <w:lang w:val="id-ID"/>
        </w:rPr>
        <w:t xml:space="preserve"> Model GARCH (1,2)</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Dependent Variable: DIHSG</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Method: ML - ARCH (Marquardt) - Normal distribution</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Date: 03/24/15   Time: 09:05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Sample (adjusted): 2003M02 2013M11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Included observations: 130 after adjustments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Convergence achieved after 53 iterations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Presample variance: backcast (parameter = 0.7)</w:t>
            </w: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GARCH = C(8) + C(9)*RESID(-1)^2 + C(10)*GARCH(-1) + C(11)*GARCH(-2)</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Variable</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Coefficient</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Std. Error</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z-Statistic</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Prob.  </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-2687.708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241.1148</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-11.14700</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DKURS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0.055004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0.023479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2.342716</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0.0191</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DEMAS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2.000502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0.129086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15.49749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DMINYAK</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5.939156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1.425017</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4.167780</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DDJIA</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0.196942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0.018675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10.54599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DNIKKEI</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-0.007352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0.015487</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-0.474724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0.6350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FNP</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-8.71E-06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5.26E-06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-1.654786</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0.0980</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2310" w:type="dxa"/>
            <w:gridSpan w:val="2"/>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Variance Equation</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37438.88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15681.45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2.387463</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0.0170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RESID(-1)^2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0.522564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0.239754</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2.179584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0.0293</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GARCH(-1)</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0.025480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0.149221</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0.170754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0.8644</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GARCH(-2)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-0.105519</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0.175512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-0.601207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0.5477</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0.965136</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Mean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2309.872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Adjusted 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0.963435</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S.D.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1342.645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S.E. of regression</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256.7393</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Akaike info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13.67921</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Sum squared resid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8107553.</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Schwarz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13.92185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Log likelihood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-878.1488</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Hannan-Quinn criter.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13.77780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Durbin-Watson stat</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0.553603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bl>
    <w:p w:rsidR="00353B71" w:rsidRPr="006177C0" w:rsidRDefault="00353B71" w:rsidP="00353B71">
      <w:pPr>
        <w:autoSpaceDE w:val="0"/>
        <w:autoSpaceDN w:val="0"/>
        <w:adjustRightInd w:val="0"/>
        <w:spacing w:line="360" w:lineRule="auto"/>
        <w:ind w:firstLine="720"/>
        <w:rPr>
          <w:sz w:val="22"/>
          <w:szCs w:val="22"/>
          <w:lang w:val="id-ID"/>
        </w:rPr>
      </w:pPr>
      <w:r w:rsidRPr="006177C0">
        <w:rPr>
          <w:sz w:val="22"/>
          <w:szCs w:val="22"/>
          <w:lang w:val="id-ID"/>
        </w:rPr>
        <w:t xml:space="preserve">Sumber : </w:t>
      </w:r>
      <w:r w:rsidRPr="006177C0">
        <w:rPr>
          <w:noProof/>
          <w:sz w:val="22"/>
          <w:szCs w:val="22"/>
          <w:lang w:val="id-ID"/>
        </w:rPr>
        <w:t>Output Eviews 8, 2015</w:t>
      </w: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D86A88" w:rsidP="00353B71">
      <w:pPr>
        <w:autoSpaceDE w:val="0"/>
        <w:autoSpaceDN w:val="0"/>
        <w:adjustRightInd w:val="0"/>
        <w:jc w:val="center"/>
        <w:rPr>
          <w:lang w:val="id-ID"/>
        </w:rPr>
      </w:pPr>
      <w:proofErr w:type="spellStart"/>
      <w:proofErr w:type="gramStart"/>
      <w:r>
        <w:rPr>
          <w:b/>
          <w:lang w:val="en-US"/>
        </w:rPr>
        <w:t>Lampiran</w:t>
      </w:r>
      <w:proofErr w:type="spellEnd"/>
      <w:r w:rsidRPr="006177C0">
        <w:rPr>
          <w:b/>
          <w:lang w:val="id-ID"/>
        </w:rPr>
        <w:t xml:space="preserve"> </w:t>
      </w:r>
      <w:r w:rsidR="00353B71" w:rsidRPr="006177C0">
        <w:rPr>
          <w:b/>
          <w:lang w:val="id-ID"/>
        </w:rPr>
        <w:t>5.</w:t>
      </w:r>
      <w:proofErr w:type="gramEnd"/>
      <w:r w:rsidR="00353B71" w:rsidRPr="006177C0">
        <w:rPr>
          <w:b/>
          <w:lang w:val="id-ID"/>
        </w:rPr>
        <w:t xml:space="preserve"> Model GARCH (2,1</w:t>
      </w:r>
      <w:r w:rsidR="00353B71" w:rsidRPr="006177C0">
        <w:rPr>
          <w:lang w:val="id-ID"/>
        </w:rPr>
        <w:t>)</w:t>
      </w:r>
    </w:p>
    <w:tbl>
      <w:tblPr>
        <w:tblW w:w="0" w:type="auto"/>
        <w:jc w:val="center"/>
        <w:tblInd w:w="30" w:type="dxa"/>
        <w:tblLayout w:type="fixed"/>
        <w:tblCellMar>
          <w:left w:w="0" w:type="dxa"/>
          <w:right w:w="0" w:type="dxa"/>
        </w:tblCellMar>
        <w:tblLook w:val="0000"/>
      </w:tblPr>
      <w:tblGrid>
        <w:gridCol w:w="1992"/>
        <w:gridCol w:w="1128"/>
        <w:gridCol w:w="1207"/>
        <w:gridCol w:w="1208"/>
        <w:gridCol w:w="997"/>
      </w:tblGrid>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Dependent Variable: DIHSG</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Method: ML - ARCH (Marquardt) - Normal distribution</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Date: 03/24/15   Time: 09:06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Sample (adjusted): 2003M02 2013M11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Included observations: 130 after adjustments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Convergence achieved after 16 iterations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Presample variance: backcast (parameter = 0.7)</w:t>
            </w: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GARCH = C(8) + C(9)*RESID(-1)^2 + C(10)*RESID(-2)^2 + C(11)*GARCH(</w:t>
            </w:r>
          </w:p>
        </w:tc>
      </w:tr>
      <w:tr w:rsidR="00353B71" w:rsidRPr="006177C0" w:rsidTr="00B4493A">
        <w:trPr>
          <w:trHeight w:val="225"/>
          <w:jc w:val="center"/>
        </w:trPr>
        <w:tc>
          <w:tcPr>
            <w:tcW w:w="3120" w:type="dxa"/>
            <w:gridSpan w:val="2"/>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        -1)</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1992"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Variable</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Coefficient</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Std. Error</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z-Statistic</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Prob.  </w:t>
            </w:r>
          </w:p>
        </w:tc>
      </w:tr>
      <w:tr w:rsidR="00353B71" w:rsidRPr="006177C0" w:rsidTr="00B4493A">
        <w:trPr>
          <w:trHeight w:hRule="exact" w:val="90"/>
          <w:jc w:val="center"/>
        </w:trPr>
        <w:tc>
          <w:tcPr>
            <w:tcW w:w="1992"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-2687.676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359.8305</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-7.469283</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DKURS</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0.073634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0.030894</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2.383427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0.0172</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DEMAS</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2.025470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0.099539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20.34847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DMINYAK</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4.926083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1.095630</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4.496119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DDJIA</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0.187283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0.019228</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9.739947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DNIKKEI</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-0.009266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0.011342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-0.816965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0.4139</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FNP</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-1.16E-05</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3.06E-06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-3.789806</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0.0002</w:t>
            </w:r>
          </w:p>
        </w:tc>
      </w:tr>
      <w:tr w:rsidR="00353B71" w:rsidRPr="006177C0" w:rsidTr="00B4493A">
        <w:trPr>
          <w:trHeight w:hRule="exact" w:val="90"/>
          <w:jc w:val="center"/>
        </w:trPr>
        <w:tc>
          <w:tcPr>
            <w:tcW w:w="1992"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2335" w:type="dxa"/>
            <w:gridSpan w:val="2"/>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Variance Equation</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1992"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40020.87</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9790.000</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4.087934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RESID(-1)^2</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0.644783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0.256041</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2.518280</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0.0118</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RESID(-2)^2</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0.623940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0.208338</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2.994850</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0.0027</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GARCH(-1)</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-0.796313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0.138179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-5.762927</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hRule="exact" w:val="90"/>
          <w:jc w:val="center"/>
        </w:trPr>
        <w:tc>
          <w:tcPr>
            <w:tcW w:w="1992"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R-squared</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0.963130</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Mean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2309.872</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Adjusted R-squared</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0.961331</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S.D.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1342.645</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S.E. of regression</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264.0235</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Akaike info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13.57288</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Sum squared resid</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857433.</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Schwarz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13.81552</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Log likelihood</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-871.2372</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Hannan-Quinn criter.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13.67147</w:t>
            </w:r>
          </w:p>
        </w:tc>
      </w:tr>
      <w:tr w:rsidR="00353B71" w:rsidRPr="006177C0" w:rsidTr="00B4493A">
        <w:trPr>
          <w:trHeight w:val="22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rPr>
                <w:rFonts w:ascii="Arial" w:hAnsi="Arial" w:cs="Arial"/>
                <w:color w:val="000000"/>
                <w:sz w:val="18"/>
                <w:szCs w:val="18"/>
                <w:lang w:val="id-ID" w:eastAsia="en-US"/>
              </w:rPr>
            </w:pPr>
            <w:r w:rsidRPr="006177C0">
              <w:rPr>
                <w:rFonts w:ascii="Arial" w:hAnsi="Arial" w:cs="Arial"/>
                <w:color w:val="000000"/>
                <w:sz w:val="18"/>
                <w:szCs w:val="18"/>
                <w:lang w:val="id-ID" w:eastAsia="en-US"/>
              </w:rPr>
              <w:t>Durbin-Watson stat</w:t>
            </w: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0.522077</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ind w:right="1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ind w:right="1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ind w:right="1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1992"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112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120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120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99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1992"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1128"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spacing w:line="360" w:lineRule="auto"/>
              <w:jc w:val="center"/>
              <w:rPr>
                <w:rFonts w:ascii="Arial" w:hAnsi="Arial" w:cs="Arial"/>
                <w:color w:val="000000"/>
                <w:sz w:val="18"/>
                <w:szCs w:val="18"/>
                <w:lang w:val="id-ID" w:eastAsia="en-US"/>
              </w:rPr>
            </w:pPr>
          </w:p>
        </w:tc>
      </w:tr>
    </w:tbl>
    <w:p w:rsidR="00353B71" w:rsidRPr="006177C0" w:rsidRDefault="00353B71" w:rsidP="00353B71">
      <w:pPr>
        <w:autoSpaceDE w:val="0"/>
        <w:autoSpaceDN w:val="0"/>
        <w:adjustRightInd w:val="0"/>
        <w:spacing w:line="360" w:lineRule="auto"/>
        <w:ind w:firstLine="720"/>
        <w:rPr>
          <w:sz w:val="22"/>
          <w:szCs w:val="22"/>
          <w:lang w:val="id-ID"/>
        </w:rPr>
      </w:pPr>
      <w:r w:rsidRPr="006177C0">
        <w:rPr>
          <w:sz w:val="22"/>
          <w:szCs w:val="22"/>
          <w:lang w:val="id-ID"/>
        </w:rPr>
        <w:t xml:space="preserve">Sumber : </w:t>
      </w:r>
      <w:r w:rsidRPr="006177C0">
        <w:rPr>
          <w:noProof/>
          <w:sz w:val="22"/>
          <w:szCs w:val="22"/>
          <w:lang w:val="id-ID"/>
        </w:rPr>
        <w:t>Output Eviews 8, 2015</w:t>
      </w:r>
    </w:p>
    <w:p w:rsidR="00353B71" w:rsidRPr="006177C0" w:rsidRDefault="00353B71" w:rsidP="00596D79">
      <w:pPr>
        <w:rPr>
          <w:b/>
          <w:lang w:val="id-ID"/>
        </w:rPr>
      </w:pPr>
    </w:p>
    <w:p w:rsidR="00353B71" w:rsidRPr="006177C0" w:rsidRDefault="00353B71" w:rsidP="00596D79">
      <w:pPr>
        <w:rPr>
          <w:b/>
          <w:lang w:val="id-ID"/>
        </w:rPr>
      </w:pPr>
    </w:p>
    <w:p w:rsidR="00353B71" w:rsidRPr="006177C0" w:rsidRDefault="00D86A88" w:rsidP="00353B71">
      <w:pPr>
        <w:autoSpaceDE w:val="0"/>
        <w:autoSpaceDN w:val="0"/>
        <w:adjustRightInd w:val="0"/>
        <w:jc w:val="center"/>
        <w:rPr>
          <w:b/>
          <w:lang w:val="id-ID"/>
        </w:rPr>
      </w:pPr>
      <w:proofErr w:type="spellStart"/>
      <w:proofErr w:type="gramStart"/>
      <w:r>
        <w:rPr>
          <w:b/>
          <w:lang w:val="en-US"/>
        </w:rPr>
        <w:t>Lampiran</w:t>
      </w:r>
      <w:proofErr w:type="spellEnd"/>
      <w:r w:rsidRPr="006177C0">
        <w:rPr>
          <w:b/>
          <w:lang w:val="id-ID"/>
        </w:rPr>
        <w:t xml:space="preserve"> </w:t>
      </w:r>
      <w:r w:rsidR="00353B71" w:rsidRPr="006177C0">
        <w:rPr>
          <w:b/>
          <w:lang w:val="id-ID"/>
        </w:rPr>
        <w:t>6.</w:t>
      </w:r>
      <w:proofErr w:type="gramEnd"/>
      <w:r w:rsidR="00353B71" w:rsidRPr="006177C0">
        <w:rPr>
          <w:b/>
          <w:lang w:val="id-ID"/>
        </w:rPr>
        <w:t xml:space="preserve"> Model GARCH (2,2)</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Dependent Variable: DIHSG</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Method: ML - ARCH (Marquardt) - Normal distribution</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Date: 03/24/15   Time: 09:08</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Sample (adjusted): 2003M02 2013M11</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Included observations: 130 after adjustments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5535" w:type="dxa"/>
            <w:gridSpan w:val="4"/>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Convergence achieved after 21 iterations</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Presample variance: backcast (parameter = 0.7)</w:t>
            </w:r>
          </w:p>
        </w:tc>
      </w:tr>
      <w:tr w:rsidR="00353B71" w:rsidRPr="006177C0" w:rsidTr="00B4493A">
        <w:trPr>
          <w:trHeight w:val="225"/>
          <w:jc w:val="center"/>
        </w:trPr>
        <w:tc>
          <w:tcPr>
            <w:tcW w:w="6532" w:type="dxa"/>
            <w:gridSpan w:val="5"/>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GARCH = C(8) + C(9)*RESID(-1)^2 + C(10)*RESID(-2)^2 + C(11)*GARCH(</w:t>
            </w:r>
          </w:p>
        </w:tc>
      </w:tr>
      <w:tr w:rsidR="00353B71" w:rsidRPr="006177C0" w:rsidTr="00B4493A">
        <w:trPr>
          <w:trHeight w:val="225"/>
          <w:jc w:val="center"/>
        </w:trPr>
        <w:tc>
          <w:tcPr>
            <w:tcW w:w="4327" w:type="dxa"/>
            <w:gridSpan w:val="3"/>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        -1) + C(12)*GARCH(-2)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Variable</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Coefficient</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Std. Error</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z-Statistic</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Prob.  </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-2634.314</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178.6462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-14.74599</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DKURS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0.080389</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0.017329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4.638905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DEMAS</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2.108656</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0.065181</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32.35076</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DMINYAK</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4.245422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0.514749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8.247554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DDJIA</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0.178912</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0.010793</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16.57644</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DNIKKEI</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-0.011863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0.006316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-1.878066</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0.0604</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FNP</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-1.21E-05</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2.63E-06</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-4.606718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2310" w:type="dxa"/>
            <w:gridSpan w:val="2"/>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Variance Equation</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C</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39503.57</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13445.70</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2.938008</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0.0033</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RESID(-1)^2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1.009588</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0.212369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4.753933</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RESID(-2)^2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0.977050</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0.210132</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4.649695</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GARCH(-1)</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-0.994013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0.033059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-30.06810</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0.0000</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r w:rsidRPr="006177C0">
              <w:rPr>
                <w:rFonts w:ascii="Arial" w:hAnsi="Arial" w:cs="Arial"/>
                <w:color w:val="000000"/>
                <w:sz w:val="18"/>
                <w:szCs w:val="18"/>
                <w:lang w:val="id-ID" w:eastAsia="en-US"/>
              </w:rPr>
              <w:t>GARCH(-2)</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0.001673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0.034339</w:t>
            </w: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0.048732</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0.9611</w:t>
            </w:r>
          </w:p>
        </w:tc>
      </w:tr>
      <w:tr w:rsidR="00353B71" w:rsidRPr="006177C0" w:rsidTr="00B4493A">
        <w:trPr>
          <w:trHeight w:hRule="exact" w:val="90"/>
          <w:jc w:val="center"/>
        </w:trPr>
        <w:tc>
          <w:tcPr>
            <w:tcW w:w="201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2"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0.962837</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Mean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2309.872</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Adjusted R-squared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0.961025</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S.D. dependent var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1342.645</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S.E. of regression</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265.0677</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Akaike info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13.51507</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Sum squared resid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8642088.</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Schwarz criterion</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13.77977</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Log likelihood</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-866.4799</w:t>
            </w:r>
          </w:p>
        </w:tc>
        <w:tc>
          <w:tcPr>
            <w:tcW w:w="2415" w:type="dxa"/>
            <w:gridSpan w:val="2"/>
            <w:tcBorders>
              <w:top w:val="nil"/>
              <w:left w:val="nil"/>
              <w:bottom w:val="nil"/>
              <w:right w:val="nil"/>
            </w:tcBorders>
            <w:vAlign w:val="bottom"/>
          </w:tcPr>
          <w:p w:rsidR="00353B71" w:rsidRPr="006177C0" w:rsidRDefault="00353B71" w:rsidP="00B4493A">
            <w:pPr>
              <w:autoSpaceDE w:val="0"/>
              <w:autoSpaceDN w:val="0"/>
              <w:adjustRightInd w:val="0"/>
              <w:ind w:right="10"/>
              <w:rPr>
                <w:rFonts w:ascii="Arial" w:hAnsi="Arial" w:cs="Arial"/>
                <w:color w:val="000000"/>
                <w:sz w:val="18"/>
                <w:szCs w:val="18"/>
                <w:lang w:val="id-ID" w:eastAsia="en-US"/>
              </w:rPr>
            </w:pPr>
            <w:r w:rsidRPr="006177C0">
              <w:rPr>
                <w:rFonts w:ascii="Arial" w:hAnsi="Arial" w:cs="Arial"/>
                <w:color w:val="000000"/>
                <w:sz w:val="18"/>
                <w:szCs w:val="18"/>
                <w:lang w:val="id-ID" w:eastAsia="en-US"/>
              </w:rPr>
              <w:t>    Hannan-Quinn criter.</w:t>
            </w: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13.62263</w:t>
            </w:r>
          </w:p>
        </w:tc>
      </w:tr>
      <w:tr w:rsidR="00353B71" w:rsidRPr="006177C0" w:rsidTr="00B4493A">
        <w:trPr>
          <w:trHeight w:val="22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rPr>
                <w:rFonts w:ascii="Arial" w:hAnsi="Arial" w:cs="Arial"/>
                <w:color w:val="000000"/>
                <w:sz w:val="18"/>
                <w:szCs w:val="18"/>
                <w:lang w:val="id-ID" w:eastAsia="en-US"/>
              </w:rPr>
            </w:pPr>
            <w:r w:rsidRPr="006177C0">
              <w:rPr>
                <w:rFonts w:ascii="Arial" w:hAnsi="Arial" w:cs="Arial"/>
                <w:color w:val="000000"/>
                <w:sz w:val="18"/>
                <w:szCs w:val="18"/>
                <w:lang w:val="id-ID" w:eastAsia="en-US"/>
              </w:rPr>
              <w:t>Durbin-Watson stat</w:t>
            </w: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ind w:right="10"/>
              <w:jc w:val="right"/>
              <w:rPr>
                <w:rFonts w:ascii="Arial" w:hAnsi="Arial" w:cs="Arial"/>
                <w:color w:val="000000"/>
                <w:sz w:val="18"/>
                <w:szCs w:val="18"/>
                <w:lang w:val="id-ID" w:eastAsia="en-US"/>
              </w:rPr>
            </w:pPr>
            <w:r w:rsidRPr="006177C0">
              <w:rPr>
                <w:rFonts w:ascii="Arial" w:hAnsi="Arial" w:cs="Arial"/>
                <w:color w:val="000000"/>
                <w:sz w:val="18"/>
                <w:szCs w:val="18"/>
                <w:lang w:val="id-ID" w:eastAsia="en-US"/>
              </w:rPr>
              <w:t>0.527143</w:t>
            </w: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ind w:right="10"/>
              <w:jc w:val="center"/>
              <w:rPr>
                <w:rFonts w:ascii="Arial" w:hAnsi="Arial" w:cs="Arial"/>
                <w:color w:val="000000"/>
                <w:sz w:val="18"/>
                <w:szCs w:val="18"/>
                <w:lang w:val="id-ID" w:eastAsia="en-US"/>
              </w:rPr>
            </w:pPr>
          </w:p>
        </w:tc>
      </w:tr>
      <w:tr w:rsidR="00353B71" w:rsidRPr="006177C0" w:rsidTr="00B4493A">
        <w:trPr>
          <w:trHeight w:hRule="exact" w:val="90"/>
          <w:jc w:val="center"/>
        </w:trPr>
        <w:tc>
          <w:tcPr>
            <w:tcW w:w="201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double" w:sz="6" w:space="0" w:color="auto"/>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r w:rsidR="00353B71" w:rsidRPr="006177C0" w:rsidTr="00B4493A">
        <w:trPr>
          <w:trHeight w:hRule="exact" w:val="135"/>
          <w:jc w:val="center"/>
        </w:trPr>
        <w:tc>
          <w:tcPr>
            <w:tcW w:w="201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103"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1208"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c>
          <w:tcPr>
            <w:tcW w:w="997" w:type="dxa"/>
            <w:tcBorders>
              <w:top w:val="nil"/>
              <w:left w:val="nil"/>
              <w:bottom w:val="nil"/>
              <w:right w:val="nil"/>
            </w:tcBorders>
            <w:vAlign w:val="bottom"/>
          </w:tcPr>
          <w:p w:rsidR="00353B71" w:rsidRPr="006177C0" w:rsidRDefault="00353B71" w:rsidP="00B4493A">
            <w:pPr>
              <w:autoSpaceDE w:val="0"/>
              <w:autoSpaceDN w:val="0"/>
              <w:adjustRightInd w:val="0"/>
              <w:jc w:val="center"/>
              <w:rPr>
                <w:rFonts w:ascii="Arial" w:hAnsi="Arial" w:cs="Arial"/>
                <w:color w:val="000000"/>
                <w:sz w:val="18"/>
                <w:szCs w:val="18"/>
                <w:lang w:val="id-ID" w:eastAsia="en-US"/>
              </w:rPr>
            </w:pPr>
          </w:p>
        </w:tc>
      </w:tr>
    </w:tbl>
    <w:p w:rsidR="00353B71" w:rsidRPr="006177C0" w:rsidRDefault="00353B71" w:rsidP="00353B71">
      <w:pPr>
        <w:autoSpaceDE w:val="0"/>
        <w:autoSpaceDN w:val="0"/>
        <w:adjustRightInd w:val="0"/>
        <w:spacing w:line="360" w:lineRule="auto"/>
        <w:ind w:firstLine="720"/>
        <w:rPr>
          <w:sz w:val="22"/>
          <w:szCs w:val="22"/>
          <w:lang w:val="id-ID"/>
        </w:rPr>
      </w:pPr>
      <w:r w:rsidRPr="006177C0">
        <w:rPr>
          <w:sz w:val="22"/>
          <w:szCs w:val="22"/>
          <w:lang w:val="id-ID"/>
        </w:rPr>
        <w:t xml:space="preserve">Sumber : </w:t>
      </w:r>
      <w:r w:rsidRPr="006177C0">
        <w:rPr>
          <w:noProof/>
          <w:sz w:val="22"/>
          <w:szCs w:val="22"/>
          <w:lang w:val="id-ID"/>
        </w:rPr>
        <w:t>Output Eviews 8, 2015</w:t>
      </w:r>
    </w:p>
    <w:p w:rsidR="00353B71" w:rsidRPr="006177C0" w:rsidRDefault="00353B71" w:rsidP="00596D79">
      <w:pPr>
        <w:rPr>
          <w:b/>
          <w:lang w:val="id-ID"/>
        </w:rPr>
      </w:pPr>
    </w:p>
    <w:sectPr w:rsidR="00353B71" w:rsidRPr="006177C0" w:rsidSect="00945FA7">
      <w:footerReference w:type="default" r:id="rId14"/>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4F" w:rsidRDefault="001A4F4F" w:rsidP="001A4F4F">
      <w:r>
        <w:separator/>
      </w:r>
    </w:p>
  </w:endnote>
  <w:endnote w:type="continuationSeparator" w:id="0">
    <w:p w:rsidR="001A4F4F" w:rsidRDefault="001A4F4F" w:rsidP="001A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Dcr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30188"/>
      <w:docPartObj>
        <w:docPartGallery w:val="Page Numbers (Bottom of Page)"/>
        <w:docPartUnique/>
      </w:docPartObj>
    </w:sdtPr>
    <w:sdtContent>
      <w:p w:rsidR="001A4F4F" w:rsidRDefault="001A4F4F">
        <w:pPr>
          <w:pStyle w:val="Footer"/>
          <w:jc w:val="right"/>
        </w:pPr>
        <w:r w:rsidRPr="001A4F4F">
          <w:rPr>
            <w:sz w:val="22"/>
            <w:szCs w:val="22"/>
          </w:rPr>
          <w:fldChar w:fldCharType="begin"/>
        </w:r>
        <w:r w:rsidRPr="001A4F4F">
          <w:rPr>
            <w:sz w:val="22"/>
            <w:szCs w:val="22"/>
          </w:rPr>
          <w:instrText xml:space="preserve"> PAGE   \* MERGEFORMAT </w:instrText>
        </w:r>
        <w:r w:rsidRPr="001A4F4F">
          <w:rPr>
            <w:sz w:val="22"/>
            <w:szCs w:val="22"/>
          </w:rPr>
          <w:fldChar w:fldCharType="separate"/>
        </w:r>
        <w:r>
          <w:rPr>
            <w:noProof/>
            <w:sz w:val="22"/>
            <w:szCs w:val="22"/>
          </w:rPr>
          <w:t>23</w:t>
        </w:r>
        <w:r w:rsidRPr="001A4F4F">
          <w:rPr>
            <w:sz w:val="22"/>
            <w:szCs w:val="22"/>
          </w:rPr>
          <w:fldChar w:fldCharType="end"/>
        </w:r>
      </w:p>
    </w:sdtContent>
  </w:sdt>
  <w:p w:rsidR="001A4F4F" w:rsidRDefault="001A4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4F" w:rsidRDefault="001A4F4F" w:rsidP="001A4F4F">
      <w:r>
        <w:separator/>
      </w:r>
    </w:p>
  </w:footnote>
  <w:footnote w:type="continuationSeparator" w:id="0">
    <w:p w:rsidR="001A4F4F" w:rsidRDefault="001A4F4F" w:rsidP="001A4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635"/>
    <w:multiLevelType w:val="hybridMultilevel"/>
    <w:tmpl w:val="B8C84A70"/>
    <w:lvl w:ilvl="0" w:tplc="1070E17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AE509D6"/>
    <w:multiLevelType w:val="hybridMultilevel"/>
    <w:tmpl w:val="E7F0A5DA"/>
    <w:lvl w:ilvl="0" w:tplc="1EB21DDE">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9D1725C"/>
    <w:multiLevelType w:val="hybridMultilevel"/>
    <w:tmpl w:val="9BEAEF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96C14AD"/>
    <w:multiLevelType w:val="hybridMultilevel"/>
    <w:tmpl w:val="B8C84A70"/>
    <w:lvl w:ilvl="0" w:tplc="1070E17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98328BD"/>
    <w:multiLevelType w:val="multilevel"/>
    <w:tmpl w:val="36DE312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D33E60"/>
    <w:multiLevelType w:val="hybridMultilevel"/>
    <w:tmpl w:val="E2568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134E"/>
    <w:rsid w:val="00047CA5"/>
    <w:rsid w:val="000D0283"/>
    <w:rsid w:val="000F5816"/>
    <w:rsid w:val="0010134C"/>
    <w:rsid w:val="001742E9"/>
    <w:rsid w:val="001A4F4F"/>
    <w:rsid w:val="001F5D1E"/>
    <w:rsid w:val="00266F47"/>
    <w:rsid w:val="00353B71"/>
    <w:rsid w:val="003E2E07"/>
    <w:rsid w:val="003E6725"/>
    <w:rsid w:val="00405D43"/>
    <w:rsid w:val="00565650"/>
    <w:rsid w:val="00570832"/>
    <w:rsid w:val="00596D79"/>
    <w:rsid w:val="005A4DB9"/>
    <w:rsid w:val="005C7FB6"/>
    <w:rsid w:val="0061241F"/>
    <w:rsid w:val="006177C0"/>
    <w:rsid w:val="00647C7D"/>
    <w:rsid w:val="00676EC8"/>
    <w:rsid w:val="006C6A57"/>
    <w:rsid w:val="0073134E"/>
    <w:rsid w:val="007760FD"/>
    <w:rsid w:val="0079194E"/>
    <w:rsid w:val="007B4B46"/>
    <w:rsid w:val="007F7939"/>
    <w:rsid w:val="00882AD0"/>
    <w:rsid w:val="008E6C70"/>
    <w:rsid w:val="00937262"/>
    <w:rsid w:val="00945FA7"/>
    <w:rsid w:val="00987542"/>
    <w:rsid w:val="00A34DD4"/>
    <w:rsid w:val="00A62C25"/>
    <w:rsid w:val="00AA647E"/>
    <w:rsid w:val="00AF6BA8"/>
    <w:rsid w:val="00B350D6"/>
    <w:rsid w:val="00B4493A"/>
    <w:rsid w:val="00B50202"/>
    <w:rsid w:val="00C2256E"/>
    <w:rsid w:val="00CD7A47"/>
    <w:rsid w:val="00D202A3"/>
    <w:rsid w:val="00D6714D"/>
    <w:rsid w:val="00D86A88"/>
    <w:rsid w:val="00E262B7"/>
    <w:rsid w:val="00E934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4E"/>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6D79"/>
    <w:pPr>
      <w:spacing w:before="100" w:beforeAutospacing="1" w:after="100" w:afterAutospacing="1"/>
    </w:pPr>
  </w:style>
  <w:style w:type="character" w:styleId="Hyperlink">
    <w:name w:val="Hyperlink"/>
    <w:basedOn w:val="DefaultParagraphFont"/>
    <w:uiPriority w:val="99"/>
    <w:unhideWhenUsed/>
    <w:rsid w:val="00596D79"/>
    <w:rPr>
      <w:color w:val="0000FF"/>
      <w:u w:val="single"/>
    </w:rPr>
  </w:style>
  <w:style w:type="paragraph" w:customStyle="1" w:styleId="Default">
    <w:name w:val="Default"/>
    <w:rsid w:val="00596D79"/>
    <w:pPr>
      <w:autoSpaceDE w:val="0"/>
      <w:autoSpaceDN w:val="0"/>
      <w:adjustRightInd w:val="0"/>
      <w:spacing w:after="0" w:line="240" w:lineRule="auto"/>
    </w:pPr>
    <w:rPr>
      <w:rFonts w:ascii="Times New Roman" w:eastAsia="Batang" w:hAnsi="Times New Roman" w:cs="Times New Roman"/>
      <w:color w:val="000000"/>
      <w:sz w:val="24"/>
      <w:szCs w:val="24"/>
      <w:lang w:val="en-GB" w:eastAsia="ko-KR"/>
    </w:rPr>
  </w:style>
  <w:style w:type="paragraph" w:styleId="BalloonText">
    <w:name w:val="Balloon Text"/>
    <w:basedOn w:val="Normal"/>
    <w:link w:val="BalloonTextChar"/>
    <w:uiPriority w:val="99"/>
    <w:semiHidden/>
    <w:unhideWhenUsed/>
    <w:rsid w:val="00596D79"/>
    <w:rPr>
      <w:rFonts w:ascii="Tahoma" w:hAnsi="Tahoma" w:cs="Tahoma"/>
      <w:sz w:val="16"/>
      <w:szCs w:val="16"/>
    </w:rPr>
  </w:style>
  <w:style w:type="character" w:customStyle="1" w:styleId="BalloonTextChar">
    <w:name w:val="Balloon Text Char"/>
    <w:basedOn w:val="DefaultParagraphFont"/>
    <w:link w:val="BalloonText"/>
    <w:uiPriority w:val="99"/>
    <w:semiHidden/>
    <w:rsid w:val="00596D79"/>
    <w:rPr>
      <w:rFonts w:ascii="Tahoma" w:eastAsia="Batang" w:hAnsi="Tahoma" w:cs="Tahoma"/>
      <w:sz w:val="16"/>
      <w:szCs w:val="16"/>
      <w:lang w:val="en-GB" w:eastAsia="ko-KR"/>
    </w:rPr>
  </w:style>
  <w:style w:type="paragraph" w:styleId="ListParagraph">
    <w:name w:val="List Paragraph"/>
    <w:basedOn w:val="Normal"/>
    <w:uiPriority w:val="34"/>
    <w:qFormat/>
    <w:rsid w:val="00596D79"/>
    <w:pPr>
      <w:ind w:left="720"/>
      <w:contextualSpacing/>
    </w:pPr>
  </w:style>
  <w:style w:type="table" w:styleId="TableGrid">
    <w:name w:val="Table Grid"/>
    <w:basedOn w:val="TableNormal"/>
    <w:rsid w:val="00B4493A"/>
    <w:pPr>
      <w:spacing w:after="0" w:line="240" w:lineRule="auto"/>
    </w:pPr>
    <w:rPr>
      <w:rFonts w:ascii="Times New Roman" w:eastAsia="Batang"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4F4F"/>
    <w:pPr>
      <w:tabs>
        <w:tab w:val="center" w:pos="4680"/>
        <w:tab w:val="right" w:pos="9360"/>
      </w:tabs>
    </w:pPr>
  </w:style>
  <w:style w:type="character" w:customStyle="1" w:styleId="HeaderChar">
    <w:name w:val="Header Char"/>
    <w:basedOn w:val="DefaultParagraphFont"/>
    <w:link w:val="Header"/>
    <w:uiPriority w:val="99"/>
    <w:semiHidden/>
    <w:rsid w:val="001A4F4F"/>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1A4F4F"/>
    <w:pPr>
      <w:tabs>
        <w:tab w:val="center" w:pos="4680"/>
        <w:tab w:val="right" w:pos="9360"/>
      </w:tabs>
    </w:pPr>
  </w:style>
  <w:style w:type="character" w:customStyle="1" w:styleId="FooterChar">
    <w:name w:val="Footer Char"/>
    <w:basedOn w:val="DefaultParagraphFont"/>
    <w:link w:val="Footer"/>
    <w:uiPriority w:val="99"/>
    <w:rsid w:val="001A4F4F"/>
    <w:rPr>
      <w:rFonts w:ascii="Times New Roman" w:eastAsia="Batang" w:hAnsi="Times New Roman" w:cs="Times New Roman"/>
      <w:sz w:val="24"/>
      <w:szCs w:val="24"/>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4E"/>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6D79"/>
    <w:pPr>
      <w:spacing w:before="100" w:beforeAutospacing="1" w:after="100" w:afterAutospacing="1"/>
    </w:pPr>
  </w:style>
  <w:style w:type="character" w:styleId="Hyperlink">
    <w:name w:val="Hyperlink"/>
    <w:basedOn w:val="DefaultParagraphFont"/>
    <w:uiPriority w:val="99"/>
    <w:unhideWhenUsed/>
    <w:rsid w:val="00596D79"/>
    <w:rPr>
      <w:color w:val="0000FF"/>
      <w:u w:val="single"/>
    </w:rPr>
  </w:style>
  <w:style w:type="paragraph" w:customStyle="1" w:styleId="Default">
    <w:name w:val="Default"/>
    <w:rsid w:val="00596D79"/>
    <w:pPr>
      <w:autoSpaceDE w:val="0"/>
      <w:autoSpaceDN w:val="0"/>
      <w:adjustRightInd w:val="0"/>
      <w:spacing w:after="0" w:line="240" w:lineRule="auto"/>
    </w:pPr>
    <w:rPr>
      <w:rFonts w:ascii="Times New Roman" w:eastAsia="Batang" w:hAnsi="Times New Roman" w:cs="Times New Roman"/>
      <w:color w:val="000000"/>
      <w:sz w:val="24"/>
      <w:szCs w:val="24"/>
      <w:lang w:val="en-GB" w:eastAsia="ko-KR"/>
    </w:rPr>
  </w:style>
  <w:style w:type="paragraph" w:styleId="BalloonText">
    <w:name w:val="Balloon Text"/>
    <w:basedOn w:val="Normal"/>
    <w:link w:val="BalloonTextChar"/>
    <w:uiPriority w:val="99"/>
    <w:semiHidden/>
    <w:unhideWhenUsed/>
    <w:rsid w:val="00596D79"/>
    <w:rPr>
      <w:rFonts w:ascii="Tahoma" w:hAnsi="Tahoma" w:cs="Tahoma"/>
      <w:sz w:val="16"/>
      <w:szCs w:val="16"/>
    </w:rPr>
  </w:style>
  <w:style w:type="character" w:customStyle="1" w:styleId="BalloonTextChar">
    <w:name w:val="Balloon Text Char"/>
    <w:basedOn w:val="DefaultParagraphFont"/>
    <w:link w:val="BalloonText"/>
    <w:uiPriority w:val="99"/>
    <w:semiHidden/>
    <w:rsid w:val="00596D79"/>
    <w:rPr>
      <w:rFonts w:ascii="Tahoma" w:eastAsia="Batang" w:hAnsi="Tahoma" w:cs="Tahoma"/>
      <w:sz w:val="16"/>
      <w:szCs w:val="16"/>
      <w:lang w:val="en-GB" w:eastAsia="ko-KR"/>
    </w:rPr>
  </w:style>
  <w:style w:type="paragraph" w:styleId="ListParagraph">
    <w:name w:val="List Paragraph"/>
    <w:basedOn w:val="Normal"/>
    <w:uiPriority w:val="34"/>
    <w:qFormat/>
    <w:rsid w:val="00596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yperlink" Target="http://www.o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427FD-DADE-4361-A6F8-A83533DD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GINANJAR FIRDAUS</cp:lastModifiedBy>
  <cp:revision>8</cp:revision>
  <dcterms:created xsi:type="dcterms:W3CDTF">2015-12-21T04:39:00Z</dcterms:created>
  <dcterms:modified xsi:type="dcterms:W3CDTF">2015-12-21T05:44:00Z</dcterms:modified>
</cp:coreProperties>
</file>