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52D" w:rsidRPr="008772E3" w:rsidRDefault="0032052D" w:rsidP="008772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2E3">
        <w:rPr>
          <w:rFonts w:ascii="Times New Roman" w:hAnsi="Times New Roman" w:cs="Times New Roman"/>
          <w:b/>
          <w:bCs/>
          <w:sz w:val="24"/>
          <w:szCs w:val="24"/>
        </w:rPr>
        <w:t>Appendices</w:t>
      </w:r>
    </w:p>
    <w:p w:rsidR="0032052D" w:rsidRPr="008772E3" w:rsidRDefault="0032052D" w:rsidP="008772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772E3">
        <w:rPr>
          <w:rFonts w:ascii="Times New Roman" w:hAnsi="Times New Roman" w:cs="Times New Roman"/>
          <w:b/>
          <w:bCs/>
          <w:sz w:val="24"/>
          <w:szCs w:val="24"/>
        </w:rPr>
        <w:t>Appendix 1</w:t>
      </w:r>
    </w:p>
    <w:p w:rsidR="0032052D" w:rsidRPr="008772E3" w:rsidRDefault="0032052D" w:rsidP="008772E3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772E3">
        <w:rPr>
          <w:rFonts w:ascii="Times New Roman" w:hAnsi="Times New Roman" w:cs="Times New Roman"/>
          <w:sz w:val="24"/>
          <w:szCs w:val="24"/>
        </w:rPr>
        <w:t xml:space="preserve">Sinclair and Coulthard’s (1992) Speech </w:t>
      </w:r>
      <w:r w:rsidR="002539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8772E3">
        <w:rPr>
          <w:rFonts w:ascii="Times New Roman" w:hAnsi="Times New Roman" w:cs="Times New Roman"/>
          <w:sz w:val="24"/>
          <w:szCs w:val="24"/>
        </w:rPr>
        <w:t xml:space="preserve">ct </w:t>
      </w:r>
      <w:r w:rsidR="002539F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8772E3">
        <w:rPr>
          <w:rFonts w:ascii="Times New Roman" w:hAnsi="Times New Roman" w:cs="Times New Roman"/>
          <w:sz w:val="24"/>
          <w:szCs w:val="24"/>
        </w:rPr>
        <w:t>ategories:</w:t>
      </w:r>
    </w:p>
    <w:tbl>
      <w:tblPr>
        <w:tblStyle w:val="TableGrid"/>
        <w:tblW w:w="8153" w:type="dxa"/>
        <w:tblInd w:w="108" w:type="dxa"/>
        <w:tblLook w:val="04A0"/>
      </w:tblPr>
      <w:tblGrid>
        <w:gridCol w:w="546"/>
        <w:gridCol w:w="1372"/>
        <w:gridCol w:w="763"/>
        <w:gridCol w:w="5472"/>
      </w:tblGrid>
      <w:tr w:rsidR="0032052D" w:rsidTr="002539FE">
        <w:tc>
          <w:tcPr>
            <w:tcW w:w="546" w:type="dxa"/>
          </w:tcPr>
          <w:p w:rsidR="0032052D" w:rsidRDefault="0032052D" w:rsidP="0032052D">
            <w:r w:rsidRPr="0008325E">
              <w:rPr>
                <w:rFonts w:ascii="TimesNewRoman" w:hAnsi="TimesNewRoman" w:cs="TimesNewRoman"/>
                <w:sz w:val="20"/>
                <w:szCs w:val="20"/>
              </w:rPr>
              <w:t xml:space="preserve">No. </w:t>
            </w:r>
          </w:p>
        </w:tc>
        <w:tc>
          <w:tcPr>
            <w:tcW w:w="1372" w:type="dxa"/>
          </w:tcPr>
          <w:p w:rsidR="0032052D" w:rsidRDefault="0032052D" w:rsidP="0032052D">
            <w:r w:rsidRPr="0008325E">
              <w:rPr>
                <w:rFonts w:ascii="TimesNewRoman" w:hAnsi="TimesNewRoman" w:cs="TimesNewRoman"/>
                <w:sz w:val="20"/>
                <w:szCs w:val="20"/>
              </w:rPr>
              <w:t xml:space="preserve">Label </w:t>
            </w:r>
          </w:p>
        </w:tc>
        <w:tc>
          <w:tcPr>
            <w:tcW w:w="763" w:type="dxa"/>
          </w:tcPr>
          <w:p w:rsidR="0032052D" w:rsidRDefault="0032052D" w:rsidP="0032052D">
            <w:r w:rsidRPr="0008325E">
              <w:rPr>
                <w:rFonts w:ascii="TimesNewRoman" w:hAnsi="TimesNewRoman" w:cs="TimesNewRoman"/>
                <w:sz w:val="20"/>
                <w:szCs w:val="20"/>
              </w:rPr>
              <w:t xml:space="preserve"> Sym. </w:t>
            </w:r>
          </w:p>
        </w:tc>
        <w:tc>
          <w:tcPr>
            <w:tcW w:w="5472" w:type="dxa"/>
          </w:tcPr>
          <w:p w:rsidR="0032052D" w:rsidRDefault="0032052D" w:rsidP="008772E3">
            <w:pPr>
              <w:jc w:val="both"/>
            </w:pPr>
            <w:r w:rsidRPr="0008325E">
              <w:rPr>
                <w:rFonts w:ascii="TimesNewRoman" w:hAnsi="TimesNewRoman" w:cs="TimesNewRoman"/>
                <w:sz w:val="20"/>
                <w:szCs w:val="20"/>
              </w:rPr>
              <w:t>Formal features and functional definition.</w:t>
            </w:r>
          </w:p>
        </w:tc>
      </w:tr>
      <w:tr w:rsidR="0032052D" w:rsidTr="002539FE">
        <w:tc>
          <w:tcPr>
            <w:tcW w:w="546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1372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marker</w:t>
            </w:r>
          </w:p>
        </w:tc>
        <w:tc>
          <w:tcPr>
            <w:tcW w:w="763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m</w:t>
            </w:r>
          </w:p>
        </w:tc>
        <w:tc>
          <w:tcPr>
            <w:tcW w:w="5472" w:type="dxa"/>
          </w:tcPr>
          <w:p w:rsidR="0032052D" w:rsidRPr="002539FE" w:rsidRDefault="0032052D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of items – ‘well’, ‘OK’, ‘now’, ‘good’,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‘right’, ‘alright’. When a marker is acting as the head of a framing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move, it has a falling intonation, [1] or [1+], as well as a silent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stress. Its function is to mark boundaries in the discourse.</w:t>
            </w:r>
          </w:p>
        </w:tc>
      </w:tr>
      <w:tr w:rsidR="0032052D" w:rsidTr="002539FE">
        <w:tc>
          <w:tcPr>
            <w:tcW w:w="546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2.</w:t>
            </w:r>
          </w:p>
        </w:tc>
        <w:tc>
          <w:tcPr>
            <w:tcW w:w="1372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starter</w:t>
            </w:r>
          </w:p>
        </w:tc>
        <w:tc>
          <w:tcPr>
            <w:tcW w:w="763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s</w:t>
            </w:r>
          </w:p>
        </w:tc>
        <w:tc>
          <w:tcPr>
            <w:tcW w:w="5472" w:type="dxa"/>
          </w:tcPr>
          <w:p w:rsidR="0032052D" w:rsidRPr="002539FE" w:rsidRDefault="0032052D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statement, question or command. Its function is to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provide information about or direct attention to or thought towards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an area in order to make a correct response to the initiation more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likely.</w:t>
            </w:r>
          </w:p>
        </w:tc>
      </w:tr>
      <w:tr w:rsidR="0032052D" w:rsidTr="002539FE">
        <w:tc>
          <w:tcPr>
            <w:tcW w:w="546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3.</w:t>
            </w:r>
          </w:p>
        </w:tc>
        <w:tc>
          <w:tcPr>
            <w:tcW w:w="1372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elicitation</w:t>
            </w:r>
          </w:p>
        </w:tc>
        <w:tc>
          <w:tcPr>
            <w:tcW w:w="763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el</w:t>
            </w:r>
          </w:p>
        </w:tc>
        <w:tc>
          <w:tcPr>
            <w:tcW w:w="5472" w:type="dxa"/>
          </w:tcPr>
          <w:p w:rsidR="0032052D" w:rsidRPr="008772E3" w:rsidRDefault="0032052D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question. Its function is to request a linguistic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response.</w:t>
            </w:r>
          </w:p>
        </w:tc>
      </w:tr>
      <w:tr w:rsidR="0032052D" w:rsidTr="002539FE">
        <w:tc>
          <w:tcPr>
            <w:tcW w:w="546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4.</w:t>
            </w:r>
          </w:p>
        </w:tc>
        <w:tc>
          <w:tcPr>
            <w:tcW w:w="1372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check</w:t>
            </w:r>
          </w:p>
        </w:tc>
        <w:tc>
          <w:tcPr>
            <w:tcW w:w="763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ch</w:t>
            </w:r>
          </w:p>
        </w:tc>
        <w:tc>
          <w:tcPr>
            <w:tcW w:w="5472" w:type="dxa"/>
          </w:tcPr>
          <w:p w:rsidR="0032052D" w:rsidRPr="008772E3" w:rsidRDefault="0032052D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of polar questions concerned with being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‘finished’ or ‘ready’, having ‘problems’ or ‘difficulties’, being able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to ‘see’ or ‘hear’. They are ‘real’ questions, in that for once the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teacher doesn’t know the answer. If he does know the answer to,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for example, ‘have you finished’, it is a directive, not a check. The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function of checks is to enable the teacher to ascertain whether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there are any problems preventing the successful progress of the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lesson.</w:t>
            </w:r>
          </w:p>
        </w:tc>
      </w:tr>
      <w:tr w:rsidR="0032052D" w:rsidTr="002539FE">
        <w:tc>
          <w:tcPr>
            <w:tcW w:w="546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5.</w:t>
            </w:r>
          </w:p>
        </w:tc>
        <w:tc>
          <w:tcPr>
            <w:tcW w:w="1372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Directive</w:t>
            </w:r>
          </w:p>
        </w:tc>
        <w:tc>
          <w:tcPr>
            <w:tcW w:w="763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d</w:t>
            </w:r>
          </w:p>
        </w:tc>
        <w:tc>
          <w:tcPr>
            <w:tcW w:w="5472" w:type="dxa"/>
          </w:tcPr>
          <w:p w:rsidR="0032052D" w:rsidRPr="008772E3" w:rsidRDefault="0032052D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command. Its function is to request a non-linguistic</w:t>
            </w:r>
            <w:r w:rsidR="008772E3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response.</w:t>
            </w:r>
          </w:p>
        </w:tc>
      </w:tr>
      <w:tr w:rsidR="0032052D" w:rsidTr="002539FE">
        <w:tc>
          <w:tcPr>
            <w:tcW w:w="546" w:type="dxa"/>
          </w:tcPr>
          <w:p w:rsidR="0032052D" w:rsidRDefault="0032052D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6.</w:t>
            </w:r>
          </w:p>
        </w:tc>
        <w:tc>
          <w:tcPr>
            <w:tcW w:w="1372" w:type="dxa"/>
          </w:tcPr>
          <w:p w:rsidR="0032052D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informative</w:t>
            </w:r>
          </w:p>
        </w:tc>
        <w:tc>
          <w:tcPr>
            <w:tcW w:w="763" w:type="dxa"/>
          </w:tcPr>
          <w:p w:rsidR="0032052D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5472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statement. It differs from other uses of statement in</w:t>
            </w:r>
          </w:p>
          <w:p w:rsid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that its sole function is to provide information. The only response</w:t>
            </w:r>
          </w:p>
          <w:p w:rsidR="0032052D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is an acknowledgement of attention or understanding.</w:t>
            </w:r>
          </w:p>
        </w:tc>
      </w:tr>
      <w:tr w:rsidR="0032052D" w:rsidTr="002539FE">
        <w:tc>
          <w:tcPr>
            <w:tcW w:w="546" w:type="dxa"/>
          </w:tcPr>
          <w:p w:rsidR="0032052D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7.</w:t>
            </w:r>
          </w:p>
        </w:tc>
        <w:tc>
          <w:tcPr>
            <w:tcW w:w="1372" w:type="dxa"/>
          </w:tcPr>
          <w:p w:rsidR="0032052D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Prompt</w:t>
            </w:r>
          </w:p>
        </w:tc>
        <w:tc>
          <w:tcPr>
            <w:tcW w:w="763" w:type="dxa"/>
          </w:tcPr>
          <w:p w:rsidR="0032052D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p</w:t>
            </w:r>
          </w:p>
        </w:tc>
        <w:tc>
          <w:tcPr>
            <w:tcW w:w="5472" w:type="dxa"/>
          </w:tcPr>
          <w:p w:rsidR="0032052D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of items – ‘go on’, ‘come on’, ‘hurry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up’, ‘quickly’, ‘have a guess’. Its function therefore is to reinforce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a directive or elicitation by suggesting that the teacher is no longer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requesting a response but expecting or even demanding one.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8.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Clue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Cl</w:t>
            </w:r>
          </w:p>
        </w:tc>
        <w:tc>
          <w:tcPr>
            <w:tcW w:w="5472" w:type="dxa"/>
          </w:tcPr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statement, question, command or moodless item. It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is subordinate to the head of the initiation and functions by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providing additional information, which helps the pupil to answer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elicitation or comply with the directive.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9.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Cue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Cu</w:t>
            </w:r>
          </w:p>
        </w:tc>
        <w:tc>
          <w:tcPr>
            <w:tcW w:w="5472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Realised by a closed class of which we so far have only three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exponents, ‘hands up’, ‘don’t call out’, ‘is John the only one’. Its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sole function is to evoke an (appropriate) bid.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10.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Bid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B</w:t>
            </w:r>
          </w:p>
        </w:tc>
        <w:tc>
          <w:tcPr>
            <w:tcW w:w="5472" w:type="dxa"/>
          </w:tcPr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of verbal and non-verbal items – ‘Sir’,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‘Miss’, teacher’s name, raised hand, heavy breathing, finger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clicking. Its function is to signal a desire to contribute to the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discourse.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11.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Nomination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n</w:t>
            </w:r>
          </w:p>
        </w:tc>
        <w:tc>
          <w:tcPr>
            <w:tcW w:w="5472" w:type="dxa"/>
          </w:tcPr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consisting of the names of all the pupils,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‘you’ with contrastive stress, ‘anybody’, ‘yes’ and one or two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idiosyncratic items such as ‘who hasn’t said anything yet’. The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function of nomination is to call on or give permission to a pupil to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contribute to the discourse.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12.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Acknowledge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ack</w:t>
            </w:r>
          </w:p>
        </w:tc>
        <w:tc>
          <w:tcPr>
            <w:tcW w:w="5472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‘yes’, ‘OK’, ‘cor’, ‘mm’, ‘wow’, and certain nonverbal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gestures and expressions. Its function is to show that the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 xml:space="preserve">initiation has been understood, and, if the head was a </w:t>
            </w:r>
            <w:r>
              <w:rPr>
                <w:rFonts w:ascii="TimesNewRoman" w:hAnsi="TimesNewRoman" w:cs="TimesNewRoman"/>
                <w:sz w:val="20"/>
                <w:szCs w:val="20"/>
              </w:rPr>
              <w:lastRenderedPageBreak/>
              <w:t>directive, that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pupil intends to react.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lastRenderedPageBreak/>
              <w:t>13.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Reply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Rep</w:t>
            </w:r>
          </w:p>
        </w:tc>
        <w:tc>
          <w:tcPr>
            <w:tcW w:w="5472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statement, question or moodless item and non-verbal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surrogates such as nods. Its function is to provide a linguistic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response, which is appropriate to the elicitation.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React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rea</w:t>
            </w:r>
          </w:p>
        </w:tc>
        <w:tc>
          <w:tcPr>
            <w:tcW w:w="5472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non-linguistic action. Its function is to provide the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appropriate non-linguistic response defined by the preceding</w:t>
            </w:r>
          </w:p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directive.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15.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Comment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com</w:t>
            </w:r>
          </w:p>
        </w:tc>
        <w:tc>
          <w:tcPr>
            <w:tcW w:w="5472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statement or tag question. It is subordinate to the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head of the move and its function is to exemplify, expand,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justify,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provide additional information. On the written page, it is difficult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to distinguish from an informative because the outsider’s ideas of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relevance are not always the same. However teachers signal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paralinguistically, by a pause, when they are beginning a ne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w </w:t>
            </w:r>
            <w:r>
              <w:rPr>
                <w:rFonts w:ascii="TimesNewRoman" w:hAnsi="TimesNewRoman" w:cs="TimesNewRoman"/>
                <w:sz w:val="20"/>
                <w:szCs w:val="20"/>
              </w:rPr>
              <w:t>initiation with an informative as a head; otherwise they see</w:t>
            </w:r>
          </w:p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themselves as commenting.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16.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accept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acc</w:t>
            </w:r>
          </w:p>
        </w:tc>
        <w:tc>
          <w:tcPr>
            <w:tcW w:w="5472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of items – ‘yes’, ‘no’, ‘good’, ‘fine’, and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repetition of pupil’s reply, all with neutral low fall intonation. Its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function is to indicate that the teacher has heard or seen and that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informative, reply or react was appropriate.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17.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evaluate</w:t>
            </w:r>
          </w:p>
        </w:tc>
        <w:tc>
          <w:tcPr>
            <w:tcW w:w="763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e</w:t>
            </w:r>
          </w:p>
        </w:tc>
        <w:tc>
          <w:tcPr>
            <w:tcW w:w="5472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statements and tag questions, including words and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phrases such as ‘good’, ‘interesting’, ‘team point’, commenting on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quality of the reply, react or initiation, also by ‘yes’, ‘no’,</w:t>
            </w:r>
          </w:p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‘good’, ‘fine’, with a high-fall intonation, and repetition of the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pupil’s reply with either high-fall(positive), or a rise of any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kind(negative evaluation).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18.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Silent stress</w:t>
            </w:r>
          </w:p>
        </w:tc>
        <w:tc>
          <w:tcPr>
            <w:tcW w:w="763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^</w:t>
            </w:r>
          </w:p>
        </w:tc>
        <w:tc>
          <w:tcPr>
            <w:tcW w:w="5472" w:type="dxa"/>
          </w:tcPr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pause of one or more beats, following a marker. It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functions to highlight the marker when it is serving as the head of a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boundary exchange indicating a transaction boundary.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19.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metastatement</w:t>
            </w:r>
          </w:p>
        </w:tc>
        <w:tc>
          <w:tcPr>
            <w:tcW w:w="763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ms</w:t>
            </w:r>
          </w:p>
        </w:tc>
        <w:tc>
          <w:tcPr>
            <w:tcW w:w="5472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statement which refers to some future time when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what is described will occur. Its function is to help pupils to see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structure of the lesson, to help them understand the purpose of</w:t>
            </w: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subsequent exchange, and see where they are going.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20.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conclusion</w:t>
            </w:r>
          </w:p>
        </w:tc>
        <w:tc>
          <w:tcPr>
            <w:tcW w:w="763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con</w:t>
            </w:r>
          </w:p>
        </w:tc>
        <w:tc>
          <w:tcPr>
            <w:tcW w:w="5472" w:type="dxa"/>
          </w:tcPr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an anaphoric statement, sometimes marked by slowing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of speech rate and usually the lexical items ‘so’ or ‘then’. In a way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it is the converse of a metastatement. Its function is again to help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pupils understand the structure of the lesson but this time by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summarizing what the preceding chunk of discourse was about.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21.</w:t>
            </w:r>
          </w:p>
        </w:tc>
        <w:tc>
          <w:tcPr>
            <w:tcW w:w="1372" w:type="dxa"/>
          </w:tcPr>
          <w:p w:rsidR="008772E3" w:rsidRP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Loop</w:t>
            </w:r>
          </w:p>
        </w:tc>
        <w:tc>
          <w:tcPr>
            <w:tcW w:w="763" w:type="dxa"/>
          </w:tcPr>
          <w:p w:rsidR="008772E3" w:rsidRPr="008772E3" w:rsidRDefault="008772E3" w:rsidP="008772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L</w:t>
            </w:r>
          </w:p>
        </w:tc>
        <w:tc>
          <w:tcPr>
            <w:tcW w:w="5472" w:type="dxa"/>
          </w:tcPr>
          <w:p w:rsidR="008772E3" w:rsidRPr="002539FE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a closed class of items – ‘pardon’, ‘you what’, ‘eh’,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‘again’, with rising intonation and a few questions like ‘did you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say’, ‘do you mean’. Its function is to return the discourse to the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stage it was at before the pupil spoke, from where it can proceed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normally.</w:t>
            </w:r>
          </w:p>
        </w:tc>
      </w:tr>
      <w:tr w:rsidR="008772E3" w:rsidTr="002539FE">
        <w:tc>
          <w:tcPr>
            <w:tcW w:w="546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  <w:lang w:val="en-US"/>
              </w:rPr>
              <w:t>22.</w:t>
            </w:r>
          </w:p>
        </w:tc>
        <w:tc>
          <w:tcPr>
            <w:tcW w:w="1372" w:type="dxa"/>
          </w:tcPr>
          <w:p w:rsidR="008772E3" w:rsidRDefault="008772E3" w:rsidP="0032052D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aside</w:t>
            </w:r>
          </w:p>
        </w:tc>
        <w:tc>
          <w:tcPr>
            <w:tcW w:w="763" w:type="dxa"/>
          </w:tcPr>
          <w:p w:rsidR="008772E3" w:rsidRDefault="008772E3" w:rsidP="008772E3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z</w:t>
            </w:r>
          </w:p>
        </w:tc>
        <w:tc>
          <w:tcPr>
            <w:tcW w:w="5472" w:type="dxa"/>
          </w:tcPr>
          <w:p w:rsidR="008772E3" w:rsidRPr="0082057B" w:rsidRDefault="008772E3" w:rsidP="008772E3">
            <w:pPr>
              <w:autoSpaceDE w:val="0"/>
              <w:autoSpaceDN w:val="0"/>
              <w:adjustRightInd w:val="0"/>
              <w:jc w:val="both"/>
              <w:rPr>
                <w:rFonts w:ascii="TimesNewRoman" w:hAnsi="TimesNewRoman" w:cs="TimesNewRoman"/>
                <w:sz w:val="20"/>
                <w:szCs w:val="20"/>
                <w:lang w:val="en-US"/>
              </w:rPr>
            </w:pPr>
            <w:r>
              <w:rPr>
                <w:rFonts w:ascii="TimesNewRoman" w:hAnsi="TimesNewRoman" w:cs="TimesNewRoman"/>
                <w:sz w:val="20"/>
                <w:szCs w:val="20"/>
              </w:rPr>
              <w:t>Realized by statement, question, command, moodless, usually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marked by lowering the tone of voice, and not really addressed to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the class. As we noted above, this category covers items that we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have difficulty dealing with. It is really instances of the teacher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talking to himself: ‘It’s freezing in here’, ‘Where did I put my</w:t>
            </w:r>
            <w:r w:rsidR="002539FE">
              <w:rPr>
                <w:rFonts w:ascii="TimesNewRoman" w:hAnsi="TimesNewRoman" w:cs="TimesNew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NewRoman" w:hAnsi="TimesNewRoman" w:cs="TimesNewRoman"/>
                <w:sz w:val="20"/>
                <w:szCs w:val="20"/>
              </w:rPr>
              <w:t>chalk?’</w:t>
            </w:r>
          </w:p>
        </w:tc>
      </w:tr>
    </w:tbl>
    <w:p w:rsidR="0032052D" w:rsidRDefault="0032052D" w:rsidP="00320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8772E3" w:rsidRDefault="008772E3" w:rsidP="00320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8772E3" w:rsidRDefault="008772E3" w:rsidP="00320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8772E3" w:rsidRDefault="008772E3" w:rsidP="0032052D">
      <w:pPr>
        <w:autoSpaceDE w:val="0"/>
        <w:autoSpaceDN w:val="0"/>
        <w:adjustRightInd w:val="0"/>
        <w:spacing w:after="0" w:line="240" w:lineRule="auto"/>
        <w:rPr>
          <w:rFonts w:ascii="TimesNewRoman" w:hAnsi="TimesNewRoman" w:cs="TimesNewRoman"/>
          <w:sz w:val="20"/>
          <w:szCs w:val="20"/>
          <w:lang w:val="en-US"/>
        </w:rPr>
      </w:pPr>
    </w:p>
    <w:p w:rsidR="002539FE" w:rsidRDefault="002539FE" w:rsidP="008772E3">
      <w:pPr>
        <w:autoSpaceDE w:val="0"/>
        <w:autoSpaceDN w:val="0"/>
        <w:adjustRightInd w:val="0"/>
        <w:spacing w:after="0" w:line="480" w:lineRule="auto"/>
        <w:jc w:val="both"/>
        <w:rPr>
          <w:rFonts w:ascii="TimesNewRoman" w:hAnsi="TimesNewRoman" w:cs="TimesNewRoman"/>
          <w:sz w:val="20"/>
          <w:szCs w:val="20"/>
          <w:lang w:val="en-US"/>
        </w:rPr>
      </w:pPr>
    </w:p>
    <w:sectPr w:rsidR="002539FE" w:rsidSect="0032052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>
    <w:useFELayout/>
  </w:compat>
  <w:rsids>
    <w:rsidRoot w:val="0032052D"/>
    <w:rsid w:val="00124384"/>
    <w:rsid w:val="002539FE"/>
    <w:rsid w:val="0032052D"/>
    <w:rsid w:val="0082057B"/>
    <w:rsid w:val="008772E3"/>
    <w:rsid w:val="00A511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d-ID" w:eastAsia="id-ID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43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05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892</Words>
  <Characters>5088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vidi</dc:creator>
  <cp:keywords/>
  <dc:description/>
  <cp:lastModifiedBy>vidi</cp:lastModifiedBy>
  <cp:revision>3</cp:revision>
  <dcterms:created xsi:type="dcterms:W3CDTF">2012-04-17T05:31:00Z</dcterms:created>
  <dcterms:modified xsi:type="dcterms:W3CDTF">2012-06-05T07:36:00Z</dcterms:modified>
</cp:coreProperties>
</file>