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2015</w:t>
      </w:r>
    </w:p>
    <w:p>
      <w:pPr>
        <w:pStyle w:val="Normal"/>
        <w:spacing w:lineRule="auto" w:line="240"/>
        <w:jc w:val="right"/>
        <w:rPr>
          <w:rFonts w:cs="Arial"/>
          <w:b/>
          <w:lang w:val="id-ID"/>
        </w:rPr>
      </w:pPr>
      <w:r>
        <w:rPr>
          <w:rFonts w:cs="Arial"/>
          <w:b/>
          <w:lang w:val="id-ID"/>
        </w:rPr>
      </w:r>
    </w:p>
    <w:p>
      <w:pPr>
        <w:pStyle w:val="Normal"/>
        <w:spacing w:lineRule="auto" w:line="240"/>
        <w:jc w:val="center"/>
        <w:rPr>
          <w:rFonts w:cs="Arial"/>
          <w:b/>
          <w:lang w:val="id-ID"/>
        </w:rPr>
      </w:pPr>
      <w:r>
        <w:rPr>
          <w:rFonts w:cs="Arial"/>
          <w:b/>
          <w:lang w:val="id-ID"/>
        </w:rPr>
      </w:r>
    </w:p>
    <w:p>
      <w:pPr>
        <w:pStyle w:val="Normal"/>
        <w:spacing w:lineRule="auto" w:line="240"/>
        <w:jc w:val="center"/>
        <w:rPr>
          <w:rFonts w:cs="Arial"/>
          <w:b/>
        </w:rPr>
      </w:pPr>
      <w:r>
        <w:rPr>
          <w:rFonts w:cs="Arial"/>
          <w:b/>
        </w:rPr>
        <w:t>ABSTRAK</w:t>
      </w:r>
    </w:p>
    <w:p>
      <w:pPr>
        <w:pStyle w:val="Normal"/>
        <w:spacing w:lineRule="auto" w:line="240"/>
        <w:jc w:val="center"/>
        <w:rPr>
          <w:rFonts w:cs="Arial"/>
          <w:b/>
          <w:lang w:val="id-ID"/>
        </w:rPr>
      </w:pPr>
      <w:r>
        <w:rPr>
          <w:rFonts w:cs="Arial"/>
          <w:b/>
          <w:lang w:val="id-ID"/>
        </w:rPr>
      </w:r>
    </w:p>
    <w:p>
      <w:pPr>
        <w:pStyle w:val="Normal"/>
        <w:spacing w:lineRule="auto" w:line="240"/>
        <w:rPr>
          <w:rFonts w:cs="Arial"/>
          <w:b/>
        </w:rPr>
      </w:pPr>
      <w:r>
        <w:rPr>
          <w:rFonts w:cs="Arial"/>
          <w:b/>
        </w:rPr>
      </w:r>
    </w:p>
    <w:p>
      <w:pPr>
        <w:pStyle w:val="Normal"/>
        <w:spacing w:lineRule="auto" w:line="240"/>
        <w:rPr>
          <w:rFonts w:cs="Arial"/>
          <w:b/>
          <w:lang w:val="id-ID"/>
        </w:rPr>
      </w:pPr>
      <w:r>
        <w:rPr>
          <w:rFonts w:cs="Arial"/>
          <w:b/>
          <w:lang w:val="id-ID"/>
        </w:rPr>
        <w:t>Ria Yulianti Tri Wahyuningsih</w:t>
      </w:r>
    </w:p>
    <w:p>
      <w:pPr>
        <w:pStyle w:val="Normal"/>
        <w:spacing w:lineRule="auto" w:line="240"/>
        <w:jc w:val="both"/>
        <w:rPr>
          <w:rFonts w:cs="Arial"/>
          <w:b/>
          <w:color w:val="000000"/>
        </w:rPr>
      </w:pPr>
      <w:r>
        <w:rPr>
          <w:rFonts w:cs="Arial"/>
          <w:b/>
          <w:color w:val="000000"/>
        </w:rPr>
        <w:t>Analisis Faktor-Faktor</w:t>
      </w:r>
      <w:r>
        <w:rPr>
          <w:rFonts w:cs="Arial"/>
          <w:b/>
          <w:color w:val="000000"/>
          <w:lang w:val="id-ID"/>
        </w:rPr>
        <w:t xml:space="preserve"> Implementasi Bidan Praktik Mandiri </w:t>
      </w:r>
      <w:r>
        <w:rPr>
          <w:rFonts w:cs="Arial"/>
          <w:b/>
          <w:color w:val="000000"/>
        </w:rPr>
        <w:t>s</w:t>
      </w:r>
      <w:r>
        <w:rPr>
          <w:rFonts w:cs="Arial"/>
          <w:b/>
          <w:color w:val="000000"/>
          <w:lang w:val="id-ID"/>
        </w:rPr>
        <w:t>esuai Aturan Kredensialing BPJS Kesehatan Kota Cirebon</w:t>
      </w:r>
      <w:r>
        <w:rPr>
          <w:rFonts w:cs="Arial"/>
          <w:b/>
          <w:color w:val="000000"/>
        </w:rPr>
        <w:t>Tahun 2015.</w:t>
      </w:r>
    </w:p>
    <w:p>
      <w:pPr>
        <w:pStyle w:val="Normal"/>
        <w:spacing w:lineRule="auto" w:line="240"/>
        <w:rPr>
          <w:rFonts w:cs="Arial"/>
          <w:b/>
        </w:rPr>
      </w:pPr>
      <w:r>
        <w:rPr>
          <w:rFonts w:cs="Arial"/>
          <w:b/>
        </w:rPr>
        <w:t>x</w:t>
      </w:r>
      <w:r>
        <w:rPr>
          <w:rFonts w:cs="Arial"/>
          <w:b/>
          <w:lang w:val="id-ID"/>
        </w:rPr>
        <w:t>viii</w:t>
      </w:r>
      <w:r>
        <w:rPr>
          <w:rFonts w:cs="Arial"/>
          <w:b/>
        </w:rPr>
        <w:t xml:space="preserve"> + </w:t>
      </w:r>
      <w:r>
        <w:rPr>
          <w:rFonts w:cs="Arial"/>
          <w:b/>
          <w:lang w:val="id-ID"/>
        </w:rPr>
        <w:t>92</w:t>
      </w:r>
      <w:r>
        <w:rPr>
          <w:rFonts w:cs="Arial"/>
          <w:b/>
        </w:rPr>
        <w:t xml:space="preserve"> halaman + </w:t>
      </w:r>
      <w:r>
        <w:rPr>
          <w:rFonts w:cs="Arial"/>
          <w:b/>
          <w:lang w:val="id-ID"/>
        </w:rPr>
        <w:t>21</w:t>
      </w:r>
      <w:r>
        <w:rPr>
          <w:rFonts w:cs="Arial"/>
          <w:b/>
        </w:rPr>
        <w:t xml:space="preserve"> tabel + </w:t>
      </w:r>
      <w:r>
        <w:rPr>
          <w:rFonts w:cs="Arial"/>
          <w:b/>
          <w:lang w:val="id-ID"/>
        </w:rPr>
        <w:t>3</w:t>
      </w:r>
      <w:r>
        <w:rPr>
          <w:rFonts w:cs="Arial"/>
          <w:b/>
        </w:rPr>
        <w:t xml:space="preserve"> gambar + 10</w:t>
      </w:r>
      <w:r>
        <w:rPr>
          <w:rFonts w:cs="Arial"/>
          <w:b/>
          <w:lang w:val="id-ID"/>
        </w:rPr>
        <w:t xml:space="preserve"> </w:t>
      </w:r>
      <w:r>
        <w:rPr>
          <w:rFonts w:cs="Arial"/>
          <w:b/>
        </w:rPr>
        <w:t>lampiran</w:t>
      </w:r>
    </w:p>
    <w:p>
      <w:pPr>
        <w:pStyle w:val="Normal"/>
        <w:spacing w:lineRule="auto" w:line="240"/>
        <w:rPr>
          <w:rFonts w:cs="Arial"/>
        </w:rPr>
      </w:pPr>
      <w:r>
        <w:rPr>
          <w:rFonts w:cs="Arial"/>
        </w:rPr>
      </w:r>
    </w:p>
    <w:p>
      <w:pPr>
        <w:pStyle w:val="Normal"/>
        <w:spacing w:lineRule="auto" w:line="240"/>
        <w:jc w:val="both"/>
        <w:rPr>
          <w:rFonts w:cs="Arial"/>
          <w:lang w:val="id-ID"/>
        </w:rPr>
      </w:pPr>
      <w:r>
        <w:rPr>
          <w:rFonts w:cs="Arial"/>
        </w:rPr>
        <w:t xml:space="preserve">       </w:t>
      </w:r>
      <w:r>
        <w:rPr>
          <w:rFonts w:cs="Arial"/>
        </w:rPr>
        <w:t>BPJS kesehatan merupakan perlindungan berupa jaminan social untuk melindungi masyarakat dan tenaga kerja Indonesia dari masalah kesehatan. Sampai dengan tahun 2010.</w:t>
      </w:r>
      <w:r>
        <w:rPr>
          <w:rFonts w:cs="Arial"/>
          <w:lang w:val="id-ID"/>
        </w:rPr>
        <w:t xml:space="preserve"> BPM dalam kerjasama dengan BPJS kesehatan dengan menjadi jejaring banyak ditemukan kekurangan</w:t>
      </w:r>
      <w:r>
        <w:rPr>
          <w:rFonts w:cs="Arial"/>
        </w:rPr>
        <w:t xml:space="preserve"> </w:t>
      </w:r>
      <w:r>
        <w:rPr>
          <w:rFonts w:cs="Arial"/>
          <w:lang w:val="id-ID"/>
        </w:rPr>
        <w:t>diantaranya pada sumberdaya, komunikasi yang berkaitan dengan syarat kredensialing, SOP serta sikap bidan dalam memberikan pelayanan bagi peserta BPJS kesehatan.</w:t>
      </w:r>
    </w:p>
    <w:p>
      <w:pPr>
        <w:pStyle w:val="Normal"/>
        <w:spacing w:lineRule="auto" w:line="240"/>
        <w:jc w:val="both"/>
        <w:rPr>
          <w:rFonts w:cs="Arial"/>
        </w:rPr>
      </w:pPr>
      <w:r>
        <w:rPr>
          <w:rFonts w:cs="Arial"/>
        </w:rPr>
        <w:t xml:space="preserve">Jenis penelitian survey analitik dengan pendekatan </w:t>
      </w:r>
      <w:r>
        <w:rPr>
          <w:rFonts w:cs="Arial"/>
          <w:i/>
          <w:lang w:val="id-ID"/>
        </w:rPr>
        <w:t>cross sectional</w:t>
      </w:r>
      <w:r>
        <w:rPr>
          <w:rFonts w:cs="Arial"/>
          <w:lang w:val="id-ID"/>
        </w:rPr>
        <w:t xml:space="preserve">. </w:t>
      </w:r>
      <w:r>
        <w:rPr>
          <w:rFonts w:cs="Arial"/>
        </w:rPr>
        <w:t>Instrument penelitian menggunakan kuesioner pada</w:t>
      </w:r>
      <w:r>
        <w:rPr>
          <w:rFonts w:cs="Arial"/>
          <w:lang w:val="id-ID"/>
        </w:rPr>
        <w:t xml:space="preserve"> 51 BPM </w:t>
      </w:r>
      <w:r>
        <w:rPr>
          <w:rFonts w:cs="Arial"/>
        </w:rPr>
        <w:t xml:space="preserve">dan </w:t>
      </w:r>
      <w:r>
        <w:rPr>
          <w:rFonts w:cs="Arial"/>
          <w:lang w:val="id-ID"/>
        </w:rPr>
        <w:t>bidan</w:t>
      </w:r>
      <w:r>
        <w:rPr>
          <w:rFonts w:cs="Arial"/>
        </w:rPr>
        <w:t xml:space="preserve"> sebagai responden.Data penelitian diolah dengan uji univariat, bivariat  dan multivariate dengan uji regresi linier.</w:t>
      </w:r>
    </w:p>
    <w:p>
      <w:pPr>
        <w:pStyle w:val="Normal"/>
        <w:spacing w:lineRule="auto" w:line="240"/>
        <w:ind w:left="0" w:right="0" w:firstLine="426"/>
        <w:jc w:val="both"/>
        <w:rPr>
          <w:rFonts w:cs="Arial"/>
          <w:lang w:val="id-ID"/>
        </w:rPr>
      </w:pPr>
      <w:r>
        <w:rPr>
          <w:rFonts w:cs="Arial"/>
        </w:rPr>
        <w:t xml:space="preserve">Hasil penelitian </w:t>
      </w:r>
      <w:r>
        <w:rPr>
          <w:rFonts w:cs="Arial"/>
          <w:lang w:val="id-ID"/>
        </w:rPr>
        <w:t>menunjukkan</w:t>
      </w:r>
      <w:r>
        <w:rPr>
          <w:rFonts w:cs="Arial"/>
        </w:rPr>
        <w:t xml:space="preserve"> bahwa sumberdaya responden tentang implementasi BPM Sesuai aturan kredensialing BPJS kesehatan di Kota Cirebon dimana responden yang memiliki sumberdaya baik (54,9%). Responden dengan komunikasi tidak baik sebesar (56,9,%). Responden dengan saluran komunikasi kategori baik sebesar (52,2%). Resonden dengan disposisi kategori tidak baik sebesar (51%). Responden dengan struktur birokrasi kategori tidak baik sebesar (53%). Responden dengan kategori Baik sebesar (54,9%).</w:t>
      </w:r>
      <w:r>
        <w:rPr>
          <w:rFonts w:cs="Arial"/>
          <w:color w:val="000000"/>
        </w:rPr>
        <w:t>Variabel independen Sumberdaya p = 0,0010 (&lt; 0,05); t = 3.463, Komunikasi   p = 0,0003 (&lt; 0,05); t = 1.912 , Disposisi p = 0,0001 (&lt; 0,05); t = 4.033, Hal ini berarti variabel Sumberdaya, Komunikasi, Disposis iberpengaruh secara.hasil uji F ( ujiAnova) = 5.352 dengan p value = 0,0001 maka ketiga variabel Sumberdaya, Komunikasi dan Disposisi bersama-sama mempengaruhi implementasi BPM Sesuai aturan kredensialing BPJS Kesehatan</w:t>
      </w:r>
      <w:r>
        <w:rPr>
          <w:rFonts w:cs="Arial"/>
          <w:sz w:val="24"/>
          <w:szCs w:val="24"/>
        </w:rPr>
        <w:t xml:space="preserve"> </w:t>
      </w:r>
      <w:r>
        <w:rPr>
          <w:rFonts w:cs="Arial"/>
          <w:lang w:val="id-ID"/>
        </w:rPr>
        <w:t>Disarankan untuk</w:t>
      </w:r>
      <w:r>
        <w:rPr>
          <w:rFonts w:cs="Arial"/>
        </w:rPr>
        <w:t xml:space="preserve"> melakukan </w:t>
      </w:r>
      <w:r>
        <w:rPr>
          <w:rFonts w:cs="Arial"/>
          <w:lang w:val="id-ID"/>
        </w:rPr>
        <w:t xml:space="preserve">sosialisasi aturan pada BPM. </w:t>
      </w:r>
      <w:r>
        <w:rPr>
          <w:rFonts w:cs="Arial"/>
        </w:rPr>
        <w:t>Didalam penyampaian informasi dengan komunikasi interpersonal. Pendekatan interpersonal dengan para bidan mengenai disposisi atau sikap bidan dalam menghadapi peserta BPJS tidak membedakan dalam pelayanan,</w:t>
      </w:r>
      <w:r>
        <w:rPr>
          <w:rFonts w:cs="Arial"/>
          <w:lang w:val="id-ID"/>
        </w:rPr>
        <w:t>.</w:t>
      </w:r>
    </w:p>
    <w:p>
      <w:pPr>
        <w:pStyle w:val="Normal"/>
        <w:spacing w:lineRule="auto" w:line="240"/>
        <w:jc w:val="both"/>
        <w:rPr>
          <w:rFonts w:cs="Arial"/>
          <w:lang w:val="id-ID"/>
        </w:rPr>
      </w:pPr>
      <w:r>
        <w:rPr>
          <w:rFonts w:cs="Arial"/>
          <w:lang w:val="id-ID"/>
        </w:rPr>
      </w:r>
    </w:p>
    <w:p>
      <w:pPr>
        <w:pStyle w:val="Normal"/>
        <w:tabs>
          <w:tab w:val="left" w:pos="1276" w:leader="none"/>
          <w:tab w:val="left" w:pos="1418" w:leader="none"/>
        </w:tabs>
        <w:spacing w:lineRule="auto" w:line="240"/>
        <w:ind w:left="1440" w:right="0" w:hanging="1440"/>
        <w:jc w:val="both"/>
        <w:rPr>
          <w:rFonts w:cs="Arial"/>
        </w:rPr>
      </w:pPr>
      <w:r>
        <w:rPr>
          <w:rFonts w:cs="Arial"/>
        </w:rPr>
        <w:t>Kata kunci</w:t>
        <w:tab/>
        <w:tab/>
        <w:t>:</w:t>
      </w:r>
      <w:r>
        <w:rPr>
          <w:rFonts w:cs="Arial"/>
          <w:lang w:val="id-ID"/>
        </w:rPr>
        <w:t xml:space="preserve"> </w:t>
      </w:r>
      <w:r>
        <w:rPr>
          <w:rFonts w:cs="Arial"/>
        </w:rPr>
        <w:t xml:space="preserve"> </w:t>
      </w:r>
      <w:r>
        <w:rPr>
          <w:rFonts w:cs="Arial"/>
          <w:lang w:val="id-ID"/>
        </w:rPr>
        <w:t>Sumberdaya</w:t>
      </w:r>
      <w:r>
        <w:rPr>
          <w:rFonts w:cs="Arial"/>
        </w:rPr>
        <w:t xml:space="preserve">, </w:t>
      </w:r>
      <w:r>
        <w:rPr>
          <w:rFonts w:cs="Arial"/>
          <w:lang w:val="id-ID"/>
        </w:rPr>
        <w:t>Komunikasi</w:t>
      </w:r>
      <w:r>
        <w:rPr>
          <w:rFonts w:cs="Arial"/>
        </w:rPr>
        <w:t xml:space="preserve">, </w:t>
      </w:r>
      <w:r>
        <w:rPr>
          <w:rFonts w:cs="Arial"/>
          <w:lang w:val="id-ID"/>
        </w:rPr>
        <w:t>Disposisi</w:t>
      </w:r>
      <w:r>
        <w:rPr>
          <w:rFonts w:cs="Arial"/>
        </w:rPr>
        <w:t xml:space="preserve">, </w:t>
      </w:r>
      <w:r>
        <w:rPr>
          <w:rFonts w:cs="Arial"/>
          <w:lang w:val="id-ID"/>
        </w:rPr>
        <w:t>Struktur Birokrasi</w:t>
      </w:r>
      <w:r>
        <w:rPr>
          <w:rFonts w:cs="Arial"/>
        </w:rPr>
        <w:t xml:space="preserve">, </w:t>
      </w:r>
    </w:p>
    <w:p>
      <w:pPr>
        <w:pStyle w:val="Normal"/>
        <w:tabs>
          <w:tab w:val="left" w:pos="1276" w:leader="none"/>
          <w:tab w:val="left" w:pos="1418" w:leader="none"/>
        </w:tabs>
        <w:spacing w:lineRule="auto" w:line="240"/>
        <w:ind w:left="1440" w:right="0" w:hanging="1440"/>
        <w:jc w:val="both"/>
        <w:rPr>
          <w:rFonts w:cs="Arial"/>
          <w:lang w:val="id-ID"/>
        </w:rPr>
      </w:pPr>
      <w:r>
        <w:rPr>
          <w:rFonts w:cs="Arial"/>
        </w:rPr>
        <w:t xml:space="preserve">                          </w:t>
      </w:r>
      <w:r>
        <w:rPr>
          <w:rFonts w:cs="Arial"/>
          <w:lang w:val="id-ID"/>
        </w:rPr>
        <w:t xml:space="preserve">Implementasi BPM Sesuai Aturan Kredensialing </w:t>
      </w:r>
    </w:p>
    <w:p>
      <w:pPr>
        <w:pStyle w:val="Normal"/>
        <w:tabs>
          <w:tab w:val="left" w:pos="1276" w:leader="none"/>
          <w:tab w:val="left" w:pos="1418" w:leader="none"/>
        </w:tabs>
        <w:spacing w:lineRule="auto" w:line="240"/>
        <w:ind w:left="1440" w:right="0" w:hanging="1440"/>
        <w:jc w:val="both"/>
        <w:rPr>
          <w:rFonts w:cs="Arial"/>
        </w:rPr>
      </w:pPr>
      <w:r>
        <w:rPr>
          <w:rFonts w:cs="Arial"/>
        </w:rPr>
        <w:t>Kepustakaan   : 36 (1982-20</w:t>
      </w:r>
      <w:bookmarkStart w:id="0" w:name="_GoBack"/>
      <w:bookmarkEnd w:id="0"/>
      <w:r>
        <w:rPr>
          <w:rFonts w:cs="Arial"/>
        </w:rPr>
        <w:t>14)</w:t>
      </w:r>
    </w:p>
    <w:p>
      <w:pPr>
        <w:pStyle w:val="Normal"/>
        <w:rPr/>
      </w:pPr>
      <w:r>
        <w:rPr/>
      </w:r>
    </w:p>
    <w:p>
      <w:pPr>
        <w:pStyle w:val="Normal"/>
        <w:rPr/>
      </w:pPr>
      <w:r>
        <w:rPr/>
      </w:r>
    </w:p>
    <w:p>
      <w:pPr>
        <w:pStyle w:val="Normal"/>
        <w:rPr/>
      </w:pPr>
      <w:r>
        <w:rPr/>
      </w:r>
    </w:p>
    <w:p>
      <w:pPr>
        <w:pStyle w:val="Normal"/>
        <w:rPr/>
      </w:pPr>
      <w:r>
        <w:rPr/>
      </w:r>
    </w:p>
    <w:p>
      <w:pPr>
        <w:pStyle w:val="Normal"/>
        <w:jc w:val="right"/>
        <w:rPr>
          <w:rFonts w:cs="Arial"/>
          <w:b/>
          <w:bCs/>
        </w:rPr>
      </w:pPr>
      <w:r>
        <w:rPr>
          <w:rFonts w:cs="Arial"/>
          <w:b/>
          <w:bCs/>
        </w:rPr>
        <w:t>Diponegoro University</w:t>
      </w:r>
    </w:p>
    <w:p>
      <w:pPr>
        <w:pStyle w:val="Normal"/>
        <w:jc w:val="right"/>
        <w:rPr>
          <w:rFonts w:cs="Arial"/>
          <w:b/>
          <w:bCs/>
        </w:rPr>
      </w:pPr>
      <w:r>
        <w:rPr>
          <w:rFonts w:cs="Arial"/>
          <w:b/>
          <w:bCs/>
        </w:rPr>
        <w:t>Faculty of Public Health</w:t>
      </w:r>
    </w:p>
    <w:p>
      <w:pPr>
        <w:pStyle w:val="Normal"/>
        <w:jc w:val="right"/>
        <w:rPr>
          <w:rFonts w:cs="Arial"/>
          <w:b/>
          <w:bCs/>
        </w:rPr>
      </w:pPr>
      <w:r>
        <w:rPr>
          <w:rFonts w:cs="Arial"/>
          <w:b/>
          <w:bCs/>
        </w:rPr>
        <w:t>Master’s Study Program in Public Health</w:t>
      </w:r>
    </w:p>
    <w:p>
      <w:pPr>
        <w:pStyle w:val="Normal"/>
        <w:jc w:val="right"/>
        <w:rPr>
          <w:rFonts w:cs="Arial"/>
          <w:b/>
          <w:bCs/>
        </w:rPr>
      </w:pPr>
      <w:r>
        <w:rPr>
          <w:rFonts w:cs="Arial"/>
          <w:b/>
          <w:bCs/>
        </w:rPr>
        <w:t xml:space="preserve">Majoring in Maternal and Child Health </w:t>
      </w:r>
    </w:p>
    <w:p>
      <w:pPr>
        <w:pStyle w:val="Normal"/>
        <w:ind w:left="0" w:right="0" w:hanging="1440"/>
        <w:jc w:val="right"/>
        <w:rPr>
          <w:rFonts w:cs="Arial"/>
          <w:b/>
          <w:bCs/>
        </w:rPr>
      </w:pPr>
      <w:r>
        <w:rPr>
          <w:rFonts w:cs="Arial"/>
          <w:b/>
          <w:bCs/>
        </w:rPr>
        <w:t>2015</w:t>
      </w:r>
    </w:p>
    <w:p>
      <w:pPr>
        <w:pStyle w:val="Normal"/>
        <w:ind w:left="0" w:right="0" w:hanging="1440"/>
        <w:jc w:val="right"/>
        <w:rPr>
          <w:rFonts w:cs="Arial"/>
        </w:rPr>
      </w:pPr>
      <w:r>
        <w:rPr>
          <w:rFonts w:cs="Arial"/>
        </w:rPr>
      </w:r>
    </w:p>
    <w:p>
      <w:pPr>
        <w:pStyle w:val="Normal"/>
        <w:jc w:val="center"/>
        <w:rPr>
          <w:rFonts w:cs="Arial"/>
          <w:b/>
          <w:bCs/>
        </w:rPr>
      </w:pPr>
      <w:r>
        <w:rPr>
          <w:rFonts w:cs="Arial"/>
          <w:b/>
          <w:bCs/>
        </w:rPr>
        <w:t>ABSTRACT</w:t>
      </w:r>
    </w:p>
    <w:p>
      <w:pPr>
        <w:pStyle w:val="Normal"/>
        <w:jc w:val="center"/>
        <w:rPr>
          <w:rFonts w:cs="Arial"/>
          <w:b/>
          <w:bCs/>
          <w:lang w:val="en-AU"/>
        </w:rPr>
      </w:pPr>
      <w:r>
        <w:rPr>
          <w:rFonts w:cs="Arial"/>
          <w:b/>
          <w:bCs/>
          <w:lang w:val="en-AU"/>
        </w:rPr>
      </w:r>
    </w:p>
    <w:p>
      <w:pPr>
        <w:pStyle w:val="ListParagraph"/>
        <w:ind w:left="0" w:right="0" w:hanging="0"/>
        <w:rPr>
          <w:rFonts w:cs="Arial"/>
          <w:b/>
          <w:bCs/>
          <w:lang w:val="id-ID"/>
        </w:rPr>
      </w:pPr>
      <w:r>
        <w:rPr>
          <w:rFonts w:cs="Arial"/>
          <w:b/>
          <w:bCs/>
          <w:lang w:val="id-ID"/>
        </w:rPr>
        <w:t>Ria Yulianti Tri Wahyuningsih</w:t>
      </w:r>
    </w:p>
    <w:p>
      <w:pPr>
        <w:pStyle w:val="Normal"/>
        <w:jc w:val="both"/>
        <w:rPr>
          <w:rFonts w:cs="Arial"/>
          <w:b/>
          <w:bCs/>
          <w:lang w:val="en-AU" w:eastAsia="en-AU"/>
        </w:rPr>
      </w:pPr>
      <w:r>
        <w:rPr>
          <w:rFonts w:cs="Arial"/>
          <w:b/>
          <w:bCs/>
          <w:lang w:val="en-AU" w:eastAsia="en-AU"/>
        </w:rPr>
        <w:t xml:space="preserve">Analysis of Implementation Factors of Independent Practice Midwives based on the Credentialing Regulation of Health BPJS in Cirebon City in 2015.   </w:t>
      </w:r>
    </w:p>
    <w:p>
      <w:pPr>
        <w:pStyle w:val="Normal"/>
        <w:jc w:val="both"/>
        <w:rPr>
          <w:rFonts w:cs="Arial"/>
          <w:b/>
          <w:bCs/>
          <w:lang w:val="en-AU"/>
        </w:rPr>
      </w:pPr>
      <w:r>
        <w:rPr>
          <w:rFonts w:cs="Arial"/>
          <w:b/>
          <w:bCs/>
          <w:lang w:val="en-AU"/>
        </w:rPr>
        <w:t>xviii + 92 pages + 21 tables + 3 figures + 10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Health BPJS is a social insurance program to protect a community and Indonesian workers from health problems. Until 2010, some problems such as resource, communication relating to credentialing requirements, Standard Operating Procedure, and midwives’ attitudes in providing services for health BPJS members were found in cooperation between Independent Practice Midwives (IPM) and health BPJS.</w:t>
      </w:r>
    </w:p>
    <w:p>
      <w:pPr>
        <w:pStyle w:val="Normal"/>
        <w:ind w:left="0" w:right="0" w:firstLine="567"/>
        <w:jc w:val="both"/>
        <w:rPr>
          <w:rFonts w:cs="Arial"/>
          <w:lang w:val="en-AU"/>
        </w:rPr>
      </w:pPr>
      <w:r>
        <w:rPr>
          <w:rFonts w:cs="Arial"/>
          <w:lang w:val="en-AU"/>
        </w:rPr>
        <w:t>This was an analytic survey using a cross-sectional approach. Data were collected by conducting interview using a questionnaire to 51 IPM. Data were analysed using methods of univariate, bivariate, and multivariate (Logistic Regression test).</w:t>
      </w:r>
    </w:p>
    <w:p>
      <w:pPr>
        <w:pStyle w:val="Normal"/>
        <w:ind w:left="0" w:right="0" w:firstLine="567"/>
        <w:jc w:val="both"/>
        <w:rPr>
          <w:rFonts w:cs="Arial"/>
          <w:lang w:val="en-AU"/>
        </w:rPr>
      </w:pPr>
      <w:r>
        <w:rPr>
          <w:rFonts w:cs="Arial"/>
          <w:lang w:val="en-AU"/>
        </w:rPr>
        <w:t xml:space="preserve">The results of this research showed that more than half of the respondents had good resource </w:t>
      </w:r>
      <w:r>
        <w:rPr>
          <w:rFonts w:cs="Arial"/>
        </w:rPr>
        <w:t>(54.9%), bad communication (56.9%), good communication channel (52.2%), bad disposition (51%), bad bureaucracy structure (53%), and good attitude (54.9%). Variables of resource (</w:t>
      </w:r>
      <w:r>
        <w:rPr>
          <w:rFonts w:cs="Arial"/>
          <w:color w:val="000000"/>
        </w:rPr>
        <w:t>p=0.0010&lt;0.05; t=3.463), communication (p=0.0003&lt;0.05; t=1.912), and disposition (p=0.0001&lt;0.05); t=4.033) were statistically significant. This means that these variables jointly influenced the implementation of IPM in accordance with the credentialing regulation of health BPJS (F=5.352; p=0.0001).</w:t>
      </w:r>
      <w:r>
        <w:rPr>
          <w:rFonts w:cs="Arial"/>
          <w:lang w:val="en-AU"/>
        </w:rPr>
        <w:t xml:space="preserve"> Socialisation of the regulation in implementing IPM needs to be conducted. Interpersonal communication in conveying information needs to be implemented. Interpersonal approach of midwives regarding disposition or their attitudes in providing services to health BPJS members needs to be improved. </w:t>
      </w:r>
    </w:p>
    <w:p>
      <w:pPr>
        <w:pStyle w:val="Normal"/>
        <w:jc w:val="both"/>
        <w:rPr>
          <w:rFonts w:cs="Arial"/>
          <w:lang w:val="en-AU"/>
        </w:rPr>
      </w:pPr>
      <w:r>
        <w:rPr>
          <w:rFonts w:cs="Arial"/>
          <w:lang w:val="en-AU"/>
        </w:rPr>
        <w:t xml:space="preserve"> </w:t>
      </w:r>
    </w:p>
    <w:p>
      <w:pPr>
        <w:pStyle w:val="Normal"/>
        <w:ind w:left="1219" w:right="0" w:hanging="1219"/>
        <w:jc w:val="both"/>
        <w:rPr>
          <w:rFonts w:cs="Arial"/>
          <w:lang w:val="en-AU"/>
        </w:rPr>
      </w:pPr>
      <w:r>
        <w:rPr>
          <w:rFonts w:cs="Arial"/>
        </w:rPr>
        <w:t>Key</w:t>
      </w:r>
      <w:r>
        <w:rPr>
          <w:rFonts w:cs="Arial"/>
        </w:rPr>
        <w:t>w</w:t>
      </w:r>
      <w:r>
        <w:rPr>
          <w:rFonts w:cs="Arial"/>
        </w:rPr>
        <w:t xml:space="preserve">ords   :  </w:t>
      </w:r>
      <w:r>
        <w:rPr>
          <w:rFonts w:cs="Arial"/>
        </w:rPr>
        <w:t>R</w:t>
      </w:r>
      <w:r>
        <w:rPr>
          <w:rFonts w:cs="Arial"/>
          <w:lang w:val="en-AU"/>
        </w:rPr>
        <w:t xml:space="preserve">esource, </w:t>
      </w:r>
      <w:r>
        <w:rPr>
          <w:rFonts w:cs="Arial"/>
          <w:lang w:val="en-AU"/>
        </w:rPr>
        <w:t>C</w:t>
      </w:r>
      <w:r>
        <w:rPr>
          <w:rFonts w:cs="Arial"/>
          <w:lang w:val="en-AU"/>
        </w:rPr>
        <w:t xml:space="preserve">ommunication, </w:t>
      </w:r>
      <w:r>
        <w:rPr>
          <w:rFonts w:cs="Arial"/>
          <w:lang w:val="en-AU"/>
        </w:rPr>
        <w:t>D</w:t>
      </w:r>
      <w:r>
        <w:rPr>
          <w:rFonts w:cs="Arial"/>
          <w:lang w:val="en-AU"/>
        </w:rPr>
        <w:t xml:space="preserve">isposition, </w:t>
      </w:r>
      <w:r>
        <w:rPr>
          <w:rFonts w:cs="Arial"/>
          <w:lang w:val="en-AU"/>
        </w:rPr>
        <w:t>B</w:t>
      </w:r>
      <w:r>
        <w:rPr>
          <w:rFonts w:cs="Arial"/>
          <w:lang w:val="en-AU"/>
        </w:rPr>
        <w:t xml:space="preserve">ureaucracy </w:t>
      </w:r>
      <w:r>
        <w:rPr>
          <w:rFonts w:cs="Arial"/>
          <w:lang w:val="en-AU"/>
        </w:rPr>
        <w:t>S</w:t>
      </w:r>
      <w:r>
        <w:rPr>
          <w:rFonts w:cs="Arial"/>
          <w:lang w:val="en-AU"/>
        </w:rPr>
        <w:t xml:space="preserve">tructure, </w:t>
      </w:r>
    </w:p>
    <w:p>
      <w:pPr>
        <w:pStyle w:val="Normal"/>
        <w:ind w:left="1219" w:right="0" w:hanging="1219"/>
        <w:jc w:val="both"/>
        <w:rPr>
          <w:rFonts w:cs="Arial"/>
          <w:lang w:val="en-AU"/>
        </w:rPr>
      </w:pPr>
      <w:r>
        <w:rPr>
          <w:rFonts w:cs="Arial"/>
          <w:lang w:val="en-AU"/>
        </w:rPr>
        <w:t xml:space="preserve">                      </w:t>
      </w:r>
      <w:r>
        <w:rPr>
          <w:rFonts w:cs="Arial"/>
          <w:lang w:val="en-AU"/>
        </w:rPr>
        <w:t xml:space="preserve">IPM </w:t>
      </w:r>
      <w:r>
        <w:rPr>
          <w:rFonts w:cs="Arial"/>
          <w:lang w:val="en-AU"/>
        </w:rPr>
        <w:t>I</w:t>
      </w:r>
      <w:r>
        <w:rPr>
          <w:rFonts w:cs="Arial"/>
          <w:lang w:val="en-AU"/>
        </w:rPr>
        <w:t xml:space="preserve">mplementation in </w:t>
      </w:r>
      <w:r>
        <w:rPr>
          <w:rFonts w:cs="Arial"/>
          <w:lang w:val="en-AU"/>
        </w:rPr>
        <w:t>A</w:t>
      </w:r>
      <w:r>
        <w:rPr>
          <w:rFonts w:cs="Arial"/>
          <w:lang w:val="en-AU"/>
        </w:rPr>
        <w:t xml:space="preserve">ccordance with the </w:t>
      </w:r>
    </w:p>
    <w:p>
      <w:pPr>
        <w:pStyle w:val="Normal"/>
        <w:ind w:left="1219" w:right="0" w:hanging="1219"/>
        <w:jc w:val="both"/>
        <w:rPr>
          <w:rFonts w:cs="Arial"/>
          <w:lang w:val="en-AU"/>
        </w:rPr>
      </w:pPr>
      <w:r>
        <w:rPr>
          <w:rFonts w:cs="Arial"/>
          <w:lang w:val="en-AU"/>
        </w:rPr>
        <w:t xml:space="preserve">                      </w:t>
      </w:r>
      <w:r>
        <w:rPr>
          <w:rFonts w:cs="Arial"/>
          <w:lang w:val="en-AU"/>
        </w:rPr>
        <w:t>C</w:t>
      </w:r>
      <w:r>
        <w:rPr>
          <w:rFonts w:cs="Arial"/>
          <w:lang w:val="en-AU"/>
        </w:rPr>
        <w:t xml:space="preserve">redentialing </w:t>
      </w:r>
      <w:r>
        <w:rPr>
          <w:rFonts w:cs="Arial"/>
          <w:lang w:val="en-AU"/>
        </w:rPr>
        <w:t>R</w:t>
      </w:r>
      <w:r>
        <w:rPr>
          <w:rFonts w:cs="Arial"/>
          <w:lang w:val="en-AU"/>
        </w:rPr>
        <w:t xml:space="preserve">egulation </w:t>
      </w:r>
    </w:p>
    <w:p>
      <w:pPr>
        <w:pStyle w:val="Normal"/>
        <w:rPr>
          <w:rFonts w:cs="Arial"/>
        </w:rPr>
      </w:pPr>
      <w:r>
        <w:rPr>
          <w:rFonts w:cs="Arial"/>
        </w:rPr>
        <w:t xml:space="preserve">Bibliography: </w:t>
      </w:r>
      <w:r>
        <w:rPr>
          <w:rFonts w:cs="Arial"/>
          <w:lang w:val="en-AU"/>
        </w:rPr>
        <w:t>36</w:t>
      </w:r>
      <w:r>
        <w:rPr>
          <w:rFonts w:cs="Arial"/>
        </w:rPr>
        <w:t xml:space="preserve"> (</w:t>
      </w:r>
      <w:r>
        <w:rPr>
          <w:rFonts w:cs="Arial"/>
          <w:lang w:val="en-AU"/>
        </w:rPr>
        <w:t>1982</w:t>
      </w:r>
      <w:r>
        <w:rPr>
          <w:rFonts w:cs="Arial"/>
        </w:rPr>
        <w:t>-201</w:t>
      </w:r>
      <w:r>
        <w:rPr>
          <w:rFonts w:cs="Arial"/>
          <w:lang w:val="en-AU"/>
        </w:rPr>
        <w:t>4</w:t>
      </w:r>
      <w:r>
        <w:rPr>
          <w:rFonts w:cs="Arial"/>
        </w:rPr>
        <w:t>)</w:t>
      </w:r>
    </w:p>
    <w:p>
      <w:pPr>
        <w:pStyle w:val="Normal"/>
        <w:rPr/>
      </w:pPr>
      <w:r>
        <w:rPr/>
      </w:r>
    </w:p>
    <w:sectPr>
      <w:headerReference w:type="default" r:id="rId2"/>
      <w:footerReference w:type="default" r:id="rId3"/>
      <w:type w:val="nextPage"/>
      <w:pgSz w:w="11906" w:h="16838"/>
      <w:pgMar w:left="2268" w:right="1985" w:header="720" w:top="1701" w:footer="720"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5512d"/>
    <w:pPr>
      <w:widowControl/>
      <w:suppressAutoHyphens w:val="true"/>
      <w:bidi w:val="0"/>
      <w:spacing w:before="0" w:after="0" w:lineRule="auto" w:line="276"/>
      <w:jc w:val="left"/>
    </w:pPr>
    <w:rPr>
      <w:rFonts w:ascii="Arial" w:hAnsi="Arial" w:eastAsia="Times New Roman" w:cs="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c5512d"/>
    <w:basedOn w:val="DefaultParagraphFont"/>
    <w:rPr>
      <w:rFonts w:ascii="Arial" w:hAnsi="Arial" w:eastAsia="Times New Roman" w:cs="Times New Roman"/>
      <w:lang w:val="en-US"/>
    </w:rPr>
  </w:style>
  <w:style w:type="character" w:styleId="FooterChar" w:customStyle="1">
    <w:name w:val="Footer Char"/>
    <w:uiPriority w:val="99"/>
    <w:link w:val="Footer"/>
    <w:rsid w:val="00c5512d"/>
    <w:basedOn w:val="DefaultParagraphFont"/>
    <w:rPr>
      <w:rFonts w:ascii="Arial" w:hAnsi="Arial" w:eastAsia="Times New Roman" w:cs="Times New Roman"/>
      <w:lang w:val="en-US"/>
    </w:rPr>
  </w:style>
  <w:style w:type="character" w:styleId="ListParagraphChar" w:customStyle="1">
    <w:name w:val="List Paragraph Char"/>
    <w:uiPriority w:val="34"/>
    <w:link w:val="ListParagraph"/>
    <w:locked/>
    <w:rsid w:val="00d531d2"/>
    <w:basedOn w:val="DefaultParagraphFont"/>
    <w:rPr>
      <w:rFonts w:ascii="Arial" w:hAnsi="Arial" w:eastAsia="Times New Roman" w:cs="Times New Roman"/>
      <w:lang w:val="en-US"/>
    </w:rPr>
  </w:style>
  <w:style w:type="character" w:styleId="BalloonTextChar" w:customStyle="1">
    <w:name w:val="Balloon Text Char"/>
    <w:uiPriority w:val="99"/>
    <w:semiHidden/>
    <w:link w:val="BalloonText"/>
    <w:rsid w:val="00d00fd8"/>
    <w:basedOn w:val="DefaultParagraphFont"/>
    <w:rPr>
      <w:rFonts w:ascii="Tahoma" w:hAnsi="Tahoma" w:eastAsia="Times New Roman" w:cs="Tahoma"/>
      <w:sz w:val="16"/>
      <w:szCs w:val="16"/>
      <w:lang w:val="en-US"/>
    </w:rPr>
  </w:style>
  <w:style w:type="character" w:styleId="Hps" w:customStyle="1">
    <w:name w:val="hps"/>
    <w:rsid w:val="004f45f8"/>
    <w:rPr>
      <w:rFonts w:eastAsia="Times New Roman"/>
    </w:rPr>
  </w:style>
  <w:style w:type="character" w:styleId="ListLabel1">
    <w:name w:val="ListLabel 1"/>
    <w:rPr>
      <w:rFonts w:cs="Times New Roman"/>
    </w:rPr>
  </w:style>
  <w:style w:type="character" w:styleId="ListLabel2">
    <w:name w:val="ListLabel 2"/>
    <w:rPr>
      <w:sz w:val="22"/>
      <w:szCs w:val="22"/>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c5512d"/>
    <w:basedOn w:val="Normal"/>
    <w:pPr>
      <w:spacing w:before="0" w:after="0"/>
      <w:ind w:left="720" w:right="0" w:hanging="0"/>
      <w:contextualSpacing/>
    </w:pPr>
    <w:rPr/>
  </w:style>
  <w:style w:type="paragraph" w:styleId="Header">
    <w:name w:val="Header"/>
    <w:uiPriority w:val="99"/>
    <w:unhideWhenUsed/>
    <w:link w:val="HeaderChar"/>
    <w:rsid w:val="00c5512d"/>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c5512d"/>
    <w:basedOn w:val="Normal"/>
    <w:pPr>
      <w:tabs>
        <w:tab w:val="center" w:pos="4680" w:leader="none"/>
        <w:tab w:val="right" w:pos="9360" w:leader="none"/>
      </w:tabs>
      <w:spacing w:lineRule="auto" w:line="240"/>
    </w:pPr>
    <w:rPr/>
  </w:style>
  <w:style w:type="paragraph" w:styleId="BalloonText">
    <w:name w:val="Balloon Text"/>
    <w:uiPriority w:val="99"/>
    <w:semiHidden/>
    <w:unhideWhenUsed/>
    <w:link w:val="BalloonTextChar"/>
    <w:rsid w:val="00d00fd8"/>
    <w:basedOn w:val="Normal"/>
    <w:pPr>
      <w:spacing w:lineRule="auto" w:line="24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5512d"/>
    <w:pPr>
      <w:spacing w:line="240" w:lineRule="auto" w:after="0"/>
    </w:pPr>
    <w:rPr>
      <w:lang w:val="en-US"/>
    </w:rPr>
    <w:tblPr>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2015-11-22T16:58:00Z</dcterms:created>
  <dc:creator>rangga</dc:creator>
  <dc:language>en-US</dc:language>
  <cp:lastModifiedBy>Suratman</cp:lastModifiedBy>
  <cp:lastPrinted>2015-12-28T03:51:00Z</cp:lastPrinted>
  <dcterms:modified xsi:type="dcterms:W3CDTF">2016-01-05T08:56:00Z</dcterms:modified>
  <cp:revision>61</cp:revision>
</cp:coreProperties>
</file>