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7560" w:leader="none"/>
          <w:tab w:val="left" w:pos="7645" w:leader="none"/>
        </w:tabs>
        <w:spacing w:lineRule="auto" w:line="240" w:before="0" w:after="0"/>
        <w:ind w:left="0" w:right="-6" w:hanging="0"/>
        <w:jc w:val="right"/>
        <w:rPr>
          <w:rFonts w:cs="Arial" w:ascii="Arial" w:hAnsi="Arial"/>
          <w:b/>
        </w:rPr>
      </w:pPr>
      <w:r>
        <w:rPr>
          <w:rFonts w:cs="Arial" w:ascii="Arial" w:hAnsi="Arial"/>
          <w:b/>
        </w:rPr>
        <w:t>Universitas Diponegoro</w:t>
      </w:r>
    </w:p>
    <w:p>
      <w:pPr>
        <w:pStyle w:val="Normal"/>
        <w:tabs>
          <w:tab w:val="left" w:pos="7560" w:leader="none"/>
          <w:tab w:val="left" w:pos="7645" w:leader="none"/>
        </w:tabs>
        <w:spacing w:lineRule="auto" w:line="240" w:before="0" w:after="0"/>
        <w:ind w:left="270" w:right="-6" w:hanging="0"/>
        <w:jc w:val="right"/>
        <w:rPr>
          <w:rFonts w:cs="Arial" w:ascii="Arial" w:hAnsi="Arial"/>
          <w:b/>
        </w:rPr>
      </w:pPr>
      <w:r>
        <w:rPr>
          <w:rFonts w:cs="Arial" w:ascii="Arial" w:hAnsi="Arial"/>
          <w:b/>
        </w:rPr>
        <w:t>Fakultas Kesehatan Masyarakat</w:t>
      </w:r>
    </w:p>
    <w:p>
      <w:pPr>
        <w:pStyle w:val="Normal"/>
        <w:tabs>
          <w:tab w:val="left" w:pos="7560" w:leader="none"/>
          <w:tab w:val="left" w:pos="7645" w:leader="none"/>
        </w:tabs>
        <w:spacing w:lineRule="auto" w:line="240" w:before="0" w:after="0"/>
        <w:ind w:left="270" w:right="-6" w:hanging="0"/>
        <w:jc w:val="right"/>
        <w:rPr>
          <w:rFonts w:cs="Arial" w:ascii="Arial" w:hAnsi="Arial"/>
          <w:b/>
        </w:rPr>
      </w:pPr>
      <w:r>
        <w:rPr>
          <w:rFonts w:cs="Arial" w:ascii="Arial" w:hAnsi="Arial"/>
          <w:b/>
        </w:rPr>
        <w:t>Program Studi Magister Ilmu Kesehatan Masyarakat</w:t>
      </w:r>
    </w:p>
    <w:p>
      <w:pPr>
        <w:pStyle w:val="Normal"/>
        <w:tabs>
          <w:tab w:val="left" w:pos="7560" w:leader="none"/>
          <w:tab w:val="left" w:pos="7645" w:leader="none"/>
        </w:tabs>
        <w:spacing w:lineRule="auto" w:line="240" w:before="0" w:after="0"/>
        <w:ind w:left="270" w:right="-6" w:hanging="0"/>
        <w:jc w:val="right"/>
        <w:rPr>
          <w:rFonts w:cs="Arial" w:ascii="Arial" w:hAnsi="Arial"/>
          <w:b/>
        </w:rPr>
      </w:pPr>
      <w:r>
        <w:rPr>
          <w:rFonts w:cs="Arial" w:ascii="Arial" w:hAnsi="Arial"/>
          <w:b/>
        </w:rPr>
        <w:t>Konsentrasi Kesehatan Ibu dan Anak</w:t>
      </w:r>
    </w:p>
    <w:p>
      <w:pPr>
        <w:pStyle w:val="Normal"/>
        <w:tabs>
          <w:tab w:val="left" w:pos="7560" w:leader="none"/>
          <w:tab w:val="left" w:pos="7645" w:leader="none"/>
        </w:tabs>
        <w:spacing w:lineRule="auto" w:line="240" w:before="0" w:after="0"/>
        <w:ind w:left="270" w:right="-6" w:hanging="0"/>
        <w:jc w:val="right"/>
        <w:rPr>
          <w:rFonts w:cs="Arial" w:ascii="Arial" w:hAnsi="Arial"/>
          <w:b/>
        </w:rPr>
      </w:pPr>
      <w:r>
        <w:rPr>
          <w:rFonts w:cs="Arial" w:ascii="Arial" w:hAnsi="Arial"/>
          <w:b/>
        </w:rPr>
        <w:t>2015</w:t>
      </w:r>
    </w:p>
    <w:p>
      <w:pPr>
        <w:pStyle w:val="Normal"/>
        <w:spacing w:lineRule="auto" w:line="240" w:before="0" w:after="0"/>
        <w:rPr>
          <w:rFonts w:eastAsia="Times New Roman" w:cs="Arial" w:ascii="Arial" w:hAnsi="Arial"/>
          <w:b/>
          <w:lang w:val="en-US"/>
        </w:rPr>
      </w:pPr>
      <w:r>
        <w:rPr>
          <w:rFonts w:eastAsia="Times New Roman" w:cs="Arial" w:ascii="Arial" w:hAnsi="Arial"/>
          <w:b/>
          <w:lang w:val="en-US"/>
        </w:rPr>
      </w:r>
    </w:p>
    <w:p>
      <w:pPr>
        <w:pStyle w:val="Normal"/>
        <w:spacing w:lineRule="auto" w:line="240" w:before="0" w:after="0"/>
        <w:jc w:val="center"/>
        <w:rPr>
          <w:rFonts w:eastAsia="Times New Roman" w:cs="Arial" w:ascii="Arial" w:hAnsi="Arial"/>
          <w:b/>
          <w:bCs/>
        </w:rPr>
      </w:pPr>
      <w:r>
        <w:rPr>
          <w:rFonts w:eastAsia="Times New Roman" w:cs="Arial" w:ascii="Arial" w:hAnsi="Arial"/>
          <w:b/>
          <w:bCs/>
        </w:rPr>
        <w:t>ABSTRAK</w:t>
      </w:r>
    </w:p>
    <w:p>
      <w:pPr>
        <w:pStyle w:val="Normal"/>
        <w:spacing w:lineRule="auto" w:line="240" w:before="0" w:after="0"/>
        <w:jc w:val="both"/>
        <w:rPr>
          <w:rFonts w:eastAsia="Times New Roman" w:cs="Arial" w:ascii="Arial" w:hAnsi="Arial"/>
          <w:b/>
          <w:bCs/>
        </w:rPr>
      </w:pPr>
      <w:r>
        <w:rPr>
          <w:rFonts w:eastAsia="Times New Roman" w:cs="Arial" w:ascii="Arial" w:hAnsi="Arial"/>
          <w:b/>
          <w:bCs/>
        </w:rPr>
        <w:t>Laelatul Mubasyiroh</w:t>
      </w:r>
    </w:p>
    <w:p>
      <w:pPr>
        <w:pStyle w:val="Normal"/>
        <w:spacing w:lineRule="auto" w:line="240" w:before="0" w:after="0"/>
        <w:jc w:val="both"/>
        <w:rPr>
          <w:rFonts w:eastAsia="Times New Roman" w:cs="Arial" w:ascii="Arial" w:hAnsi="Arial"/>
          <w:b/>
        </w:rPr>
      </w:pPr>
      <w:r>
        <w:rPr>
          <w:rFonts w:eastAsia="Times New Roman" w:cs="Arial" w:ascii="Arial" w:hAnsi="Arial"/>
          <w:b/>
        </w:rPr>
        <w:t>Faktor-</w:t>
      </w:r>
      <w:r>
        <w:rPr>
          <w:rFonts w:eastAsia="Times New Roman" w:cs="Arial" w:ascii="Arial" w:hAnsi="Arial"/>
          <w:b/>
          <w:lang w:val="en-US"/>
        </w:rPr>
        <w:t>F</w:t>
      </w:r>
      <w:r>
        <w:rPr>
          <w:rFonts w:eastAsia="Times New Roman" w:cs="Arial" w:ascii="Arial" w:hAnsi="Arial"/>
          <w:b/>
        </w:rPr>
        <w:t xml:space="preserve">aktor yang Mempengaruhi Motivasi Kerja Bidan Desa </w:t>
      </w:r>
      <w:r>
        <w:rPr>
          <w:rFonts w:eastAsia="Times New Roman" w:cs="Arial" w:ascii="Arial" w:hAnsi="Arial"/>
          <w:b/>
          <w:lang w:val="en-US"/>
        </w:rPr>
        <w:t>d</w:t>
      </w:r>
      <w:r>
        <w:rPr>
          <w:rFonts w:eastAsia="Times New Roman" w:cs="Arial" w:ascii="Arial" w:hAnsi="Arial"/>
          <w:b/>
        </w:rPr>
        <w:t>alam Pemberian Tabur</w:t>
      </w:r>
      <w:r>
        <w:rPr>
          <w:rFonts w:eastAsia="Times New Roman" w:cs="Arial" w:ascii="Arial" w:hAnsi="Arial"/>
          <w:b/>
          <w:lang w:val="en-US"/>
        </w:rPr>
        <w:t>ia t</w:t>
      </w:r>
      <w:r>
        <w:rPr>
          <w:rFonts w:eastAsia="Times New Roman" w:cs="Arial" w:ascii="Arial" w:hAnsi="Arial"/>
          <w:b/>
        </w:rPr>
        <w:t xml:space="preserve">erhadap Penurunan Angka </w:t>
      </w:r>
      <w:r>
        <w:rPr>
          <w:rFonts w:eastAsia="Times New Roman" w:cs="Arial" w:ascii="Arial" w:hAnsi="Arial"/>
          <w:b/>
          <w:i/>
        </w:rPr>
        <w:t xml:space="preserve">Stunting </w:t>
      </w:r>
      <w:r>
        <w:rPr>
          <w:rFonts w:eastAsia="Times New Roman" w:cs="Arial" w:ascii="Arial" w:hAnsi="Arial"/>
          <w:b/>
        </w:rPr>
        <w:t>di Kabupaten Brebes</w:t>
      </w:r>
    </w:p>
    <w:p>
      <w:pPr>
        <w:pStyle w:val="Normal"/>
        <w:spacing w:lineRule="auto" w:line="240" w:before="0" w:after="0"/>
        <w:rPr>
          <w:rFonts w:eastAsia="Times New Roman" w:cs="Arial" w:ascii="Arial" w:hAnsi="Arial"/>
          <w:b/>
        </w:rPr>
      </w:pPr>
      <w:r>
        <w:rPr>
          <w:rFonts w:eastAsia="Times New Roman" w:cs="Arial" w:ascii="Arial" w:hAnsi="Arial"/>
          <w:b/>
        </w:rPr>
        <w:t>xv</w:t>
      </w:r>
      <w:r>
        <w:rPr>
          <w:rFonts w:eastAsia="Times New Roman" w:cs="Arial" w:ascii="Arial" w:hAnsi="Arial"/>
          <w:b/>
          <w:lang w:val="en-US"/>
        </w:rPr>
        <w:t>ii</w:t>
      </w:r>
      <w:r>
        <w:rPr>
          <w:rFonts w:eastAsia="Times New Roman" w:cs="Arial" w:ascii="Arial" w:hAnsi="Arial"/>
          <w:b/>
        </w:rPr>
        <w:t xml:space="preserve"> +</w:t>
      </w:r>
      <w:r>
        <w:rPr>
          <w:rFonts w:eastAsia="Times New Roman" w:cs="Arial" w:ascii="Arial" w:hAnsi="Arial"/>
          <w:b/>
          <w:lang w:val="en-US"/>
        </w:rPr>
        <w:t>178</w:t>
      </w:r>
      <w:r>
        <w:rPr>
          <w:rFonts w:eastAsia="Times New Roman" w:cs="Arial" w:ascii="Arial" w:hAnsi="Arial"/>
          <w:b/>
        </w:rPr>
        <w:t xml:space="preserve"> halaman +2</w:t>
      </w:r>
      <w:r>
        <w:rPr>
          <w:rFonts w:eastAsia="Times New Roman" w:cs="Arial" w:ascii="Arial" w:hAnsi="Arial"/>
          <w:b/>
          <w:lang w:val="en-US"/>
        </w:rPr>
        <w:t>8</w:t>
      </w:r>
      <w:r>
        <w:rPr>
          <w:rFonts w:eastAsia="Times New Roman" w:cs="Arial" w:ascii="Arial" w:hAnsi="Arial"/>
          <w:b/>
        </w:rPr>
        <w:t xml:space="preserve"> tabel+2 gambar+ </w:t>
      </w:r>
      <w:r>
        <w:rPr>
          <w:rFonts w:eastAsia="Times New Roman" w:cs="Arial" w:ascii="Arial" w:hAnsi="Arial"/>
          <w:b/>
          <w:lang w:val="en-US"/>
        </w:rPr>
        <w:t>7</w:t>
      </w:r>
      <w:r>
        <w:rPr>
          <w:rFonts w:eastAsia="Times New Roman" w:cs="Arial" w:ascii="Arial" w:hAnsi="Arial"/>
          <w:b/>
        </w:rPr>
        <w:t xml:space="preserve"> lampiran</w:t>
      </w:r>
    </w:p>
    <w:p>
      <w:pPr>
        <w:pStyle w:val="Normal"/>
        <w:spacing w:lineRule="auto" w:line="240" w:before="0" w:after="0"/>
        <w:rPr>
          <w:rFonts w:eastAsia="Times New Roman" w:cs="Arial" w:ascii="Arial" w:hAnsi="Arial"/>
        </w:rPr>
      </w:pPr>
      <w:r>
        <w:rPr>
          <w:rFonts w:eastAsia="Times New Roman" w:cs="Arial" w:ascii="Arial" w:hAnsi="Arial"/>
        </w:rPr>
      </w:r>
    </w:p>
    <w:p>
      <w:pPr>
        <w:pStyle w:val="Normal"/>
        <w:tabs>
          <w:tab w:val="left" w:pos="993" w:leader="none"/>
        </w:tabs>
        <w:spacing w:lineRule="auto" w:line="240" w:before="0" w:after="0"/>
        <w:jc w:val="both"/>
        <w:rPr>
          <w:rFonts w:eastAsia="Times New Roman" w:cs="Arial" w:ascii="Arial" w:hAnsi="Arial"/>
        </w:rPr>
      </w:pPr>
      <w:r>
        <w:rPr>
          <w:rFonts w:eastAsia="Times New Roman" w:cs="Arial" w:ascii="Arial" w:hAnsi="Arial"/>
          <w:i/>
          <w:iCs/>
        </w:rPr>
        <w:tab/>
      </w:r>
      <w:r>
        <w:rPr>
          <w:rFonts w:eastAsia="Times New Roman" w:cs="Arial" w:ascii="Arial" w:hAnsi="Arial"/>
          <w:i/>
          <w:iCs/>
          <w:lang w:val="en-US"/>
        </w:rPr>
        <w:t xml:space="preserve">Stunting </w:t>
      </w:r>
      <w:r>
        <w:rPr>
          <w:rFonts w:eastAsia="Times New Roman" w:cs="Arial" w:ascii="Arial" w:hAnsi="Arial"/>
          <w:lang w:val="en-US"/>
        </w:rPr>
        <w:t>adalah keadaan dimana tubuh anak lebih pendek dibandingkan dengan anak seusianya</w:t>
      </w:r>
      <w:r>
        <w:rPr>
          <w:rFonts w:eastAsia="Times New Roman" w:cs="Arial" w:ascii="Arial" w:hAnsi="Arial"/>
        </w:rPr>
        <w:t>.</w:t>
      </w:r>
      <w:r>
        <w:rPr>
          <w:rFonts w:eastAsia="Times New Roman" w:cs="Arial" w:ascii="Arial" w:hAnsi="Arial"/>
          <w:lang w:val="en-US"/>
        </w:rPr>
        <w:t xml:space="preserve"> Salah satu upaya Kementerian Kesehatan untuk mencapai target penurunan angka </w:t>
      </w:r>
      <w:r>
        <w:rPr>
          <w:rFonts w:eastAsia="Times New Roman" w:cs="Arial" w:ascii="Arial" w:hAnsi="Arial"/>
          <w:i/>
          <w:lang w:val="en-US"/>
        </w:rPr>
        <w:t xml:space="preserve">stunting </w:t>
      </w:r>
      <w:r>
        <w:rPr>
          <w:rFonts w:eastAsia="Times New Roman" w:cs="Arial" w:ascii="Arial" w:hAnsi="Arial"/>
          <w:lang w:val="en-US"/>
        </w:rPr>
        <w:t>adalah dengan pemberian taburia</w:t>
      </w:r>
      <w:r>
        <w:rPr>
          <w:rFonts w:eastAsia="Times New Roman" w:cs="Arial" w:ascii="Arial" w:hAnsi="Arial"/>
        </w:rPr>
        <w:t xml:space="preserve">. Prevalensi balita </w:t>
      </w:r>
      <w:r>
        <w:rPr>
          <w:rFonts w:eastAsia="Times New Roman" w:cs="Arial" w:ascii="Arial" w:hAnsi="Arial"/>
          <w:i/>
        </w:rPr>
        <w:t>stunting</w:t>
      </w:r>
      <w:r>
        <w:rPr>
          <w:rFonts w:eastAsia="Times New Roman" w:cs="Arial" w:ascii="Arial" w:hAnsi="Arial"/>
        </w:rPr>
        <w:t xml:space="preserve"> berdasarkan pemantauan status gizi (PSG), di Kabupaten Brebes ditahun 2013 adalah 17,14%. Sedangkan berdasarkan Riskesdas (Riset Kesehatan Dasar) sebesar 37,2%</w:t>
      </w:r>
      <w:r>
        <w:rPr>
          <w:rFonts w:eastAsia="Times New Roman" w:cs="Arial" w:ascii="Arial" w:hAnsi="Arial"/>
          <w:lang w:val="en-US"/>
        </w:rPr>
        <w:t xml:space="preserve">. </w:t>
      </w:r>
      <w:r>
        <w:rPr>
          <w:rFonts w:eastAsia="Times New Roman" w:cs="Arial" w:ascii="Arial" w:hAnsi="Arial"/>
        </w:rPr>
        <w:t xml:space="preserve">Pencapaian kinerja tersebut tidak lepas dari motivasi kerja bidan desa. Tujuan Penelitian adalah untuk mengetahui </w:t>
      </w:r>
      <w:r>
        <w:rPr>
          <w:rFonts w:eastAsia="Times New Roman" w:cs="Arial" w:ascii="Arial" w:hAnsi="Arial"/>
          <w:lang w:val="en-US"/>
        </w:rPr>
        <w:t>faktor</w:t>
      </w:r>
      <w:r>
        <w:rPr>
          <w:rFonts w:eastAsia="Times New Roman" w:cs="Arial" w:ascii="Arial" w:hAnsi="Arial"/>
        </w:rPr>
        <w:t xml:space="preserve"> yang berpengaruh terhadap motivasi kerja bidan desa dalam pemberian taburia terhadap penurunan angka </w:t>
      </w:r>
      <w:r>
        <w:rPr>
          <w:rFonts w:eastAsia="Times New Roman" w:cs="Arial" w:ascii="Arial" w:hAnsi="Arial"/>
          <w:i/>
        </w:rPr>
        <w:t xml:space="preserve">stunting </w:t>
      </w:r>
      <w:r>
        <w:rPr>
          <w:rFonts w:eastAsia="Times New Roman" w:cs="Arial" w:ascii="Arial" w:hAnsi="Arial"/>
        </w:rPr>
        <w:t>di Kabupaten Brebes tahun 2015.</w:t>
      </w:r>
    </w:p>
    <w:p>
      <w:pPr>
        <w:pStyle w:val="Normal"/>
        <w:tabs>
          <w:tab w:val="left" w:pos="993" w:leader="none"/>
        </w:tabs>
        <w:spacing w:lineRule="auto" w:line="240" w:before="0" w:after="0"/>
        <w:jc w:val="both"/>
        <w:rPr>
          <w:rFonts w:eastAsia="Times New Roman" w:cs="Arial" w:ascii="Arial" w:hAnsi="Arial"/>
        </w:rPr>
      </w:pPr>
      <w:r>
        <w:rPr>
          <w:rFonts w:eastAsia="Times New Roman" w:cs="Arial" w:ascii="Arial" w:hAnsi="Arial"/>
        </w:rPr>
        <w:tab/>
        <w:t xml:space="preserve">Jenis penelitian </w:t>
      </w:r>
      <w:r>
        <w:rPr>
          <w:rFonts w:eastAsia="Times New Roman" w:cs="Arial" w:ascii="Arial" w:hAnsi="Arial"/>
          <w:i/>
          <w:iCs/>
        </w:rPr>
        <w:t xml:space="preserve">observasional </w:t>
      </w:r>
      <w:r>
        <w:rPr>
          <w:rFonts w:eastAsia="Times New Roman" w:cs="Arial" w:ascii="Arial" w:hAnsi="Arial"/>
        </w:rPr>
        <w:t xml:space="preserve">dengan metode survey dan pendekatan </w:t>
      </w:r>
      <w:r>
        <w:rPr>
          <w:rFonts w:eastAsia="Times New Roman" w:cs="Arial" w:ascii="Arial" w:hAnsi="Arial"/>
          <w:i/>
          <w:iCs/>
        </w:rPr>
        <w:t xml:space="preserve">cross sectional. </w:t>
      </w:r>
      <w:r>
        <w:rPr>
          <w:rFonts w:eastAsia="Times New Roman" w:cs="Arial" w:ascii="Arial" w:hAnsi="Arial"/>
        </w:rPr>
        <w:t xml:space="preserve">Instrumen penelitian menggunakan kuesioner terstruktur yang telah diuji validitas dan reliabilitasnya. </w:t>
      </w:r>
      <w:r>
        <w:rPr>
          <w:rFonts w:eastAsia="Times New Roman" w:cs="Arial" w:ascii="Arial" w:hAnsi="Arial"/>
          <w:lang w:val="en-US"/>
        </w:rPr>
        <w:t>Analisis data m</w:t>
      </w:r>
      <w:r>
        <w:rPr>
          <w:rFonts w:eastAsia="Times New Roman" w:cs="Arial" w:ascii="Arial" w:hAnsi="Arial"/>
        </w:rPr>
        <w:t xml:space="preserve">enggunakan analisis bivariat dengan uji </w:t>
      </w:r>
      <w:r>
        <w:rPr>
          <w:rFonts w:eastAsia="Times New Roman" w:cs="Arial" w:ascii="Arial" w:hAnsi="Arial"/>
          <w:i/>
          <w:iCs/>
        </w:rPr>
        <w:t xml:space="preserve">chi square </w:t>
      </w:r>
      <w:r>
        <w:rPr>
          <w:rFonts w:eastAsia="Times New Roman" w:cs="Arial" w:ascii="Arial" w:hAnsi="Arial"/>
        </w:rPr>
        <w:t xml:space="preserve">dan analisis multivariat dengan uji </w:t>
      </w:r>
      <w:r>
        <w:rPr>
          <w:rFonts w:eastAsia="Times New Roman" w:cs="Arial" w:ascii="Arial" w:hAnsi="Arial"/>
          <w:i/>
          <w:iCs/>
        </w:rPr>
        <w:t>regresi logistik</w:t>
      </w:r>
      <w:r>
        <w:rPr>
          <w:rFonts w:eastAsia="Times New Roman" w:cs="Arial" w:ascii="Arial" w:hAnsi="Arial"/>
        </w:rPr>
        <w:t>. Jumlah sampel 82 orang responden yaitu bidan desa di wilayah Kabupaten Brebes.</w:t>
      </w:r>
    </w:p>
    <w:p>
      <w:pPr>
        <w:pStyle w:val="Normal"/>
        <w:tabs>
          <w:tab w:val="left" w:pos="993" w:leader="none"/>
        </w:tabs>
        <w:spacing w:lineRule="auto" w:line="240" w:before="0" w:after="0"/>
        <w:jc w:val="both"/>
        <w:rPr>
          <w:rFonts w:eastAsia="Times New Roman" w:cs="Arial" w:ascii="Arial" w:hAnsi="Arial"/>
        </w:rPr>
      </w:pPr>
      <w:r>
        <w:rPr>
          <w:rFonts w:eastAsia="Times New Roman" w:cs="Arial" w:ascii="Arial" w:hAnsi="Arial"/>
          <w:lang w:val="en-US"/>
        </w:rPr>
        <w:tab/>
      </w:r>
      <w:r>
        <w:rPr>
          <w:rFonts w:eastAsia="Times New Roman" w:cs="Arial" w:ascii="Arial" w:hAnsi="Arial"/>
        </w:rPr>
        <w:t xml:space="preserve">Hasil penelitian menunjukkan bidan desa memiliki </w:t>
      </w:r>
      <w:r>
        <w:rPr>
          <w:rFonts w:eastAsia="Times New Roman" w:cs="Arial" w:ascii="Arial" w:hAnsi="Arial"/>
          <w:lang w:val="en-US"/>
        </w:rPr>
        <w:t>Insentif</w:t>
      </w:r>
      <w:r>
        <w:rPr>
          <w:rFonts w:eastAsia="Times New Roman" w:cs="Arial" w:ascii="Arial" w:hAnsi="Arial"/>
        </w:rPr>
        <w:t xml:space="preserve"> yang rendah (67,1%), keamanan kerja tinggi (80,5%), hubungan sesama pekerja baik (61%), supervisi kurang bak (53,7%), pujian rendah (58,5%), </w:t>
      </w:r>
      <w:r>
        <w:rPr>
          <w:rFonts w:eastAsia="Times New Roman" w:cs="Arial" w:ascii="Arial" w:hAnsi="Arial"/>
          <w:lang w:val="en-US"/>
        </w:rPr>
        <w:t>sikap bidan yang</w:t>
      </w:r>
      <w:r>
        <w:rPr>
          <w:rFonts w:eastAsia="Times New Roman" w:cs="Arial" w:ascii="Arial" w:hAnsi="Arial"/>
        </w:rPr>
        <w:t xml:space="preserve"> tinggi (58,5%) dan motivasi kerja kurang baik (52,4%) Hasil analisis bivariat menunjukkan bahwa ada hubungan yang signifikan antara </w:t>
      </w:r>
      <w:r>
        <w:rPr>
          <w:rFonts w:eastAsia="Times New Roman" w:cs="Arial" w:ascii="Arial" w:hAnsi="Arial"/>
          <w:lang w:val="en-US"/>
        </w:rPr>
        <w:t>insentif</w:t>
      </w:r>
      <w:r>
        <w:rPr>
          <w:rFonts w:eastAsia="Times New Roman" w:cs="Arial" w:ascii="Arial" w:hAnsi="Arial"/>
        </w:rPr>
        <w:t xml:space="preserve">, keamanan kerja, hubungan sesama pekerja, supervisi, dan pujian  dengan motivasi kerja bidan desa dalam pemberian taburia terhadap penurunan angka </w:t>
      </w:r>
      <w:r>
        <w:rPr>
          <w:rFonts w:eastAsia="Times New Roman" w:cs="Arial" w:ascii="Arial" w:hAnsi="Arial"/>
          <w:i/>
        </w:rPr>
        <w:t xml:space="preserve">stunting </w:t>
      </w:r>
      <w:r>
        <w:rPr>
          <w:rFonts w:eastAsia="Times New Roman" w:cs="Arial" w:ascii="Arial" w:hAnsi="Arial"/>
        </w:rPr>
        <w:t>(p &lt; 0,05). Hasil analisis multivariat menunjukkan adanya pengaruh bersama – sama variabel pujian (</w:t>
      </w:r>
      <w:r>
        <w:rPr>
          <w:rFonts w:eastAsia="Times New Roman" w:cs="Arial" w:ascii="Arial" w:hAnsi="Arial"/>
          <w:i/>
          <w:iCs/>
        </w:rPr>
        <w:t xml:space="preserve">p-value </w:t>
      </w:r>
      <w:r>
        <w:rPr>
          <w:rFonts w:eastAsia="Times New Roman" w:cs="Arial" w:ascii="Arial" w:hAnsi="Arial"/>
        </w:rPr>
        <w:t>= 0,000 dan nilai Exp B: 9,595),</w:t>
      </w:r>
      <w:r>
        <w:rPr>
          <w:rFonts w:eastAsia="Times New Roman" w:cs="Arial" w:ascii="Arial" w:hAnsi="Arial"/>
          <w:lang w:val="en-US"/>
        </w:rPr>
        <w:t>insentif</w:t>
      </w:r>
      <w:r>
        <w:rPr>
          <w:rFonts w:eastAsia="Times New Roman" w:cs="Arial" w:ascii="Arial" w:hAnsi="Arial"/>
        </w:rPr>
        <w:t xml:space="preserve"> (</w:t>
      </w:r>
      <w:r>
        <w:rPr>
          <w:rFonts w:eastAsia="Times New Roman" w:cs="Arial" w:ascii="Arial" w:hAnsi="Arial"/>
          <w:i/>
          <w:iCs/>
        </w:rPr>
        <w:t xml:space="preserve">p-value </w:t>
      </w:r>
      <w:r>
        <w:rPr>
          <w:rFonts w:eastAsia="Times New Roman" w:cs="Arial" w:ascii="Arial" w:hAnsi="Arial"/>
        </w:rPr>
        <w:t>= 0,001 dan nilai Exp B: 9,232), dan supervisi (</w:t>
      </w:r>
      <w:r>
        <w:rPr>
          <w:rFonts w:eastAsia="Times New Roman" w:cs="Arial" w:ascii="Arial" w:hAnsi="Arial"/>
          <w:i/>
          <w:iCs/>
        </w:rPr>
        <w:t xml:space="preserve">p-value = </w:t>
      </w:r>
      <w:r>
        <w:rPr>
          <w:rFonts w:eastAsia="Times New Roman" w:cs="Arial" w:ascii="Arial" w:hAnsi="Arial"/>
        </w:rPr>
        <w:t xml:space="preserve">0,005 dan nilai Exp B: 5,850) terhadap motivasi kerja bidan desa dalam pemberian taburia terhadap penurunan angka </w:t>
      </w:r>
      <w:r>
        <w:rPr>
          <w:rFonts w:eastAsia="Times New Roman" w:cs="Arial" w:ascii="Arial" w:hAnsi="Arial"/>
          <w:i/>
        </w:rPr>
        <w:t>stunting</w:t>
      </w:r>
      <w:r>
        <w:rPr>
          <w:rFonts w:eastAsia="Times New Roman" w:cs="Arial" w:ascii="Arial" w:hAnsi="Arial"/>
        </w:rPr>
        <w:t xml:space="preserve"> di Kabupaten Brebes tahun 2015.</w:t>
      </w:r>
    </w:p>
    <w:p>
      <w:pPr>
        <w:pStyle w:val="Normal"/>
        <w:spacing w:lineRule="auto" w:line="240" w:before="0" w:after="0"/>
        <w:ind w:left="0" w:right="0" w:firstLine="720"/>
        <w:jc w:val="both"/>
        <w:rPr>
          <w:rFonts w:eastAsia="Times New Roman" w:cs="Arial" w:ascii="Arial" w:hAnsi="Arial"/>
        </w:rPr>
      </w:pPr>
      <w:r>
        <w:rPr>
          <w:rFonts w:eastAsia="Times New Roman" w:cs="Arial" w:ascii="Arial" w:hAnsi="Arial"/>
        </w:rPr>
        <w:t>Disarankan untuk</w:t>
      </w:r>
      <w:r>
        <w:rPr>
          <w:rFonts w:eastAsia="Times New Roman" w:cs="Arial" w:ascii="Arial" w:hAnsi="Arial"/>
          <w:lang w:val="en-US"/>
        </w:rPr>
        <w:t xml:space="preserve"> </w:t>
      </w:r>
      <w:r>
        <w:rPr>
          <w:rFonts w:eastAsia="Times New Roman" w:cs="Arial" w:ascii="Arial" w:hAnsi="Arial"/>
        </w:rPr>
        <w:t xml:space="preserve">Dinas Kesehatan dan Kepala Puskesmas untuk meningkatkan supervisi dengan peninjauan rutin dalam pelaksanaan pemberian taburia untuk terus berkomitmen dalam pengendalian program pencegahan </w:t>
      </w:r>
      <w:r>
        <w:rPr>
          <w:rFonts w:eastAsia="Times New Roman" w:cs="Arial" w:ascii="Arial" w:hAnsi="Arial"/>
          <w:i/>
        </w:rPr>
        <w:t>stunting</w:t>
      </w:r>
      <w:r>
        <w:rPr>
          <w:rFonts w:eastAsia="Times New Roman" w:cs="Arial" w:ascii="Arial" w:hAnsi="Arial"/>
        </w:rPr>
        <w:t xml:space="preserve"> ,memberikan penghargaan berupa pujian maupun insentif, memberikan kesempatan kepada bidan desa untuk menyampaikan perasaannya tentang pekerjaannya. </w:t>
      </w:r>
    </w:p>
    <w:p>
      <w:pPr>
        <w:pStyle w:val="Normal"/>
        <w:tabs>
          <w:tab w:val="left" w:pos="993" w:leader="none"/>
        </w:tabs>
        <w:spacing w:lineRule="auto" w:line="240" w:before="0" w:after="0"/>
        <w:jc w:val="both"/>
        <w:rPr>
          <w:rFonts w:eastAsia="Times New Roman" w:cs="Arial" w:ascii="Arial" w:hAnsi="Arial"/>
          <w:lang w:val="en-US"/>
        </w:rPr>
      </w:pPr>
      <w:r>
        <w:rPr>
          <w:rFonts w:eastAsia="Times New Roman" w:cs="Arial" w:ascii="Arial" w:hAnsi="Arial"/>
          <w:lang w:val="en-US"/>
        </w:rPr>
      </w:r>
    </w:p>
    <w:p>
      <w:pPr>
        <w:pStyle w:val="Normal"/>
        <w:tabs>
          <w:tab w:val="left" w:pos="1276" w:leader="none"/>
        </w:tabs>
        <w:spacing w:lineRule="auto" w:line="240" w:before="0" w:after="0"/>
        <w:jc w:val="both"/>
        <w:rPr>
          <w:rFonts w:eastAsia="Times New Roman" w:cs="Arial" w:ascii="Arial" w:hAnsi="Arial"/>
        </w:rPr>
      </w:pPr>
      <w:r>
        <w:rPr>
          <w:rFonts w:eastAsia="Times New Roman" w:cs="Arial" w:ascii="Arial" w:hAnsi="Arial"/>
          <w:lang w:val="en-US"/>
        </w:rPr>
        <w:t>Kata kunci</w:t>
        <w:tab/>
        <w:t xml:space="preserve">  : </w:t>
      </w:r>
      <w:r>
        <w:rPr>
          <w:rFonts w:eastAsia="Times New Roman" w:cs="Arial" w:ascii="Arial" w:hAnsi="Arial"/>
        </w:rPr>
        <w:t xml:space="preserve">Motivasi Kerja, Taburia, </w:t>
      </w:r>
      <w:r>
        <w:rPr>
          <w:rFonts w:eastAsia="Times New Roman" w:cs="Arial" w:ascii="Arial" w:hAnsi="Arial"/>
          <w:i/>
        </w:rPr>
        <w:t>Stunting</w:t>
      </w:r>
      <w:r>
        <w:rPr>
          <w:rFonts w:eastAsia="Times New Roman" w:cs="Arial" w:ascii="Arial" w:hAnsi="Arial"/>
        </w:rPr>
        <w:t>.</w:t>
      </w:r>
    </w:p>
    <w:p>
      <w:pPr>
        <w:pStyle w:val="Normal"/>
        <w:tabs>
          <w:tab w:val="left" w:pos="1276" w:leader="none"/>
        </w:tabs>
        <w:spacing w:lineRule="auto" w:line="240" w:before="0" w:after="0"/>
        <w:jc w:val="both"/>
        <w:rPr>
          <w:rFonts w:eastAsia="Times New Roman" w:cs="Arial" w:ascii="Arial" w:hAnsi="Arial"/>
          <w:lang w:val="en-US"/>
        </w:rPr>
      </w:pPr>
      <w:r>
        <w:rPr>
          <w:rFonts w:eastAsia="Times New Roman" w:cs="Arial" w:ascii="Arial" w:hAnsi="Arial"/>
          <w:lang w:val="en-US"/>
        </w:rPr>
        <w:t>Kepustakaan</w:t>
        <w:tab/>
      </w:r>
      <w:r>
        <w:rPr>
          <w:rFonts w:eastAsia="Times New Roman" w:cs="Arial" w:ascii="Arial" w:hAnsi="Arial"/>
          <w:color w:val="FF0000"/>
          <w:lang w:val="en-US"/>
        </w:rPr>
        <w:t xml:space="preserve">: </w:t>
      </w:r>
      <w:r>
        <w:rPr>
          <w:rFonts w:eastAsia="Times New Roman" w:cs="Arial" w:ascii="Arial" w:hAnsi="Arial"/>
          <w:lang w:val="en-US"/>
        </w:rPr>
        <w:t>65 (199</w:t>
      </w:r>
      <w:r>
        <w:rPr>
          <w:rFonts w:eastAsia="Times New Roman" w:cs="Arial" w:ascii="Arial" w:hAnsi="Arial"/>
        </w:rPr>
        <w:t>6</w:t>
      </w:r>
      <w:r>
        <w:rPr>
          <w:rFonts w:eastAsia="Times New Roman" w:cs="Arial" w:ascii="Arial" w:hAnsi="Arial"/>
          <w:lang w:val="en-US"/>
        </w:rPr>
        <w:t>-2015)</w:t>
      </w:r>
    </w:p>
    <w:p>
      <w:pPr>
        <w:pStyle w:val="Normal"/>
        <w:tabs>
          <w:tab w:val="left" w:pos="1276" w:leader="none"/>
        </w:tabs>
        <w:spacing w:lineRule="auto" w:line="240" w:before="0" w:after="0"/>
        <w:jc w:val="both"/>
        <w:rPr>
          <w:rFonts w:eastAsia="Times New Roman" w:cs="Arial" w:ascii="Arial" w:hAnsi="Arial"/>
          <w:lang w:val="en-US"/>
        </w:rPr>
      </w:pPr>
      <w:r>
        <w:rPr>
          <w:rFonts w:eastAsia="Times New Roman" w:cs="Arial" w:ascii="Arial" w:hAnsi="Arial"/>
          <w:lang w:val="en-US"/>
        </w:rPr>
      </w:r>
    </w:p>
    <w:p>
      <w:pPr>
        <w:pStyle w:val="Normal"/>
        <w:tabs>
          <w:tab w:val="left" w:pos="1276" w:leader="none"/>
        </w:tabs>
        <w:spacing w:lineRule="auto" w:line="240" w:before="0" w:after="0"/>
        <w:jc w:val="both"/>
        <w:rPr>
          <w:rFonts w:eastAsia="Times New Roman" w:cs="Arial" w:ascii="Arial" w:hAnsi="Arial"/>
          <w:lang w:val="en-US"/>
        </w:rPr>
      </w:pPr>
      <w:r>
        <w:rPr>
          <w:rFonts w:eastAsia="Times New Roman" w:cs="Arial" w:ascii="Arial" w:hAnsi="Arial"/>
          <w:lang w:val="en-US"/>
        </w:rPr>
      </w:r>
    </w:p>
    <w:p>
      <w:pPr>
        <w:pStyle w:val="Normal"/>
        <w:tabs>
          <w:tab w:val="left" w:pos="1276" w:leader="none"/>
        </w:tabs>
        <w:spacing w:lineRule="auto" w:line="240" w:before="0" w:after="0"/>
        <w:jc w:val="both"/>
        <w:rPr>
          <w:rFonts w:eastAsia="Times New Roman" w:cs="Arial" w:ascii="Arial" w:hAnsi="Arial"/>
          <w:lang w:val="en-US"/>
        </w:rPr>
      </w:pPr>
      <w:r>
        <w:rPr>
          <w:rFonts w:eastAsia="Times New Roman" w:cs="Arial" w:ascii="Arial" w:hAnsi="Arial"/>
          <w:lang w:val="en-US"/>
        </w:rPr>
      </w:r>
    </w:p>
    <w:p>
      <w:pPr>
        <w:pStyle w:val="Normal"/>
        <w:tabs>
          <w:tab w:val="left" w:pos="1276" w:leader="none"/>
        </w:tabs>
        <w:spacing w:lineRule="auto" w:line="240" w:before="0" w:after="0"/>
        <w:jc w:val="both"/>
        <w:rPr>
          <w:rFonts w:eastAsia="Times New Roman" w:cs="Arial" w:ascii="Arial" w:hAnsi="Arial"/>
          <w:lang w:val="en-US"/>
        </w:rPr>
      </w:pPr>
      <w:r>
        <w:rPr>
          <w:rFonts w:eastAsia="Times New Roman" w:cs="Arial" w:ascii="Arial" w:hAnsi="Arial"/>
          <w:lang w:val="en-US"/>
        </w:rPr>
      </w:r>
    </w:p>
    <w:p>
      <w:pPr>
        <w:pStyle w:val="Normal"/>
        <w:tabs>
          <w:tab w:val="left" w:pos="1276" w:leader="none"/>
        </w:tabs>
        <w:spacing w:lineRule="auto" w:line="240" w:before="0" w:after="0"/>
        <w:jc w:val="both"/>
        <w:rPr>
          <w:rFonts w:eastAsia="Times New Roman" w:cs="Arial" w:ascii="Arial" w:hAnsi="Arial"/>
          <w:lang w:val="en-US"/>
        </w:rPr>
      </w:pPr>
      <w:r>
        <w:rPr>
          <w:rFonts w:eastAsia="Times New Roman" w:cs="Arial" w:ascii="Arial" w:hAnsi="Arial"/>
          <w:lang w:val="en-US"/>
        </w:rPr>
      </w:r>
    </w:p>
    <w:p>
      <w:pPr>
        <w:pStyle w:val="Normal"/>
        <w:spacing w:lineRule="auto" w:line="240" w:before="0" w:after="0"/>
        <w:jc w:val="right"/>
        <w:rPr>
          <w:rFonts w:cs="Arial" w:ascii="Arial" w:hAnsi="Arial"/>
          <w:b/>
          <w:bCs/>
        </w:rPr>
      </w:pPr>
      <w:r>
        <w:rPr>
          <w:rFonts w:cs="Arial" w:ascii="Arial" w:hAnsi="Arial"/>
          <w:b/>
          <w:bCs/>
        </w:rPr>
        <w:t>Diponegoro University</w:t>
      </w:r>
    </w:p>
    <w:p>
      <w:pPr>
        <w:pStyle w:val="Normal"/>
        <w:spacing w:lineRule="auto" w:line="240" w:before="0" w:after="0"/>
        <w:jc w:val="right"/>
        <w:rPr>
          <w:rFonts w:cs="Arial" w:ascii="Arial" w:hAnsi="Arial"/>
          <w:b/>
          <w:bCs/>
        </w:rPr>
      </w:pPr>
      <w:r>
        <w:rPr>
          <w:rFonts w:cs="Arial" w:ascii="Arial" w:hAnsi="Arial"/>
          <w:b/>
          <w:bCs/>
        </w:rPr>
        <w:t>Faculty of Public Health</w:t>
      </w:r>
    </w:p>
    <w:p>
      <w:pPr>
        <w:pStyle w:val="Normal"/>
        <w:spacing w:lineRule="auto" w:line="240" w:before="0" w:after="0"/>
        <w:jc w:val="right"/>
        <w:rPr>
          <w:rFonts w:cs="Arial" w:ascii="Arial" w:hAnsi="Arial"/>
          <w:b/>
          <w:bCs/>
        </w:rPr>
      </w:pPr>
      <w:r>
        <w:rPr>
          <w:rFonts w:cs="Arial" w:ascii="Arial" w:hAnsi="Arial"/>
          <w:b/>
          <w:bCs/>
        </w:rPr>
        <w:t>Master’s Study Program in Public Health</w:t>
      </w:r>
    </w:p>
    <w:p>
      <w:pPr>
        <w:pStyle w:val="Normal"/>
        <w:spacing w:lineRule="auto" w:line="240" w:before="0" w:after="0"/>
        <w:jc w:val="right"/>
        <w:rPr>
          <w:rFonts w:cs="Arial" w:ascii="Arial" w:hAnsi="Arial"/>
          <w:b/>
          <w:bCs/>
        </w:rPr>
      </w:pPr>
      <w:r>
        <w:rPr>
          <w:rFonts w:cs="Arial" w:ascii="Arial" w:hAnsi="Arial"/>
          <w:b/>
          <w:bCs/>
        </w:rPr>
        <w:t xml:space="preserve">Majoring in Maternal and Child Health </w:t>
      </w:r>
    </w:p>
    <w:p>
      <w:pPr>
        <w:pStyle w:val="Normal"/>
        <w:spacing w:lineRule="auto" w:line="240" w:before="0" w:after="0"/>
        <w:ind w:left="0" w:right="0" w:hanging="1440"/>
        <w:jc w:val="right"/>
        <w:rPr>
          <w:rFonts w:cs="Arial" w:ascii="Arial" w:hAnsi="Arial"/>
          <w:b/>
          <w:bCs/>
        </w:rPr>
      </w:pPr>
      <w:r>
        <w:rPr>
          <w:rFonts w:cs="Arial" w:ascii="Arial" w:hAnsi="Arial"/>
          <w:b/>
          <w:bCs/>
        </w:rPr>
        <w:t>2015</w:t>
      </w:r>
    </w:p>
    <w:p>
      <w:pPr>
        <w:pStyle w:val="Normal"/>
        <w:spacing w:lineRule="auto" w:line="240" w:before="0" w:after="0"/>
        <w:ind w:left="0" w:right="0" w:hanging="1440"/>
        <w:jc w:val="right"/>
        <w:rPr>
          <w:rFonts w:cs="Arial" w:ascii="Arial" w:hAnsi="Arial"/>
        </w:rPr>
      </w:pPr>
      <w:r>
        <w:rPr>
          <w:rFonts w:cs="Arial" w:ascii="Arial" w:hAnsi="Arial"/>
        </w:rPr>
      </w:r>
    </w:p>
    <w:p>
      <w:pPr>
        <w:pStyle w:val="Normal"/>
        <w:spacing w:lineRule="auto" w:line="240" w:before="0" w:after="0"/>
        <w:jc w:val="center"/>
        <w:rPr>
          <w:rFonts w:cs="Arial" w:ascii="Arial" w:hAnsi="Arial"/>
          <w:b/>
          <w:bCs/>
        </w:rPr>
      </w:pPr>
      <w:r>
        <w:rPr>
          <w:rFonts w:cs="Arial" w:ascii="Arial" w:hAnsi="Arial"/>
          <w:b/>
          <w:bCs/>
        </w:rPr>
        <w:t>ABSTRACT</w:t>
      </w:r>
    </w:p>
    <w:p>
      <w:pPr>
        <w:pStyle w:val="Normal"/>
        <w:spacing w:lineRule="auto" w:line="240" w:before="0" w:after="0"/>
        <w:jc w:val="center"/>
        <w:rPr>
          <w:rFonts w:cs="Arial" w:ascii="Arial" w:hAnsi="Arial"/>
          <w:b/>
          <w:bCs/>
          <w:lang w:val="en-AU"/>
        </w:rPr>
      </w:pPr>
      <w:r>
        <w:rPr>
          <w:rFonts w:cs="Arial" w:ascii="Arial" w:hAnsi="Arial"/>
          <w:b/>
          <w:bCs/>
          <w:lang w:val="en-AU"/>
        </w:rPr>
      </w:r>
    </w:p>
    <w:p>
      <w:pPr>
        <w:pStyle w:val="ListParagraph"/>
        <w:spacing w:lineRule="auto" w:line="240" w:before="0" w:after="0"/>
        <w:ind w:left="0" w:right="0" w:hanging="0"/>
        <w:contextualSpacing/>
        <w:rPr>
          <w:rFonts w:eastAsia="Times New Roman" w:cs="Arial" w:ascii="Arial" w:hAnsi="Arial"/>
          <w:b/>
          <w:bCs/>
        </w:rPr>
      </w:pPr>
      <w:r>
        <w:rPr>
          <w:rFonts w:eastAsia="Times New Roman" w:cs="Arial" w:ascii="Arial" w:hAnsi="Arial"/>
          <w:b/>
          <w:bCs/>
        </w:rPr>
        <w:t>Laelatul Mubasyiroh</w:t>
      </w:r>
    </w:p>
    <w:p>
      <w:pPr>
        <w:pStyle w:val="Normal"/>
        <w:spacing w:lineRule="auto" w:line="240" w:before="0" w:after="0"/>
        <w:jc w:val="both"/>
        <w:rPr>
          <w:rFonts w:cs="Arial" w:ascii="Arial" w:hAnsi="Arial"/>
          <w:b/>
          <w:bCs/>
          <w:lang w:val="en-AU" w:eastAsia="en-AU"/>
        </w:rPr>
      </w:pPr>
      <w:r>
        <w:rPr>
          <w:rFonts w:cs="Arial" w:ascii="Arial" w:hAnsi="Arial"/>
          <w:b/>
          <w:bCs/>
          <w:lang w:val="en-AU" w:eastAsia="en-AU"/>
        </w:rPr>
        <w:t xml:space="preserve">Factors Influencing Work Motivation of Village Midwives in Providing Sprinkle towards the Decrease of a Stunting Rate in District of Brebes   </w:t>
      </w:r>
    </w:p>
    <w:p>
      <w:pPr>
        <w:pStyle w:val="Normal"/>
        <w:spacing w:lineRule="auto" w:line="240" w:before="0" w:after="0"/>
        <w:jc w:val="both"/>
        <w:rPr>
          <w:rFonts w:cs="Arial" w:ascii="Arial" w:hAnsi="Arial"/>
          <w:b/>
          <w:bCs/>
          <w:lang w:val="en-AU"/>
        </w:rPr>
      </w:pPr>
      <w:r>
        <w:rPr>
          <w:rFonts w:cs="Arial" w:ascii="Arial" w:hAnsi="Arial"/>
          <w:b/>
          <w:bCs/>
          <w:lang w:val="en-AU"/>
        </w:rPr>
        <w:t>xvii + 178 pages + 28 tables + 2 figures + 7 appendices</w:t>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ind w:left="0" w:right="0" w:firstLine="567"/>
        <w:jc w:val="both"/>
        <w:rPr>
          <w:rFonts w:cs="Arial" w:ascii="Arial" w:hAnsi="Arial"/>
          <w:lang w:val="en-AU"/>
        </w:rPr>
      </w:pPr>
      <w:r>
        <w:rPr>
          <w:rFonts w:cs="Arial" w:ascii="Arial" w:hAnsi="Arial"/>
          <w:lang w:val="en-AU"/>
        </w:rPr>
        <w:t>Stunting is a condition when a child’s body is shorter than his/her peer group. One of the Ministry of Health’s efforts to decrease a stunting rate was by providing sprinkle. A prevalence rate of stunting among children under five years old based on nutritional status monitoring in District of Brebes in 2013 was 17.14% whereas based on Basic Health Research, it was equal to 37.2%. The performance achievement was related to work motivation of village midwives. The aim of this study was to identify factors influencing work motivation of village midwives in providing sprinkle towards the decrease of a stunting rate in District of Brebes.</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This was an observational study using a survey method and a </w:t>
      </w:r>
      <w:bookmarkStart w:id="0" w:name="_GoBack"/>
      <w:bookmarkEnd w:id="0"/>
      <w:r>
        <w:rPr>
          <w:rFonts w:cs="Arial" w:ascii="Arial" w:hAnsi="Arial"/>
          <w:lang w:val="en-AU"/>
        </w:rPr>
        <w:t xml:space="preserve">cross-sectional approach. Research instruments used a structured questionnaire that had been tested for validity and reliability. Data were analysed using bivariate analysis (Chi-Square test) and multivariate analysis (Logistic Regression test). Number of samples were 82 village midwives working in District of Brebes. </w:t>
      </w:r>
    </w:p>
    <w:p>
      <w:pPr>
        <w:pStyle w:val="Normal"/>
        <w:spacing w:lineRule="auto" w:line="240" w:before="0" w:after="0"/>
        <w:ind w:left="0" w:right="0" w:firstLine="567"/>
        <w:jc w:val="both"/>
        <w:rPr>
          <w:rFonts w:eastAsia="Times New Roman" w:cs="Arial" w:ascii="Arial" w:hAnsi="Arial"/>
        </w:rPr>
      </w:pPr>
      <w:r>
        <w:rPr>
          <w:rFonts w:eastAsia="Times New Roman" w:cs="Arial" w:ascii="Arial" w:hAnsi="Arial"/>
          <w:lang w:val="en-AU"/>
        </w:rPr>
        <w:t xml:space="preserve">The results of this research showed that the majority of the respondents had low incentive </w:t>
      </w:r>
      <w:r>
        <w:rPr>
          <w:rFonts w:eastAsia="Times New Roman" w:cs="Arial" w:ascii="Arial" w:hAnsi="Arial"/>
        </w:rPr>
        <w:t>(67</w:t>
      </w:r>
      <w:r>
        <w:rPr>
          <w:rFonts w:eastAsia="Times New Roman" w:cs="Arial" w:ascii="Arial" w:hAnsi="Arial"/>
          <w:lang w:val="en-AU"/>
        </w:rPr>
        <w:t>.</w:t>
      </w:r>
      <w:r>
        <w:rPr>
          <w:rFonts w:eastAsia="Times New Roman" w:cs="Arial" w:ascii="Arial" w:hAnsi="Arial"/>
        </w:rPr>
        <w:t xml:space="preserve">1%), </w:t>
      </w:r>
      <w:r>
        <w:rPr>
          <w:rFonts w:eastAsia="Times New Roman" w:cs="Arial" w:ascii="Arial" w:hAnsi="Arial"/>
          <w:lang w:val="en-AU"/>
        </w:rPr>
        <w:t xml:space="preserve">high job security </w:t>
      </w:r>
      <w:r>
        <w:rPr>
          <w:rFonts w:eastAsia="Times New Roman" w:cs="Arial" w:ascii="Arial" w:hAnsi="Arial"/>
        </w:rPr>
        <w:t>(80</w:t>
      </w:r>
      <w:r>
        <w:rPr>
          <w:rFonts w:eastAsia="Times New Roman" w:cs="Arial" w:ascii="Arial" w:hAnsi="Arial"/>
          <w:lang w:val="en-AU"/>
        </w:rPr>
        <w:t>.</w:t>
      </w:r>
      <w:r>
        <w:rPr>
          <w:rFonts w:eastAsia="Times New Roman" w:cs="Arial" w:ascii="Arial" w:hAnsi="Arial"/>
        </w:rPr>
        <w:t xml:space="preserve">5%), </w:t>
      </w:r>
      <w:r>
        <w:rPr>
          <w:rFonts w:eastAsia="Times New Roman" w:cs="Arial" w:ascii="Arial" w:hAnsi="Arial"/>
          <w:lang w:val="en-AU"/>
        </w:rPr>
        <w:t xml:space="preserve">good relationship with fellow employees </w:t>
      </w:r>
      <w:r>
        <w:rPr>
          <w:rFonts w:eastAsia="Times New Roman" w:cs="Arial" w:ascii="Arial" w:hAnsi="Arial"/>
        </w:rPr>
        <w:t xml:space="preserve">(61%), </w:t>
      </w:r>
      <w:r>
        <w:rPr>
          <w:rFonts w:eastAsia="Times New Roman" w:cs="Arial" w:ascii="Arial" w:hAnsi="Arial"/>
          <w:lang w:val="en-AU"/>
        </w:rPr>
        <w:t xml:space="preserve">bad supervision </w:t>
      </w:r>
      <w:r>
        <w:rPr>
          <w:rFonts w:eastAsia="Times New Roman" w:cs="Arial" w:ascii="Arial" w:hAnsi="Arial"/>
        </w:rPr>
        <w:t>(53</w:t>
      </w:r>
      <w:r>
        <w:rPr>
          <w:rFonts w:eastAsia="Times New Roman" w:cs="Arial" w:ascii="Arial" w:hAnsi="Arial"/>
          <w:lang w:val="en-AU"/>
        </w:rPr>
        <w:t>.</w:t>
      </w:r>
      <w:r>
        <w:rPr>
          <w:rFonts w:eastAsia="Times New Roman" w:cs="Arial" w:ascii="Arial" w:hAnsi="Arial"/>
        </w:rPr>
        <w:t xml:space="preserve">7%), </w:t>
      </w:r>
      <w:r>
        <w:rPr>
          <w:rFonts w:eastAsia="Times New Roman" w:cs="Arial" w:ascii="Arial" w:hAnsi="Arial"/>
          <w:lang w:val="en-AU"/>
        </w:rPr>
        <w:t xml:space="preserve">low compliment </w:t>
      </w:r>
      <w:r>
        <w:rPr>
          <w:rFonts w:eastAsia="Times New Roman" w:cs="Arial" w:ascii="Arial" w:hAnsi="Arial"/>
        </w:rPr>
        <w:t>(58</w:t>
      </w:r>
      <w:r>
        <w:rPr>
          <w:rFonts w:eastAsia="Times New Roman" w:cs="Arial" w:ascii="Arial" w:hAnsi="Arial"/>
          <w:lang w:val="en-AU"/>
        </w:rPr>
        <w:t>.</w:t>
      </w:r>
      <w:r>
        <w:rPr>
          <w:rFonts w:eastAsia="Times New Roman" w:cs="Arial" w:ascii="Arial" w:hAnsi="Arial"/>
        </w:rPr>
        <w:t xml:space="preserve">5%), </w:t>
      </w:r>
      <w:r>
        <w:rPr>
          <w:rFonts w:eastAsia="Times New Roman" w:cs="Arial" w:ascii="Arial" w:hAnsi="Arial"/>
          <w:lang w:val="en-AU"/>
        </w:rPr>
        <w:t xml:space="preserve">good attitude </w:t>
      </w:r>
      <w:r>
        <w:rPr>
          <w:rFonts w:eastAsia="Times New Roman" w:cs="Arial" w:ascii="Arial" w:hAnsi="Arial"/>
        </w:rPr>
        <w:t>(58</w:t>
      </w:r>
      <w:r>
        <w:rPr>
          <w:rFonts w:eastAsia="Times New Roman" w:cs="Arial" w:ascii="Arial" w:hAnsi="Arial"/>
          <w:lang w:val="en-AU"/>
        </w:rPr>
        <w:t>.</w:t>
      </w:r>
      <w:r>
        <w:rPr>
          <w:rFonts w:eastAsia="Times New Roman" w:cs="Arial" w:ascii="Arial" w:hAnsi="Arial"/>
        </w:rPr>
        <w:t>5%)</w:t>
      </w:r>
      <w:r>
        <w:rPr>
          <w:rFonts w:eastAsia="Times New Roman" w:cs="Arial" w:ascii="Arial" w:hAnsi="Arial"/>
          <w:lang w:val="en-AU"/>
        </w:rPr>
        <w:t>, and low work motivation</w:t>
      </w:r>
      <w:r>
        <w:rPr>
          <w:rFonts w:eastAsia="Times New Roman" w:cs="Arial" w:ascii="Arial" w:hAnsi="Arial"/>
        </w:rPr>
        <w:t xml:space="preserve"> (52</w:t>
      </w:r>
      <w:r>
        <w:rPr>
          <w:rFonts w:eastAsia="Times New Roman" w:cs="Arial" w:ascii="Arial" w:hAnsi="Arial"/>
          <w:lang w:val="en-AU"/>
        </w:rPr>
        <w:t>.</w:t>
      </w:r>
      <w:r>
        <w:rPr>
          <w:rFonts w:eastAsia="Times New Roman" w:cs="Arial" w:ascii="Arial" w:hAnsi="Arial"/>
        </w:rPr>
        <w:t>4%)</w:t>
      </w:r>
      <w:r>
        <w:rPr>
          <w:rFonts w:eastAsia="Times New Roman" w:cs="Arial" w:ascii="Arial" w:hAnsi="Arial"/>
          <w:lang w:val="en-AU"/>
        </w:rPr>
        <w:t>. The factors of incentive, job security, relationship with fellow employees, supervision, and compliment had statistically significant relationship with work motivation of village midwives in providing sprinkle towards the decrease of a stunting rate</w:t>
      </w:r>
      <w:r>
        <w:rPr>
          <w:rFonts w:eastAsia="Times New Roman" w:cs="Arial" w:ascii="Arial" w:hAnsi="Arial"/>
          <w:i/>
        </w:rPr>
        <w:t xml:space="preserve"> </w:t>
      </w:r>
      <w:r>
        <w:rPr>
          <w:rFonts w:eastAsia="Times New Roman" w:cs="Arial" w:ascii="Arial" w:hAnsi="Arial"/>
        </w:rPr>
        <w:t>(p&lt;0</w:t>
      </w:r>
      <w:r>
        <w:rPr>
          <w:rFonts w:eastAsia="Times New Roman" w:cs="Arial" w:ascii="Arial" w:hAnsi="Arial"/>
          <w:lang w:val="en-AU"/>
        </w:rPr>
        <w:t>.</w:t>
      </w:r>
      <w:r>
        <w:rPr>
          <w:rFonts w:eastAsia="Times New Roman" w:cs="Arial" w:ascii="Arial" w:hAnsi="Arial"/>
        </w:rPr>
        <w:t xml:space="preserve">05). </w:t>
      </w:r>
      <w:r>
        <w:rPr>
          <w:rFonts w:eastAsia="Times New Roman" w:cs="Arial" w:ascii="Arial" w:hAnsi="Arial"/>
          <w:lang w:val="en-AU"/>
        </w:rPr>
        <w:t xml:space="preserve">Furthermore, the results of multivariate analysis demonstrated that the factors of compliment </w:t>
      </w:r>
      <w:r>
        <w:rPr>
          <w:rFonts w:eastAsia="Times New Roman" w:cs="Arial" w:ascii="Arial" w:hAnsi="Arial"/>
        </w:rPr>
        <w:t>(</w:t>
      </w:r>
      <w:r>
        <w:rPr>
          <w:rFonts w:eastAsia="Times New Roman" w:cs="Arial" w:ascii="Arial" w:hAnsi="Arial"/>
          <w:i/>
          <w:iCs/>
        </w:rPr>
        <w:t>p-value=</w:t>
      </w:r>
      <w:r>
        <w:rPr>
          <w:rFonts w:eastAsia="Times New Roman" w:cs="Arial" w:ascii="Arial" w:hAnsi="Arial"/>
        </w:rPr>
        <w:t>0</w:t>
      </w:r>
      <w:r>
        <w:rPr>
          <w:rFonts w:eastAsia="Times New Roman" w:cs="Arial" w:ascii="Arial" w:hAnsi="Arial"/>
          <w:lang w:val="en-AU"/>
        </w:rPr>
        <w:t>.</w:t>
      </w:r>
      <w:r>
        <w:rPr>
          <w:rFonts w:eastAsia="Times New Roman" w:cs="Arial" w:ascii="Arial" w:hAnsi="Arial"/>
        </w:rPr>
        <w:t>000</w:t>
      </w:r>
      <w:r>
        <w:rPr>
          <w:rFonts w:eastAsia="Times New Roman" w:cs="Arial" w:ascii="Arial" w:hAnsi="Arial"/>
          <w:lang w:val="en-AU"/>
        </w:rPr>
        <w:t>;</w:t>
      </w:r>
      <w:r>
        <w:rPr>
          <w:rFonts w:eastAsia="Times New Roman" w:cs="Arial" w:ascii="Arial" w:hAnsi="Arial"/>
        </w:rPr>
        <w:t xml:space="preserve"> Exp(B</w:t>
      </w:r>
      <w:r>
        <w:rPr>
          <w:rFonts w:eastAsia="Times New Roman" w:cs="Arial" w:ascii="Arial" w:hAnsi="Arial"/>
          <w:lang w:val="en-AU"/>
        </w:rPr>
        <w:t>)</w:t>
      </w:r>
      <w:r>
        <w:rPr>
          <w:rFonts w:eastAsia="Times New Roman" w:cs="Arial" w:ascii="Arial" w:hAnsi="Arial"/>
        </w:rPr>
        <w:t>=9</w:t>
      </w:r>
      <w:r>
        <w:rPr>
          <w:rFonts w:eastAsia="Times New Roman" w:cs="Arial" w:ascii="Arial" w:hAnsi="Arial"/>
          <w:lang w:val="en-AU"/>
        </w:rPr>
        <w:t>.</w:t>
      </w:r>
      <w:r>
        <w:rPr>
          <w:rFonts w:eastAsia="Times New Roman" w:cs="Arial" w:ascii="Arial" w:hAnsi="Arial"/>
        </w:rPr>
        <w:t>595),</w:t>
      </w:r>
      <w:r>
        <w:rPr>
          <w:rFonts w:eastAsia="Times New Roman" w:cs="Arial" w:ascii="Arial" w:hAnsi="Arial"/>
          <w:lang w:val="en-AU"/>
        </w:rPr>
        <w:t xml:space="preserve"> incentive </w:t>
      </w:r>
      <w:r>
        <w:rPr>
          <w:rFonts w:eastAsia="Times New Roman" w:cs="Arial" w:ascii="Arial" w:hAnsi="Arial"/>
        </w:rPr>
        <w:t>(</w:t>
      </w:r>
      <w:r>
        <w:rPr>
          <w:rFonts w:eastAsia="Times New Roman" w:cs="Arial" w:ascii="Arial" w:hAnsi="Arial"/>
          <w:i/>
          <w:iCs/>
        </w:rPr>
        <w:t>p-value</w:t>
      </w:r>
      <w:r>
        <w:rPr>
          <w:rFonts w:eastAsia="Times New Roman" w:cs="Arial" w:ascii="Arial" w:hAnsi="Arial"/>
        </w:rPr>
        <w:t>=0</w:t>
      </w:r>
      <w:r>
        <w:rPr>
          <w:rFonts w:eastAsia="Times New Roman" w:cs="Arial" w:ascii="Arial" w:hAnsi="Arial"/>
          <w:lang w:val="en-AU"/>
        </w:rPr>
        <w:t>.</w:t>
      </w:r>
      <w:r>
        <w:rPr>
          <w:rFonts w:eastAsia="Times New Roman" w:cs="Arial" w:ascii="Arial" w:hAnsi="Arial"/>
        </w:rPr>
        <w:t>001</w:t>
      </w:r>
      <w:r>
        <w:rPr>
          <w:rFonts w:eastAsia="Times New Roman" w:cs="Arial" w:ascii="Arial" w:hAnsi="Arial"/>
          <w:lang w:val="en-AU"/>
        </w:rPr>
        <w:t>;</w:t>
      </w:r>
      <w:r>
        <w:rPr>
          <w:rFonts w:eastAsia="Times New Roman" w:cs="Arial" w:ascii="Arial" w:hAnsi="Arial"/>
        </w:rPr>
        <w:t xml:space="preserve"> Exp(B</w:t>
      </w:r>
      <w:r>
        <w:rPr>
          <w:rFonts w:eastAsia="Times New Roman" w:cs="Arial" w:ascii="Arial" w:hAnsi="Arial"/>
          <w:lang w:val="en-AU"/>
        </w:rPr>
        <w:t>)</w:t>
      </w:r>
      <w:r>
        <w:rPr>
          <w:rFonts w:eastAsia="Times New Roman" w:cs="Arial" w:ascii="Arial" w:hAnsi="Arial"/>
        </w:rPr>
        <w:t>=9</w:t>
      </w:r>
      <w:r>
        <w:rPr>
          <w:rFonts w:eastAsia="Times New Roman" w:cs="Arial" w:ascii="Arial" w:hAnsi="Arial"/>
          <w:lang w:val="en-AU"/>
        </w:rPr>
        <w:t>.</w:t>
      </w:r>
      <w:r>
        <w:rPr>
          <w:rFonts w:eastAsia="Times New Roman" w:cs="Arial" w:ascii="Arial" w:hAnsi="Arial"/>
        </w:rPr>
        <w:t xml:space="preserve">232), </w:t>
      </w:r>
      <w:r>
        <w:rPr>
          <w:rFonts w:eastAsia="Times New Roman" w:cs="Arial" w:ascii="Arial" w:hAnsi="Arial"/>
          <w:lang w:val="en-AU"/>
        </w:rPr>
        <w:t xml:space="preserve">and supervision </w:t>
      </w:r>
      <w:r>
        <w:rPr>
          <w:rFonts w:eastAsia="Times New Roman" w:cs="Arial" w:ascii="Arial" w:hAnsi="Arial"/>
        </w:rPr>
        <w:t>(</w:t>
      </w:r>
      <w:r>
        <w:rPr>
          <w:rFonts w:eastAsia="Times New Roman" w:cs="Arial" w:ascii="Arial" w:hAnsi="Arial"/>
          <w:i/>
          <w:iCs/>
        </w:rPr>
        <w:t>p-value=</w:t>
      </w:r>
      <w:r>
        <w:rPr>
          <w:rFonts w:eastAsia="Times New Roman" w:cs="Arial" w:ascii="Arial" w:hAnsi="Arial"/>
        </w:rPr>
        <w:t>0</w:t>
      </w:r>
      <w:r>
        <w:rPr>
          <w:rFonts w:eastAsia="Times New Roman" w:cs="Arial" w:ascii="Arial" w:hAnsi="Arial"/>
          <w:lang w:val="en-AU"/>
        </w:rPr>
        <w:t>.</w:t>
      </w:r>
      <w:r>
        <w:rPr>
          <w:rFonts w:eastAsia="Times New Roman" w:cs="Arial" w:ascii="Arial" w:hAnsi="Arial"/>
        </w:rPr>
        <w:t>005</w:t>
      </w:r>
      <w:r>
        <w:rPr>
          <w:rFonts w:eastAsia="Times New Roman" w:cs="Arial" w:ascii="Arial" w:hAnsi="Arial"/>
          <w:lang w:val="en-AU"/>
        </w:rPr>
        <w:t>;</w:t>
      </w:r>
      <w:r>
        <w:rPr>
          <w:rFonts w:eastAsia="Times New Roman" w:cs="Arial" w:ascii="Arial" w:hAnsi="Arial"/>
        </w:rPr>
        <w:t xml:space="preserve"> Exp(B</w:t>
      </w:r>
      <w:r>
        <w:rPr>
          <w:rFonts w:eastAsia="Times New Roman" w:cs="Arial" w:ascii="Arial" w:hAnsi="Arial"/>
          <w:lang w:val="en-AU"/>
        </w:rPr>
        <w:t>)=</w:t>
      </w:r>
      <w:r>
        <w:rPr>
          <w:rFonts w:eastAsia="Times New Roman" w:cs="Arial" w:ascii="Arial" w:hAnsi="Arial"/>
        </w:rPr>
        <w:t>5</w:t>
      </w:r>
      <w:r>
        <w:rPr>
          <w:rFonts w:eastAsia="Times New Roman" w:cs="Arial" w:ascii="Arial" w:hAnsi="Arial"/>
          <w:lang w:val="en-AU"/>
        </w:rPr>
        <w:t>.</w:t>
      </w:r>
      <w:r>
        <w:rPr>
          <w:rFonts w:eastAsia="Times New Roman" w:cs="Arial" w:ascii="Arial" w:hAnsi="Arial"/>
        </w:rPr>
        <w:t xml:space="preserve">850) </w:t>
      </w:r>
      <w:r>
        <w:rPr>
          <w:rFonts w:eastAsia="Times New Roman" w:cs="Arial" w:ascii="Arial" w:hAnsi="Arial"/>
          <w:lang w:val="en-AU"/>
        </w:rPr>
        <w:t>jointly influenced work motivation of village midwives in providing sprinkle towards the decrease of a stunting rate in District of Brebes in the year 2015</w:t>
      </w:r>
      <w:r>
        <w:rPr>
          <w:rFonts w:eastAsia="Times New Roman" w:cs="Arial" w:ascii="Arial" w:hAnsi="Arial"/>
        </w:rPr>
        <w:t>.</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District Health Office and health centres need to regularly supervise the implementation of providing sprinkle. A commitment to implement a stunting prevention program needs to be improved. Compliment and incentive need to be provided. In addition, village midwives need to be provided a specific time for counselling regarding their jobs.    </w:t>
      </w:r>
    </w:p>
    <w:p>
      <w:pPr>
        <w:pStyle w:val="Normal"/>
        <w:spacing w:lineRule="auto" w:line="240" w:before="0" w:after="0"/>
        <w:jc w:val="both"/>
        <w:rPr>
          <w:rFonts w:cs="Arial" w:ascii="Arial" w:hAnsi="Arial"/>
          <w:lang w:val="en-AU"/>
        </w:rPr>
      </w:pPr>
      <w:r>
        <w:rPr>
          <w:rFonts w:cs="Arial" w:ascii="Arial" w:hAnsi="Arial"/>
          <w:lang w:val="en-AU"/>
        </w:rPr>
        <w:t xml:space="preserve"> </w:t>
      </w:r>
    </w:p>
    <w:p>
      <w:pPr>
        <w:pStyle w:val="Normal"/>
        <w:spacing w:lineRule="auto" w:line="240" w:before="0" w:after="0"/>
        <w:ind w:left="1219" w:right="0" w:hanging="1219"/>
        <w:jc w:val="both"/>
        <w:rPr>
          <w:rFonts w:cs="Arial" w:ascii="Arial" w:hAnsi="Arial"/>
          <w:lang w:val="en-AU"/>
        </w:rPr>
      </w:pPr>
      <w:r>
        <w:rPr>
          <w:rFonts w:cs="Arial" w:ascii="Arial" w:hAnsi="Arial"/>
        </w:rPr>
        <w:t>Key</w:t>
      </w:r>
      <w:r>
        <w:rPr>
          <w:rFonts w:cs="Arial" w:ascii="Arial" w:hAnsi="Arial"/>
        </w:rPr>
        <w:t>w</w:t>
      </w:r>
      <w:r>
        <w:rPr>
          <w:rFonts w:cs="Arial" w:ascii="Arial" w:hAnsi="Arial"/>
        </w:rPr>
        <w:t>ords</w:t>
        <w:tab/>
        <w:t xml:space="preserve">: </w:t>
      </w:r>
      <w:r>
        <w:rPr>
          <w:rFonts w:cs="Arial" w:ascii="Arial" w:hAnsi="Arial"/>
        </w:rPr>
        <w:t>W</w:t>
      </w:r>
      <w:r>
        <w:rPr>
          <w:rFonts w:cs="Arial" w:ascii="Arial" w:hAnsi="Arial"/>
          <w:lang w:val="en-AU"/>
        </w:rPr>
        <w:t xml:space="preserve">ork </w:t>
      </w:r>
      <w:r>
        <w:rPr>
          <w:rFonts w:cs="Arial" w:ascii="Arial" w:hAnsi="Arial"/>
          <w:lang w:val="en-AU"/>
        </w:rPr>
        <w:t>M</w:t>
      </w:r>
      <w:r>
        <w:rPr>
          <w:rFonts w:cs="Arial" w:ascii="Arial" w:hAnsi="Arial"/>
          <w:lang w:val="en-AU"/>
        </w:rPr>
        <w:t xml:space="preserve">otivation, </w:t>
      </w:r>
      <w:r>
        <w:rPr>
          <w:rFonts w:cs="Arial" w:ascii="Arial" w:hAnsi="Arial"/>
          <w:lang w:val="en-AU"/>
        </w:rPr>
        <w:t>S</w:t>
      </w:r>
      <w:r>
        <w:rPr>
          <w:rFonts w:cs="Arial" w:ascii="Arial" w:hAnsi="Arial"/>
          <w:lang w:val="en-AU"/>
        </w:rPr>
        <w:t xml:space="preserve">prinkle, </w:t>
      </w:r>
      <w:r>
        <w:rPr>
          <w:rFonts w:cs="Arial" w:ascii="Arial" w:hAnsi="Arial"/>
          <w:lang w:val="en-AU"/>
        </w:rPr>
        <w:t>S</w:t>
      </w:r>
      <w:r>
        <w:rPr>
          <w:rFonts w:cs="Arial" w:ascii="Arial" w:hAnsi="Arial"/>
          <w:lang w:val="en-AU"/>
        </w:rPr>
        <w:t xml:space="preserve">tunting </w:t>
      </w:r>
    </w:p>
    <w:p>
      <w:pPr>
        <w:pStyle w:val="Normal"/>
        <w:tabs>
          <w:tab w:val="left" w:pos="1276" w:leader="none"/>
        </w:tabs>
        <w:spacing w:lineRule="auto" w:line="240" w:before="0" w:after="0"/>
        <w:jc w:val="both"/>
        <w:rPr>
          <w:rFonts w:cs="Arial" w:ascii="Arial" w:hAnsi="Arial"/>
        </w:rPr>
      </w:pPr>
      <w:r>
        <w:rPr>
          <w:rFonts w:cs="Arial" w:ascii="Arial" w:hAnsi="Arial"/>
        </w:rPr>
        <w:t xml:space="preserve">Bibliography: </w:t>
      </w:r>
      <w:r>
        <w:rPr>
          <w:rFonts w:cs="Arial" w:ascii="Arial" w:hAnsi="Arial"/>
          <w:lang w:val="en-AU"/>
        </w:rPr>
        <w:t>65</w:t>
      </w:r>
      <w:r>
        <w:rPr>
          <w:rFonts w:cs="Arial" w:ascii="Arial" w:hAnsi="Arial"/>
        </w:rPr>
        <w:t xml:space="preserve"> (</w:t>
      </w:r>
      <w:r>
        <w:rPr>
          <w:rFonts w:cs="Arial" w:ascii="Arial" w:hAnsi="Arial"/>
          <w:lang w:val="en-AU"/>
        </w:rPr>
        <w:t>1996</w:t>
      </w:r>
      <w:r>
        <w:rPr>
          <w:rFonts w:cs="Arial" w:ascii="Arial" w:hAnsi="Arial"/>
        </w:rPr>
        <w:t>-201</w:t>
      </w:r>
      <w:r>
        <w:rPr>
          <w:rFonts w:cs="Arial" w:ascii="Arial" w:hAnsi="Arial"/>
          <w:lang w:val="en-AU"/>
        </w:rPr>
        <w:t>5</w:t>
      </w:r>
      <w:r>
        <w:rPr>
          <w:rFonts w:cs="Arial" w:ascii="Arial" w:hAnsi="Arial"/>
        </w:rPr>
        <w:t>)</w:t>
      </w:r>
    </w:p>
    <w:sectPr>
      <w:footerReference w:type="default" r:id="rId2"/>
      <w:type w:val="nextPage"/>
      <w:pgSz w:w="11906" w:h="16838"/>
      <w:pgMar w:left="2268" w:right="1701" w:header="0" w:top="1701" w:footer="709" w:bottom="76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4b2c7a"/>
    <w:pPr>
      <w:widowControl/>
      <w:suppressAutoHyphens w:val="true"/>
      <w:bidi w:val="0"/>
      <w:spacing w:lineRule="auto" w:line="276" w:before="0" w:after="200"/>
      <w:jc w:val="left"/>
    </w:pPr>
    <w:rPr>
      <w:rFonts w:ascii="Calibri" w:hAnsi="Calibri" w:eastAsia="Droid Sans Fallback" w:cs="Calibri"/>
      <w:color w:val="auto"/>
      <w:sz w:val="22"/>
      <w:szCs w:val="22"/>
      <w:lang w:val="id-ID"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d70d27"/>
    <w:basedOn w:val="DefaultParagraphFont"/>
    <w:rPr>
      <w:rFonts w:ascii="Tahoma" w:hAnsi="Tahoma" w:cs="Tahoma"/>
      <w:sz w:val="16"/>
      <w:szCs w:val="16"/>
    </w:rPr>
  </w:style>
  <w:style w:type="character" w:styleId="HeaderChar" w:customStyle="1">
    <w:name w:val="Header Char"/>
    <w:uiPriority w:val="99"/>
    <w:link w:val="Header"/>
    <w:rsid w:val="00e53385"/>
    <w:basedOn w:val="DefaultParagraphFont"/>
    <w:rPr/>
  </w:style>
  <w:style w:type="character" w:styleId="FooterChar" w:customStyle="1">
    <w:name w:val="Footer Char"/>
    <w:uiPriority w:val="99"/>
    <w:link w:val="Footer"/>
    <w:rsid w:val="00e53385"/>
    <w:basedOn w:val="DefaultParagraphFont"/>
    <w:rPr/>
  </w:style>
  <w:style w:type="character" w:styleId="ListParagraphChar" w:customStyle="1">
    <w:name w:val="List Paragraph Char"/>
    <w:uiPriority w:val="34"/>
    <w:link w:val="ListParagraph"/>
    <w:locked/>
    <w:rsid w:val="00702d06"/>
    <w:basedOn w:val="DefaultParagraphFont"/>
    <w:rPr/>
  </w:style>
  <w:style w:type="character" w:styleId="Hps" w:customStyle="1">
    <w:name w:val="hps"/>
    <w:rsid w:val="00702d06"/>
    <w:rPr>
      <w:rFonts w:eastAsia="Times New Roman"/>
    </w:rPr>
  </w:style>
  <w:style w:type="character" w:styleId="ListLabel1">
    <w:name w:val="ListLabel 1"/>
    <w:rPr>
      <w:rFonts w:eastAsia="Times New Roman" w:cs="Arial"/>
      <w:b w:val="false"/>
    </w:rPr>
  </w:style>
  <w:style w:type="character" w:styleId="ListLabel2">
    <w:name w:val="ListLabel 2"/>
    <w:rPr>
      <w:rFonts w:cs="Times New Roman"/>
    </w:rPr>
  </w:style>
  <w:style w:type="character" w:styleId="ListLabel3">
    <w:name w:val="ListLabel 3"/>
    <w:rPr>
      <w:rFonts w:cs="Times New Roman"/>
      <w:b w:val="false"/>
    </w:rPr>
  </w:style>
  <w:style w:type="character" w:styleId="ListLabel4">
    <w:name w:val="ListLabel 4"/>
    <w:rPr>
      <w:b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link w:val="ListParagraphChar"/>
    <w:rsid w:val="004c6fbc"/>
    <w:basedOn w:val="Normal"/>
    <w:pPr>
      <w:spacing w:before="0" w:after="200"/>
      <w:ind w:left="720" w:right="0" w:hanging="0"/>
      <w:contextualSpacing/>
    </w:pPr>
    <w:rPr/>
  </w:style>
  <w:style w:type="paragraph" w:styleId="BalloonText">
    <w:name w:val="Balloon Text"/>
    <w:uiPriority w:val="99"/>
    <w:semiHidden/>
    <w:unhideWhenUsed/>
    <w:link w:val="BalloonTextChar"/>
    <w:rsid w:val="00d70d27"/>
    <w:basedOn w:val="Normal"/>
    <w:pPr>
      <w:spacing w:lineRule="auto" w:line="240" w:before="0" w:after="0"/>
    </w:pPr>
    <w:rPr>
      <w:rFonts w:ascii="Tahoma" w:hAnsi="Tahoma" w:cs="Tahoma"/>
      <w:sz w:val="16"/>
      <w:szCs w:val="16"/>
    </w:rPr>
  </w:style>
  <w:style w:type="paragraph" w:styleId="Header">
    <w:name w:val="Header"/>
    <w:uiPriority w:val="99"/>
    <w:unhideWhenUsed/>
    <w:link w:val="HeaderChar"/>
    <w:rsid w:val="00e53385"/>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e53385"/>
    <w:basedOn w:val="Normal"/>
    <w:pPr>
      <w:tabs>
        <w:tab w:val="center" w:pos="4513" w:leader="none"/>
        <w:tab w:val="right" w:pos="9026"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customStyle="1" w:styleId="TableGrid1">
    <w:name w:val="Table Grid1"/>
    <w:basedOn w:val="TableNormal"/>
    <w:uiPriority w:val="59"/>
    <w:rsid w:val="00b37c34"/>
    <w:pPr>
      <w:spacing w:line="240" w:lineRule="auto" w:after="0"/>
    </w:pPr>
    <w:rPr>
      <w:lang w:val="en-US"/>
    </w:rPr>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Pr>
  </w:style>
  <w:style w:type="table" w:styleId="TableGrid">
    <w:name w:val="Table Grid"/>
    <w:basedOn w:val="TableNormal"/>
    <w:uiPriority w:val="59"/>
    <w:rsid w:val="00b37c34"/>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LightShading1">
    <w:name w:val="Light Shading1"/>
    <w:basedOn w:val="TableNormal"/>
    <w:uiPriority w:val="60"/>
    <w:rsid w:val="00b91301"/>
    <w:pPr>
      <w:spacing w:line="240" w:lineRule="auto" w:after="0"/>
    </w:pPr>
    <w:rPr>
      <w:color w:themeShade="bf" w:themeColor="text1" w:val="000000"/>
    </w:rPr>
    <w:tblPr>
      <w:tblStyleRowBandSize w:val="1"/>
      <w:tblStyleColBandSize w:val="1"/>
      <w:tblBorders>
        <w:top w:space="0" w:sz="8" w:themeColor="text1" w:color="000000" w:val="single"/>
        <w:bottom w:space="0" w:sz="8" w:themeColor="text1" w:color="000000" w:val="single"/>
      </w:tblBorders>
    </w:tblPr>
    <w:tblStylePr w:type="firstRow">
      <w:pPr>
        <w:spacing w:line="240" w:lineRule="auto" w:after="0" w:before="0"/>
      </w:pPr>
      <w:rPr>
        <w:b/>
        <w:bCs/>
      </w:rPr>
      <w:tblPr/>
      <w:tcPr>
        <w:tcBorders>
          <w:top w:space="0" w:sz="8" w:themeColor="text1" w:color="000000" w:val="single"/>
          <w:left w:val="nil"/>
          <w:bottom w:space="0" w:sz="8" w:themeColor="text1" w:color="000000" w:val="single"/>
          <w:right w:val="nil"/>
          <w:insideH w:val="nil"/>
          <w:insideV w:val="nil"/>
        </w:tcBorders>
      </w:tcPr>
    </w:tblStylePr>
    <w:tblStylePr w:type="lastRow">
      <w:pPr>
        <w:spacing w:line="240" w:lineRule="auto" w:after="0" w:before="0"/>
      </w:pPr>
      <w:rPr>
        <w:b/>
        <w:bCs/>
      </w:rPr>
      <w:tblPr/>
      <w:tcPr>
        <w:tcBorders>
          <w:top w:space="0" w:sz="8" w:themeColor="text1" w:color="000000" w:val="single"/>
          <w:left w:val="nil"/>
          <w:bottom w:space="0" w:sz="8" w:themeColor="text1" w:color="000000" w:val="single"/>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themeFillTint="3f" w:themeFill="text1" w:fill="C0C0C0" w:color="auto" w:val="clear"/>
      </w:tcPr>
    </w:tblStylePr>
    <w:tblStylePr w:type="band1Horz">
      <w:tblPr/>
      <w:tcPr>
        <w:tcBorders>
          <w:left w:val="nil"/>
          <w:right w:val="nil"/>
          <w:insideH w:val="nil"/>
          <w:insideV w:val="nil"/>
        </w:tcBorders>
        <w:shd w:themeFillTint="3f" w:themeFill="text1" w:fill="C0C0C0" w:color="auto" w:val="clea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2015-09-03T23:59:00Z</dcterms:created>
  <dc:creator>ASUS.axella</dc:creator>
  <dc:language>en-US</dc:language>
  <cp:lastModifiedBy>Suratman</cp:lastModifiedBy>
  <cp:lastPrinted>2015-12-16T05:41:00Z</cp:lastPrinted>
  <dcterms:modified xsi:type="dcterms:W3CDTF">2016-01-05T07:25:00Z</dcterms:modified>
  <cp:revision>56</cp:revision>
</cp:coreProperties>
</file>