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right"/>
      </w:pPr>
      <w:r>
        <w:rPr>
          <w:b/>
          <w:color w:val="000000"/>
          <w:sz w:val="22"/>
          <w:szCs w:val="22"/>
        </w:rPr>
        <w:t>Universitas Diponegoro</w:t>
      </w:r>
    </w:p>
    <w:p>
      <w:pPr>
        <w:pStyle w:val="style0"/>
        <w:jc w:val="right"/>
      </w:pPr>
      <w:r>
        <w:rPr>
          <w:b/>
          <w:color w:val="000000"/>
          <w:sz w:val="22"/>
          <w:szCs w:val="22"/>
        </w:rPr>
        <w:t>Fakultas Kesehatan Masyarakat</w:t>
      </w:r>
    </w:p>
    <w:p>
      <w:pPr>
        <w:pStyle w:val="style0"/>
        <w:jc w:val="right"/>
      </w:pPr>
      <w:r>
        <w:rPr>
          <w:b/>
          <w:color w:val="000000"/>
          <w:sz w:val="22"/>
          <w:szCs w:val="22"/>
        </w:rPr>
        <w:t>Program Magister Ilmu Kesehatan Masyarakat</w:t>
      </w:r>
    </w:p>
    <w:p>
      <w:pPr>
        <w:pStyle w:val="style0"/>
        <w:jc w:val="right"/>
      </w:pPr>
      <w:r>
        <w:rPr>
          <w:b/>
          <w:color w:val="000000"/>
          <w:sz w:val="22"/>
          <w:szCs w:val="22"/>
        </w:rPr>
        <w:t>Konsentrasi Kesehatan Ibu dan Anak</w:t>
      </w:r>
    </w:p>
    <w:p>
      <w:pPr>
        <w:pStyle w:val="style0"/>
        <w:jc w:val="right"/>
      </w:pPr>
      <w:r>
        <w:rPr>
          <w:b/>
          <w:color w:val="000000"/>
          <w:sz w:val="22"/>
          <w:szCs w:val="22"/>
        </w:rPr>
        <w:t>2014</w:t>
      </w:r>
    </w:p>
    <w:p>
      <w:pPr>
        <w:pStyle w:val="style0"/>
        <w:jc w:val="center"/>
      </w:pPr>
      <w:r>
        <w:rPr>
          <w:color w:val="000000"/>
          <w:sz w:val="22"/>
          <w:szCs w:val="22"/>
        </w:rPr>
      </w:r>
    </w:p>
    <w:p>
      <w:pPr>
        <w:pStyle w:val="style0"/>
        <w:jc w:val="center"/>
      </w:pPr>
      <w:r>
        <w:rPr>
          <w:b/>
          <w:color w:val="000000"/>
          <w:sz w:val="22"/>
          <w:szCs w:val="22"/>
        </w:rPr>
        <w:t>ABSTRAK</w:t>
      </w:r>
    </w:p>
    <w:p>
      <w:pPr>
        <w:pStyle w:val="style0"/>
        <w:jc w:val="center"/>
      </w:pPr>
      <w:r>
        <w:rPr>
          <w:color w:val="000000"/>
          <w:sz w:val="22"/>
          <w:szCs w:val="22"/>
        </w:rPr>
      </w:r>
    </w:p>
    <w:p>
      <w:pPr>
        <w:pStyle w:val="style0"/>
      </w:pPr>
      <w:r>
        <w:rPr>
          <w:b/>
          <w:color w:val="000000"/>
          <w:sz w:val="22"/>
          <w:szCs w:val="22"/>
        </w:rPr>
        <w:t>Ratih Subekti</w:t>
      </w:r>
    </w:p>
    <w:p>
      <w:pPr>
        <w:pStyle w:val="style0"/>
        <w:jc w:val="both"/>
      </w:pPr>
      <w:r>
        <w:rPr>
          <w:b/>
          <w:color w:val="000000"/>
          <w:sz w:val="22"/>
          <w:szCs w:val="22"/>
        </w:rPr>
        <w:t>Analisis Faktor Risiko Kejadian Berat Badan Lahir Rendah di Kabupaten Banjarnegara</w:t>
      </w:r>
    </w:p>
    <w:p>
      <w:pPr>
        <w:pStyle w:val="style0"/>
      </w:pPr>
      <w:r>
        <w:rPr>
          <w:b/>
          <w:color w:val="000000"/>
          <w:sz w:val="22"/>
          <w:szCs w:val="22"/>
        </w:rPr>
        <w:t>xiv + 90 halaman + 23 tabel + 5 gambar + 9 lampiran</w:t>
      </w:r>
    </w:p>
    <w:p>
      <w:pPr>
        <w:pStyle w:val="style0"/>
      </w:pPr>
      <w:r>
        <w:rPr>
          <w:color w:val="000000"/>
          <w:sz w:val="22"/>
          <w:szCs w:val="22"/>
        </w:rPr>
      </w:r>
    </w:p>
    <w:p>
      <w:pPr>
        <w:pStyle w:val="style0"/>
        <w:spacing w:line="276" w:lineRule="auto"/>
        <w:ind w:firstLine="720" w:left="0" w:right="0"/>
        <w:jc w:val="both"/>
      </w:pPr>
      <w:r>
        <w:rPr>
          <w:rFonts w:eastAsia="ArialMT"/>
          <w:color w:val="000000"/>
          <w:sz w:val="22"/>
          <w:szCs w:val="22"/>
        </w:rPr>
        <w:t xml:space="preserve">Berat Badan Lahir Rendah merupakan salah satu penyebab terbesar kematian neonatal. Kasus BBLR di Kabupaten Banjarnegara menunjukkan peningkatan dari 5,78% pada tahun 2011 </w:t>
      </w:r>
      <w:r>
        <w:rPr>
          <w:color w:val="000000"/>
          <w:sz w:val="22"/>
          <w:szCs w:val="22"/>
        </w:rPr>
        <w:t xml:space="preserve">menjadi 6,85% pada tahun 2013, </w:t>
      </w:r>
      <w:r>
        <w:rPr>
          <w:rFonts w:eastAsia="ArialMT"/>
          <w:color w:val="000000"/>
          <w:sz w:val="22"/>
          <w:szCs w:val="22"/>
        </w:rPr>
        <w:t>walaupun program pencegahan BBLR sudah banyak dilakukan. Tujuan penelitian ini untuk mencari faktor risiko kejadian BBLR di Kabupaten Banjarnegara.</w:t>
      </w:r>
    </w:p>
    <w:p>
      <w:pPr>
        <w:pStyle w:val="style0"/>
        <w:ind w:firstLine="720" w:left="0" w:right="0"/>
        <w:jc w:val="both"/>
      </w:pPr>
      <w:r>
        <w:rPr>
          <w:color w:val="000000"/>
          <w:sz w:val="22"/>
          <w:szCs w:val="22"/>
        </w:rPr>
        <w:t xml:space="preserve">Penelitian ini dilakukan secara observasional analitik dengan desain kasus kontrol. Populasi adalah ibu yang melahirkan bayi dalam kurun waktu Januari-Juni 2014. Jumlah subjek, 85 kasus (ibu yang melahirkan BBLR) diambil dari populasi studi dengan </w:t>
      </w:r>
      <w:r>
        <w:rPr>
          <w:rFonts w:eastAsia="ArialMT"/>
          <w:color w:val="000000"/>
          <w:sz w:val="22"/>
          <w:szCs w:val="22"/>
        </w:rPr>
        <w:t xml:space="preserve">teknik </w:t>
      </w:r>
      <w:r>
        <w:rPr>
          <w:i/>
          <w:color w:val="000000"/>
          <w:sz w:val="22"/>
          <w:szCs w:val="22"/>
        </w:rPr>
        <w:t>purposive sampling</w:t>
      </w:r>
      <w:r>
        <w:rPr>
          <w:rFonts w:eastAsia="ArialMT"/>
          <w:color w:val="000000"/>
          <w:sz w:val="22"/>
          <w:szCs w:val="22"/>
        </w:rPr>
        <w:t xml:space="preserve"> </w:t>
      </w:r>
      <w:r>
        <w:rPr>
          <w:color w:val="000000"/>
          <w:sz w:val="22"/>
          <w:szCs w:val="22"/>
        </w:rPr>
        <w:t xml:space="preserve">dan 85 kontrol (ibu yang melahirkan BBLN) dipilih dengan cara </w:t>
      </w:r>
      <w:r>
        <w:rPr>
          <w:i/>
          <w:color w:val="000000"/>
          <w:sz w:val="22"/>
          <w:szCs w:val="22"/>
        </w:rPr>
        <w:t>matching</w:t>
      </w:r>
      <w:r>
        <w:rPr>
          <w:color w:val="000000"/>
          <w:sz w:val="22"/>
          <w:szCs w:val="22"/>
        </w:rPr>
        <w:t xml:space="preserve"> menurut umur dan jenis kelamin bayi dari 4 kecamatan di Kabupaten Banjarnegara. Analisis bivariat dengan uji </w:t>
      </w:r>
      <w:r>
        <w:rPr>
          <w:i/>
          <w:color w:val="000000"/>
          <w:sz w:val="22"/>
          <w:szCs w:val="22"/>
        </w:rPr>
        <w:t>chi-square</w:t>
      </w:r>
      <w:r>
        <w:rPr>
          <w:color w:val="000000"/>
          <w:sz w:val="22"/>
          <w:szCs w:val="22"/>
        </w:rPr>
        <w:t xml:space="preserve"> dan multivariat dengan uji regresi logistik ganda.</w:t>
      </w:r>
    </w:p>
    <w:p>
      <w:pPr>
        <w:pStyle w:val="style0"/>
        <w:tabs>
          <w:tab w:leader="none" w:pos="284" w:val="left"/>
          <w:tab w:leader="none" w:pos="567" w:val="left"/>
        </w:tabs>
        <w:ind w:firstLine="720" w:left="0" w:right="0"/>
        <w:jc w:val="both"/>
      </w:pPr>
      <w:r>
        <w:rPr>
          <w:rFonts w:eastAsia="ArialMT"/>
          <w:color w:val="000000"/>
          <w:sz w:val="22"/>
          <w:szCs w:val="22"/>
        </w:rPr>
        <w:t xml:space="preserve">Faktor risiko kejadian BBLR adalah umur ibu &lt;  20 atau &gt; 35 tahun (OR = 5,19; 95% CI : 2,621-10,272), </w:t>
      </w:r>
      <w:r>
        <w:rPr>
          <w:color w:val="000000"/>
          <w:sz w:val="22"/>
          <w:szCs w:val="22"/>
        </w:rPr>
        <w:t>prematuritas (</w:t>
      </w:r>
      <w:r>
        <w:rPr>
          <w:rFonts w:eastAsia="ArialMT"/>
          <w:color w:val="000000"/>
          <w:sz w:val="22"/>
          <w:szCs w:val="22"/>
        </w:rPr>
        <w:t xml:space="preserve">OR = 3,66; 95% CI : 1,894-7,058), </w:t>
      </w:r>
      <w:r>
        <w:rPr>
          <w:color w:val="000000"/>
          <w:sz w:val="22"/>
          <w:szCs w:val="22"/>
        </w:rPr>
        <w:t>primipara (</w:t>
      </w:r>
      <w:r>
        <w:rPr>
          <w:rFonts w:eastAsia="ArialMT"/>
          <w:color w:val="000000"/>
          <w:sz w:val="22"/>
          <w:szCs w:val="22"/>
        </w:rPr>
        <w:t xml:space="preserve">OR = 4,09; 95% CI:1,846-9,066), </w:t>
      </w:r>
      <w:r>
        <w:rPr>
          <w:color w:val="000000"/>
          <w:sz w:val="22"/>
          <w:szCs w:val="22"/>
        </w:rPr>
        <w:t>anemia pada trimester III (</w:t>
      </w:r>
      <w:r>
        <w:rPr>
          <w:rFonts w:eastAsia="ArialMT"/>
          <w:color w:val="000000"/>
          <w:sz w:val="22"/>
          <w:szCs w:val="22"/>
        </w:rPr>
        <w:t xml:space="preserve">OR = 2,70; 95% CI : 1,436-5,078), </w:t>
      </w:r>
      <w:r>
        <w:rPr>
          <w:color w:val="000000"/>
          <w:sz w:val="22"/>
          <w:szCs w:val="22"/>
        </w:rPr>
        <w:t xml:space="preserve">LILA &lt; 23,5 cm (OR </w:t>
      </w:r>
      <w:r>
        <w:rPr>
          <w:rFonts w:eastAsia="ArialMT"/>
          <w:color w:val="000000"/>
          <w:sz w:val="22"/>
          <w:szCs w:val="22"/>
        </w:rPr>
        <w:t xml:space="preserve">= 1,95; 95% CI : 1,057-3,582), </w:t>
      </w:r>
      <w:r>
        <w:rPr>
          <w:color w:val="000000"/>
          <w:sz w:val="22"/>
          <w:szCs w:val="22"/>
        </w:rPr>
        <w:t>hiperemesis gravidarum (</w:t>
      </w:r>
      <w:r>
        <w:rPr>
          <w:rFonts w:eastAsia="ArialMT"/>
          <w:color w:val="000000"/>
          <w:sz w:val="22"/>
          <w:szCs w:val="22"/>
        </w:rPr>
        <w:t xml:space="preserve">OR = 1,96; 95% CI : 1,061-3,620) dan </w:t>
      </w:r>
      <w:r>
        <w:rPr>
          <w:color w:val="000000"/>
          <w:sz w:val="22"/>
          <w:szCs w:val="22"/>
        </w:rPr>
        <w:t>stres psikologik pada ibu hamil (</w:t>
      </w:r>
      <w:r>
        <w:rPr>
          <w:rFonts w:eastAsia="ArialMT"/>
          <w:color w:val="000000"/>
          <w:sz w:val="22"/>
          <w:szCs w:val="22"/>
        </w:rPr>
        <w:t xml:space="preserve">OR = 1,95; 95% CI : 1,059-3,603). </w:t>
      </w:r>
      <w:r>
        <w:rPr>
          <w:rFonts w:eastAsia="ArialMT"/>
          <w:color w:val="000000"/>
          <w:sz w:val="22"/>
          <w:szCs w:val="22"/>
          <w:lang w:val="nb-NO"/>
        </w:rPr>
        <w:t xml:space="preserve">Jarak kelahiran &lt; 2 tahun, pertambahan berat badan ibu dan </w:t>
      </w:r>
      <w:r>
        <w:rPr>
          <w:color w:val="000000"/>
          <w:sz w:val="22"/>
          <w:szCs w:val="22"/>
          <w:lang w:val="nb-NO"/>
        </w:rPr>
        <w:t>hipertensi trimester III</w:t>
      </w:r>
      <w:r>
        <w:rPr>
          <w:rFonts w:eastAsia="ArialMT"/>
          <w:color w:val="000000"/>
          <w:sz w:val="22"/>
          <w:szCs w:val="22"/>
          <w:lang w:val="nb-NO"/>
        </w:rPr>
        <w:t xml:space="preserve"> bukan merupakan faktor risiko kejadian BBLR dalam penelitian ini</w:t>
      </w:r>
      <w:r>
        <w:rPr>
          <w:color w:val="000000"/>
          <w:sz w:val="22"/>
          <w:szCs w:val="22"/>
          <w:lang w:val="nb-NO"/>
        </w:rPr>
        <w:t xml:space="preserve">. </w:t>
      </w:r>
      <w:r>
        <w:rPr>
          <w:rFonts w:eastAsia="ArialMT"/>
          <w:color w:val="000000"/>
          <w:sz w:val="22"/>
          <w:szCs w:val="22"/>
          <w:lang w:val="nb-NO"/>
        </w:rPr>
        <w:t xml:space="preserve">Faktor yang bersama-sama merupakan faktor risiko kejadian BBLR adalah prematuritas, umur ibu, anemia </w:t>
      </w:r>
      <w:r>
        <w:rPr>
          <w:color w:val="000000"/>
          <w:sz w:val="22"/>
          <w:szCs w:val="22"/>
          <w:lang w:val="nb-NO"/>
        </w:rPr>
        <w:t>trimester III</w:t>
      </w:r>
      <w:r>
        <w:rPr>
          <w:rFonts w:eastAsia="ArialMT"/>
          <w:color w:val="000000"/>
          <w:sz w:val="22"/>
          <w:szCs w:val="22"/>
          <w:lang w:val="nb-NO"/>
        </w:rPr>
        <w:t xml:space="preserve"> </w:t>
      </w:r>
      <w:r>
        <w:rPr>
          <w:color w:val="000000"/>
          <w:sz w:val="22"/>
          <w:szCs w:val="22"/>
          <w:lang w:val="nb-NO"/>
        </w:rPr>
        <w:t>dan stres psikologik.</w:t>
      </w:r>
    </w:p>
    <w:p>
      <w:pPr>
        <w:pStyle w:val="style0"/>
        <w:tabs>
          <w:tab w:leader="none" w:pos="284" w:val="left"/>
          <w:tab w:leader="none" w:pos="709" w:val="left"/>
        </w:tabs>
        <w:ind w:firstLine="720" w:left="0" w:right="0"/>
        <w:jc w:val="both"/>
      </w:pPr>
      <w:r>
        <w:rPr>
          <w:rFonts w:eastAsia="ArialMT"/>
          <w:color w:val="000000"/>
          <w:sz w:val="22"/>
          <w:szCs w:val="22"/>
          <w:lang w:val="nb-NO"/>
        </w:rPr>
        <w:t xml:space="preserve">Disimpulkan bahwa prematuritas, umur ibu, </w:t>
      </w:r>
      <w:r>
        <w:rPr>
          <w:color w:val="000000"/>
          <w:sz w:val="22"/>
          <w:szCs w:val="22"/>
          <w:lang w:val="nb-NO"/>
        </w:rPr>
        <w:t xml:space="preserve">anemia pada trimester III </w:t>
      </w:r>
      <w:r>
        <w:rPr>
          <w:rFonts w:eastAsia="ArialMT"/>
          <w:color w:val="000000"/>
          <w:sz w:val="22"/>
          <w:szCs w:val="22"/>
          <w:lang w:val="nb-NO"/>
        </w:rPr>
        <w:t xml:space="preserve">dan </w:t>
      </w:r>
      <w:r>
        <w:rPr>
          <w:color w:val="000000"/>
          <w:sz w:val="22"/>
          <w:szCs w:val="22"/>
          <w:lang w:val="nb-NO"/>
        </w:rPr>
        <w:t xml:space="preserve">stres psikologik merupakan faktor risiko kejadian BBLR yang paling dominan di Kabupaten Banjarnegara. </w:t>
      </w:r>
    </w:p>
    <w:p>
      <w:pPr>
        <w:pStyle w:val="style0"/>
      </w:pPr>
      <w:r>
        <w:rPr>
          <w:color w:val="000000"/>
          <w:sz w:val="22"/>
          <w:szCs w:val="22"/>
          <w:lang w:val="nb-NO"/>
        </w:rPr>
      </w:r>
    </w:p>
    <w:p>
      <w:pPr>
        <w:pStyle w:val="style0"/>
      </w:pPr>
      <w:r>
        <w:rPr>
          <w:color w:val="000000"/>
          <w:sz w:val="22"/>
          <w:szCs w:val="22"/>
          <w:lang w:val="nb-NO"/>
        </w:rPr>
        <w:t>Kata Kunci</w:t>
        <w:tab/>
        <w:t>: faktor risiko, BBLR, prematuritas, anemia, stres psikologik</w:t>
      </w:r>
    </w:p>
    <w:p>
      <w:pPr>
        <w:pStyle w:val="style0"/>
      </w:pPr>
      <w:r>
        <w:rPr>
          <w:color w:val="000000"/>
          <w:sz w:val="22"/>
          <w:szCs w:val="22"/>
          <w:lang w:val="nb-NO"/>
        </w:rPr>
        <w:t>Kepustakaan</w:t>
        <w:tab/>
        <w:t>: 78 (1993-2014)</w:t>
      </w:r>
    </w:p>
    <w:p>
      <w:pPr>
        <w:pStyle w:val="style0"/>
      </w:pPr>
      <w:r>
        <w:rPr>
          <w:color w:val="000000"/>
          <w:sz w:val="22"/>
          <w:szCs w:val="22"/>
          <w:lang w:val="nb-NO"/>
        </w:rPr>
      </w:r>
    </w:p>
    <w:p>
      <w:pPr>
        <w:pStyle w:val="style0"/>
      </w:pPr>
      <w:r>
        <w:rPr>
          <w:color w:val="000000"/>
          <w:sz w:val="22"/>
          <w:szCs w:val="22"/>
          <w:lang w:val="nb-NO"/>
        </w:rPr>
      </w:r>
    </w:p>
    <w:p>
      <w:pPr>
        <w:pStyle w:val="style0"/>
      </w:pPr>
      <w:r>
        <w:rPr>
          <w:color w:val="000000"/>
          <w:sz w:val="22"/>
          <w:szCs w:val="22"/>
          <w:lang w:val="nb-NO"/>
        </w:rPr>
      </w:r>
    </w:p>
    <w:p>
      <w:pPr>
        <w:pStyle w:val="style0"/>
      </w:pPr>
      <w:r>
        <w:rPr>
          <w:color w:val="000000"/>
          <w:sz w:val="22"/>
          <w:szCs w:val="22"/>
          <w:lang w:val="nb-NO"/>
        </w:rPr>
      </w:r>
    </w:p>
    <w:p>
      <w:pPr>
        <w:pStyle w:val="style0"/>
      </w:pPr>
      <w:r>
        <w:rPr>
          <w:color w:val="000000"/>
          <w:sz w:val="22"/>
          <w:szCs w:val="22"/>
          <w:lang w:val="nb-NO"/>
        </w:rPr>
      </w:r>
    </w:p>
    <w:p>
      <w:pPr>
        <w:pStyle w:val="style0"/>
      </w:pPr>
      <w:r>
        <w:rPr>
          <w:color w:val="000000"/>
          <w:sz w:val="22"/>
          <w:szCs w:val="22"/>
          <w:lang w:val="nb-NO"/>
        </w:rPr>
      </w:r>
    </w:p>
    <w:p>
      <w:pPr>
        <w:pStyle w:val="style0"/>
      </w:pPr>
      <w:r>
        <w:rPr>
          <w:color w:val="000000"/>
          <w:sz w:val="22"/>
          <w:szCs w:val="22"/>
          <w:lang w:val="nb-NO"/>
        </w:rPr>
      </w:r>
    </w:p>
    <w:p>
      <w:pPr>
        <w:pStyle w:val="style0"/>
      </w:pPr>
      <w:r>
        <w:rPr>
          <w:color w:val="000000"/>
          <w:sz w:val="22"/>
          <w:szCs w:val="22"/>
          <w:lang w:val="nb-NO"/>
        </w:rPr>
      </w:r>
    </w:p>
    <w:p>
      <w:pPr>
        <w:pStyle w:val="style0"/>
      </w:pPr>
      <w:r>
        <w:rPr>
          <w:color w:val="000000"/>
          <w:sz w:val="22"/>
          <w:szCs w:val="22"/>
          <w:lang w:val="nb-NO"/>
        </w:rPr>
      </w:r>
    </w:p>
    <w:p>
      <w:pPr>
        <w:pStyle w:val="style0"/>
      </w:pPr>
      <w:r>
        <w:rPr>
          <w:color w:val="000000"/>
          <w:sz w:val="22"/>
          <w:szCs w:val="22"/>
          <w:lang w:val="nb-NO"/>
        </w:rPr>
      </w:r>
    </w:p>
    <w:p>
      <w:pPr>
        <w:pStyle w:val="style0"/>
        <w:jc w:val="right"/>
      </w:pPr>
      <w:r>
        <w:rPr>
          <w:b/>
          <w:bCs/>
          <w:color w:val="000000"/>
          <w:sz w:val="22"/>
          <w:szCs w:val="22"/>
        </w:rPr>
        <w:t>Diponegoro University</w:t>
      </w:r>
    </w:p>
    <w:p>
      <w:pPr>
        <w:pStyle w:val="style0"/>
        <w:jc w:val="right"/>
      </w:pPr>
      <w:r>
        <w:rPr>
          <w:b/>
          <w:bCs/>
          <w:color w:val="000000"/>
          <w:sz w:val="22"/>
          <w:szCs w:val="22"/>
        </w:rPr>
        <w:t>Faculty of Public Health</w:t>
      </w:r>
    </w:p>
    <w:p>
      <w:pPr>
        <w:pStyle w:val="style0"/>
        <w:jc w:val="right"/>
      </w:pPr>
      <w:r>
        <w:rPr>
          <w:b/>
          <w:bCs/>
          <w:color w:val="000000"/>
          <w:sz w:val="22"/>
          <w:szCs w:val="22"/>
        </w:rPr>
        <w:t>Master’s Program in Public Health</w:t>
      </w:r>
    </w:p>
    <w:p>
      <w:pPr>
        <w:pStyle w:val="style0"/>
        <w:jc w:val="right"/>
      </w:pPr>
      <w:r>
        <w:rPr>
          <w:b/>
          <w:bCs/>
          <w:color w:val="000000"/>
          <w:sz w:val="22"/>
          <w:szCs w:val="22"/>
        </w:rPr>
        <w:t>Majoring in Maternal and Child Health</w:t>
      </w:r>
    </w:p>
    <w:p>
      <w:pPr>
        <w:pStyle w:val="style0"/>
        <w:ind w:hanging="1440" w:left="0" w:right="0"/>
        <w:jc w:val="right"/>
      </w:pPr>
      <w:r>
        <w:rPr>
          <w:b/>
          <w:bCs/>
          <w:color w:val="000000"/>
          <w:sz w:val="22"/>
          <w:szCs w:val="22"/>
        </w:rPr>
        <w:t>2014</w:t>
      </w:r>
    </w:p>
    <w:p>
      <w:pPr>
        <w:pStyle w:val="style0"/>
        <w:ind w:hanging="1440" w:left="0" w:right="0"/>
        <w:jc w:val="right"/>
      </w:pPr>
      <w:r>
        <w:rPr/>
      </w:r>
    </w:p>
    <w:p>
      <w:pPr>
        <w:pStyle w:val="style0"/>
        <w:jc w:val="center"/>
      </w:pPr>
      <w:r>
        <w:rPr>
          <w:b/>
          <w:bCs/>
          <w:color w:val="000000"/>
          <w:sz w:val="22"/>
          <w:szCs w:val="22"/>
        </w:rPr>
        <w:t>ABSTRACT</w:t>
      </w:r>
    </w:p>
    <w:p>
      <w:pPr>
        <w:pStyle w:val="style0"/>
        <w:jc w:val="center"/>
      </w:pPr>
      <w:r>
        <w:rPr>
          <w:b/>
          <w:bCs/>
          <w:color w:val="000000"/>
          <w:sz w:val="22"/>
          <w:szCs w:val="22"/>
          <w:lang w:val="en-AU"/>
        </w:rPr>
      </w:r>
    </w:p>
    <w:p>
      <w:pPr>
        <w:pStyle w:val="style23"/>
        <w:spacing w:after="0" w:before="0" w:line="100" w:lineRule="atLeast"/>
        <w:ind w:hanging="0" w:left="0" w:right="0"/>
      </w:pPr>
      <w:r>
        <w:rPr>
          <w:rFonts w:cs="Arial"/>
          <w:b/>
          <w:bCs/>
          <w:color w:val="000000"/>
          <w:sz w:val="22"/>
          <w:szCs w:val="22"/>
        </w:rPr>
        <w:t>Ratih Subekti</w:t>
      </w:r>
    </w:p>
    <w:p>
      <w:pPr>
        <w:pStyle w:val="style0"/>
        <w:jc w:val="both"/>
      </w:pPr>
      <w:r>
        <w:rPr>
          <w:b/>
          <w:bCs/>
          <w:color w:val="000000"/>
          <w:sz w:val="22"/>
          <w:szCs w:val="22"/>
          <w:lang w:val="en-AU"/>
        </w:rPr>
        <w:t>Risk Factor Analysis for the Occurrence of Low Birth Weight in Banjarnegara District</w:t>
      </w:r>
    </w:p>
    <w:p>
      <w:pPr>
        <w:pStyle w:val="style0"/>
        <w:jc w:val="both"/>
      </w:pPr>
      <w:r>
        <w:rPr>
          <w:b/>
          <w:bCs/>
          <w:color w:val="000000"/>
          <w:sz w:val="22"/>
          <w:szCs w:val="22"/>
          <w:lang w:val="en-AU"/>
        </w:rPr>
        <w:t>xiv + 90 pages + 23 tables + 5 figures + 9 enclosures</w:t>
      </w:r>
    </w:p>
    <w:p>
      <w:pPr>
        <w:pStyle w:val="style0"/>
        <w:jc w:val="both"/>
      </w:pPr>
      <w:r>
        <w:rPr>
          <w:b/>
          <w:bCs/>
          <w:color w:val="000000"/>
          <w:sz w:val="22"/>
          <w:szCs w:val="22"/>
          <w:lang w:val="en-AU"/>
        </w:rPr>
      </w:r>
    </w:p>
    <w:p>
      <w:pPr>
        <w:pStyle w:val="style0"/>
        <w:ind w:firstLine="567" w:left="0" w:right="0"/>
        <w:jc w:val="both"/>
      </w:pPr>
      <w:r>
        <w:rPr>
          <w:color w:val="000000"/>
          <w:sz w:val="22"/>
          <w:szCs w:val="22"/>
          <w:lang w:val="en-AU"/>
        </w:rPr>
        <w:t>Low birth weight (LBW) is one of the main causes of neonatal mortality. Number of LBW cases in Banjarnegara District increased gradually from 5.78% in 2011 to 6.85% in 2013 even though a program to prevent LBW had been done. This research aimed to investigate risk factors of LBW occurrence in Banjarnegara District.</w:t>
      </w:r>
    </w:p>
    <w:p>
      <w:pPr>
        <w:pStyle w:val="style0"/>
        <w:ind w:firstLine="567" w:left="0" w:right="0"/>
        <w:jc w:val="both"/>
      </w:pPr>
      <w:r>
        <w:rPr>
          <w:color w:val="000000"/>
          <w:sz w:val="22"/>
          <w:szCs w:val="22"/>
          <w:lang w:val="en-AU"/>
        </w:rPr>
        <w:t>This was observational analytic research with case-control approach. Population was mothers who gave birth to their babies from January to June 2014. Number of samples were 85 cases (mothers who gave birth to LBW babies) selected from the population using purposive sampling and 85 controls (mothers who gave birth to normal birth weight babies) selected using a method of matching by age and gender. Furthermore, data were analyzed using methods of bivariate (Chi-Square test) and multivariate analyses (Multiple Linear Regression test).</w:t>
      </w:r>
    </w:p>
    <w:p>
      <w:pPr>
        <w:pStyle w:val="style0"/>
        <w:ind w:firstLine="567" w:left="0" w:right="0"/>
        <w:jc w:val="both"/>
      </w:pPr>
      <w:r>
        <w:rPr>
          <w:color w:val="000000"/>
          <w:sz w:val="22"/>
          <w:szCs w:val="22"/>
          <w:lang w:val="en-AU"/>
        </w:rPr>
        <w:t xml:space="preserve">The result of this research showed that risk factors for the occurrence of LBW were as follows: </w:t>
      </w:r>
      <w:r>
        <w:rPr>
          <w:rFonts w:eastAsia="ArialMT"/>
          <w:color w:val="000000"/>
          <w:sz w:val="22"/>
          <w:szCs w:val="22"/>
        </w:rPr>
        <w:t xml:space="preserve">mother’s age &lt; 20 or &gt; 35 years old (OR = 5.19; 95%  CI : 2.621-10.272), </w:t>
      </w:r>
      <w:r>
        <w:rPr>
          <w:color w:val="000000"/>
          <w:sz w:val="22"/>
          <w:szCs w:val="22"/>
        </w:rPr>
        <w:t>prematurity (</w:t>
      </w:r>
      <w:r>
        <w:rPr>
          <w:rFonts w:eastAsia="ArialMT"/>
          <w:color w:val="000000"/>
          <w:sz w:val="22"/>
          <w:szCs w:val="22"/>
        </w:rPr>
        <w:t xml:space="preserve">OR = 3.66; 95% CI: 1.894-7.058), </w:t>
      </w:r>
      <w:r>
        <w:rPr>
          <w:color w:val="000000"/>
          <w:sz w:val="22"/>
          <w:szCs w:val="22"/>
        </w:rPr>
        <w:t>primipara (</w:t>
      </w:r>
      <w:r>
        <w:rPr>
          <w:rFonts w:eastAsia="ArialMT"/>
          <w:color w:val="000000"/>
          <w:sz w:val="22"/>
          <w:szCs w:val="22"/>
        </w:rPr>
        <w:t xml:space="preserve">OR = 4.09; 95% CI : 1.846-9.066), </w:t>
      </w:r>
      <w:r>
        <w:rPr>
          <w:color w:val="000000"/>
          <w:sz w:val="22"/>
          <w:szCs w:val="22"/>
        </w:rPr>
        <w:t>anemia during trimester III (</w:t>
      </w:r>
      <w:r>
        <w:rPr>
          <w:rFonts w:eastAsia="ArialMT"/>
          <w:color w:val="000000"/>
          <w:sz w:val="22"/>
          <w:szCs w:val="22"/>
        </w:rPr>
        <w:t xml:space="preserve">OR = 2.70; 95% CI : 1.436-5.078), upper arm circumference </w:t>
      </w:r>
      <w:r>
        <w:rPr>
          <w:color w:val="000000"/>
          <w:sz w:val="22"/>
          <w:szCs w:val="22"/>
        </w:rPr>
        <w:t xml:space="preserve">&lt; 23.5 cm (OR </w:t>
      </w:r>
      <w:r>
        <w:rPr>
          <w:rFonts w:eastAsia="ArialMT"/>
          <w:color w:val="000000"/>
          <w:sz w:val="22"/>
          <w:szCs w:val="22"/>
        </w:rPr>
        <w:t xml:space="preserve">= 1.95; 95% CI : 1.057-3.582), </w:t>
      </w:r>
      <w:r>
        <w:rPr>
          <w:color w:val="000000"/>
          <w:sz w:val="22"/>
          <w:szCs w:val="22"/>
        </w:rPr>
        <w:t>hiperemesis gravidarum (</w:t>
      </w:r>
      <w:r>
        <w:rPr>
          <w:rFonts w:eastAsia="ArialMT"/>
          <w:color w:val="000000"/>
          <w:sz w:val="22"/>
          <w:szCs w:val="22"/>
        </w:rPr>
        <w:t>OR = 1.96; 95% CI : 1.061-3.620), and psychological stress on pregnant woman</w:t>
      </w:r>
      <w:r>
        <w:rPr>
          <w:color w:val="000000"/>
          <w:sz w:val="22"/>
          <w:szCs w:val="22"/>
        </w:rPr>
        <w:t xml:space="preserve"> (</w:t>
      </w:r>
      <w:r>
        <w:rPr>
          <w:rFonts w:eastAsia="ArialMT"/>
          <w:color w:val="000000"/>
          <w:sz w:val="22"/>
          <w:szCs w:val="22"/>
        </w:rPr>
        <w:t>OR = 1.95; 95% CI : 1.059-3.603).</w:t>
      </w:r>
      <w:r>
        <w:rPr>
          <w:bCs/>
          <w:color w:val="000000"/>
          <w:sz w:val="22"/>
          <w:szCs w:val="22"/>
          <w:lang w:val="id-ID"/>
        </w:rPr>
        <w:t xml:space="preserve"> </w:t>
      </w:r>
      <w:r>
        <w:rPr>
          <w:bCs/>
          <w:color w:val="000000"/>
          <w:sz w:val="22"/>
          <w:szCs w:val="22"/>
          <w:lang w:val="en-AU"/>
        </w:rPr>
        <w:t>On the other hand, birth spacing &lt; 2 years, the increase of mother’s body weight, and hypertension during trimester III were not risk factors for the occurrence of LBW. Prematurity, mother’s age, anemia during trimester III, and psychological stress jointly were risk factors for the occurrence of LBW.</w:t>
      </w:r>
    </w:p>
    <w:p>
      <w:pPr>
        <w:pStyle w:val="style0"/>
        <w:ind w:firstLine="567" w:left="0" w:right="0"/>
        <w:jc w:val="both"/>
      </w:pPr>
      <w:r>
        <w:rPr>
          <w:color w:val="000000"/>
          <w:sz w:val="22"/>
          <w:szCs w:val="22"/>
          <w:lang w:val="en-AU"/>
        </w:rPr>
        <w:t xml:space="preserve">In conclusion, prematurity, mother’s age, anemia during trimester III, and psychological stress were the most dominant risk factors for the occurrence of LBW in Banjarnegara District. </w:t>
      </w:r>
    </w:p>
    <w:p>
      <w:pPr>
        <w:pStyle w:val="style0"/>
        <w:ind w:firstLine="567" w:left="0" w:right="0"/>
        <w:jc w:val="both"/>
      </w:pPr>
      <w:r>
        <w:rPr>
          <w:color w:val="000000"/>
          <w:sz w:val="22"/>
          <w:szCs w:val="22"/>
          <w:lang w:val="en-AU"/>
        </w:rPr>
      </w:r>
    </w:p>
    <w:p>
      <w:pPr>
        <w:pStyle w:val="style0"/>
        <w:tabs>
          <w:tab w:leader="none" w:pos="1305" w:val="left"/>
          <w:tab w:leader="none" w:pos="2025" w:val="left"/>
        </w:tabs>
        <w:ind w:hanging="1320" w:left="1305" w:right="0"/>
        <w:jc w:val="both"/>
      </w:pPr>
      <w:r>
        <w:rPr>
          <w:color w:val="000000"/>
          <w:sz w:val="22"/>
          <w:szCs w:val="22"/>
        </w:rPr>
        <w:t>Key Words</w:t>
        <w:tab/>
        <w:t xml:space="preserve">: </w:t>
      </w:r>
      <w:r>
        <w:rPr>
          <w:color w:val="000000"/>
          <w:sz w:val="22"/>
          <w:szCs w:val="22"/>
          <w:lang w:val="en-AU"/>
        </w:rPr>
        <w:t xml:space="preserve">Risk Factor, LBW, Prematurity, Anemia, Psychological Stress </w:t>
      </w:r>
    </w:p>
    <w:p>
      <w:pPr>
        <w:pStyle w:val="style0"/>
        <w:tabs>
          <w:tab w:leader="none" w:pos="1305" w:val="left"/>
          <w:tab w:leader="none" w:pos="2025" w:val="left"/>
        </w:tabs>
        <w:ind w:hanging="1320" w:left="1305" w:right="0"/>
      </w:pPr>
      <w:r>
        <w:rPr>
          <w:color w:val="000000"/>
          <w:sz w:val="22"/>
          <w:szCs w:val="22"/>
        </w:rPr>
        <w:t>Bibliography</w:t>
        <w:tab/>
        <w:t>: 78 (</w:t>
      </w:r>
      <w:r>
        <w:rPr>
          <w:color w:val="000000"/>
          <w:sz w:val="22"/>
          <w:szCs w:val="22"/>
          <w:lang w:val="en-AU"/>
        </w:rPr>
        <w:t>1993 – 2014</w:t>
      </w:r>
      <w:bookmarkStart w:id="0" w:name="_GoBack"/>
      <w:bookmarkEnd w:id="0"/>
      <w:r>
        <w:rPr>
          <w:color w:val="000000"/>
          <w:sz w:val="22"/>
          <w:szCs w:val="22"/>
          <w:lang w:val="en-AU"/>
        </w:rPr>
        <w:t>)</w:t>
      </w:r>
    </w:p>
    <w:p>
      <w:pPr>
        <w:pStyle w:val="style0"/>
        <w:tabs>
          <w:tab w:leader="none" w:pos="1305" w:val="left"/>
          <w:tab w:leader="none" w:pos="2025" w:val="left"/>
        </w:tabs>
        <w:ind w:hanging="1320" w:left="1305" w:right="0"/>
      </w:pPr>
      <w:r>
        <w:rPr>
          <w:color w:val="000000"/>
          <w:sz w:val="22"/>
          <w:szCs w:val="22"/>
          <w:lang w:val="en-AU"/>
        </w:rPr>
      </w:r>
    </w:p>
    <w:p>
      <w:pPr>
        <w:pStyle w:val="style0"/>
      </w:pPr>
      <w:r>
        <w:rPr>
          <w:color w:val="000000"/>
          <w:sz w:val="22"/>
          <w:szCs w:val="22"/>
        </w:rPr>
      </w:r>
    </w:p>
    <w:sectPr>
      <w:type w:val="nextPage"/>
      <w:pgSz w:h="16838" w:w="11906"/>
      <w:pgMar w:bottom="1701" w:footer="0" w:gutter="0" w:header="0" w:left="2268" w:right="1985" w:top="1701"/>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0" w:before="0" w:line="100" w:lineRule="atLeast"/>
    </w:pPr>
    <w:rPr>
      <w:rFonts w:ascii="Arial" w:cs="Arial" w:eastAsia="Calibri" w:hAnsi="Arial"/>
      <w:color w:val="000000"/>
      <w:sz w:val="24"/>
      <w:szCs w:val="24"/>
      <w:lang w:bidi="ar-SA" w:eastAsia="en-US" w:val="en-US"/>
    </w:rPr>
  </w:style>
  <w:style w:styleId="style15" w:type="character">
    <w:name w:val="Default Paragraph Font"/>
    <w:next w:val="style15"/>
    <w:rPr/>
  </w:style>
  <w:style w:styleId="style16" w:type="character">
    <w:name w:val="hps"/>
    <w:next w:val="style16"/>
    <w:rPr/>
  </w:style>
  <w:style w:styleId="style17" w:type="paragraph">
    <w:name w:val="Heading"/>
    <w:basedOn w:val="style0"/>
    <w:next w:val="style18"/>
    <w:pPr>
      <w:keepNext/>
      <w:spacing w:after="120" w:before="240"/>
    </w:pPr>
    <w:rPr>
      <w:rFonts w:ascii="Arial" w:cs="Lohit Hindi" w:eastAsia="Droid Sans" w:hAnsi="Arial"/>
      <w:sz w:val="28"/>
      <w:szCs w:val="28"/>
    </w:rPr>
  </w:style>
  <w:style w:styleId="style18" w:type="paragraph">
    <w:name w:val="Text body"/>
    <w:basedOn w:val="style0"/>
    <w:next w:val="style18"/>
    <w:pPr>
      <w:spacing w:after="120" w:before="0"/>
    </w:pPr>
    <w:rPr/>
  </w:style>
  <w:style w:styleId="style19" w:type="paragraph">
    <w:name w:val="List"/>
    <w:basedOn w:val="style18"/>
    <w:next w:val="style19"/>
    <w:pPr/>
    <w:rPr>
      <w:rFonts w:cs="Lohit Hindi"/>
    </w:rPr>
  </w:style>
  <w:style w:styleId="style20" w:type="paragraph">
    <w:name w:val="Caption"/>
    <w:basedOn w:val="style0"/>
    <w:next w:val="style20"/>
    <w:pPr>
      <w:suppressLineNumbers/>
      <w:spacing w:after="120" w:before="120"/>
    </w:pPr>
    <w:rPr>
      <w:rFonts w:cs="Lohit Hindi"/>
      <w:i/>
      <w:iCs/>
      <w:sz w:val="24"/>
      <w:szCs w:val="24"/>
    </w:rPr>
  </w:style>
  <w:style w:styleId="style21" w:type="paragraph">
    <w:name w:val="Index"/>
    <w:basedOn w:val="style0"/>
    <w:next w:val="style21"/>
    <w:pPr>
      <w:suppressLineNumbers/>
    </w:pPr>
    <w:rPr>
      <w:rFonts w:cs="Lohit Hindi"/>
    </w:rPr>
  </w:style>
  <w:style w:styleId="style22" w:type="paragraph">
    <w:name w:val="caption"/>
    <w:basedOn w:val="style0"/>
    <w:next w:val="style22"/>
    <w:pPr>
      <w:suppressLineNumbers/>
      <w:spacing w:after="120" w:before="120"/>
    </w:pPr>
    <w:rPr>
      <w:rFonts w:cs="Lohit Hindi"/>
      <w:i/>
      <w:iCs/>
    </w:rPr>
  </w:style>
  <w:style w:styleId="style23" w:type="paragraph">
    <w:name w:val="List Paragraph"/>
    <w:basedOn w:val="style0"/>
    <w:next w:val="style23"/>
    <w:pPr>
      <w:tabs>
        <w:tab w:leader="none" w:pos="1684" w:val="left"/>
      </w:tabs>
      <w:spacing w:after="160" w:before="0" w:line="276" w:lineRule="auto"/>
      <w:ind w:hanging="0" w:left="720" w:right="0"/>
    </w:pPr>
    <w:rPr>
      <w:rFonts w:cs="Times New Roman" w:eastAsia="Times New Roman"/>
      <w:color w:val="00000A"/>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189</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2014-12-12T05:59:00.00Z</dcterms:created>
  <dc:creator>Toshiba</dc:creator>
  <cp:lastModifiedBy>Suratman</cp:lastModifiedBy>
  <cp:lastPrinted>2014-12-19T11:04:25.00Z</cp:lastPrinted>
  <dcterms:modified xsi:type="dcterms:W3CDTF">2014-12-17T06:14:00.00Z</dcterms:modified>
  <cp:revision>18</cp:revision>
</cp:coreProperties>
</file>