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1CE" w:rsidRDefault="006921CE" w:rsidP="00426C13">
      <w:pPr>
        <w:spacing w:line="240" w:lineRule="auto"/>
        <w:jc w:val="center"/>
        <w:rPr>
          <w:rFonts w:ascii="Times New Roman" w:hAnsi="Times New Roman" w:cs="Times New Roman"/>
          <w:b/>
          <w:sz w:val="28"/>
          <w:szCs w:val="28"/>
        </w:rPr>
      </w:pPr>
      <w:r w:rsidRPr="006921CE">
        <w:rPr>
          <w:rFonts w:ascii="Times New Roman" w:hAnsi="Times New Roman" w:cs="Times New Roman"/>
          <w:b/>
          <w:bCs/>
          <w:sz w:val="28"/>
          <w:szCs w:val="28"/>
        </w:rPr>
        <w:t>REVISITED MEDIA HABIT OF INDONESIAN WOMEN</w:t>
      </w:r>
      <w:r w:rsidRPr="006921CE">
        <w:rPr>
          <w:rFonts w:ascii="Times New Roman" w:hAnsi="Times New Roman" w:cs="Times New Roman"/>
          <w:b/>
          <w:sz w:val="28"/>
          <w:szCs w:val="28"/>
        </w:rPr>
        <w:t xml:space="preserve"> </w:t>
      </w:r>
    </w:p>
    <w:p w:rsidR="00426C13" w:rsidRPr="00A16167" w:rsidRDefault="00426C13" w:rsidP="00426C1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6921CE">
        <w:rPr>
          <w:rFonts w:ascii="Times New Roman" w:hAnsi="Times New Roman" w:cs="Times New Roman"/>
          <w:b/>
          <w:sz w:val="28"/>
          <w:szCs w:val="28"/>
        </w:rPr>
        <w:t xml:space="preserve">Qualiatitave Approach For </w:t>
      </w:r>
      <w:r>
        <w:rPr>
          <w:rFonts w:ascii="Times New Roman" w:hAnsi="Times New Roman" w:cs="Times New Roman"/>
          <w:b/>
          <w:sz w:val="28"/>
          <w:szCs w:val="28"/>
        </w:rPr>
        <w:t>Educated</w:t>
      </w:r>
      <w:r>
        <w:rPr>
          <w:rFonts w:ascii="Times New Roman" w:hAnsi="Times New Roman" w:cs="Times New Roman"/>
          <w:b/>
          <w:sz w:val="28"/>
          <w:szCs w:val="28"/>
        </w:rPr>
        <w:t xml:space="preserve"> and </w:t>
      </w:r>
      <w:r>
        <w:rPr>
          <w:rFonts w:ascii="Times New Roman" w:hAnsi="Times New Roman" w:cs="Times New Roman"/>
          <w:b/>
          <w:sz w:val="28"/>
          <w:szCs w:val="28"/>
        </w:rPr>
        <w:t>Less Educated</w:t>
      </w:r>
      <w:r>
        <w:rPr>
          <w:rFonts w:ascii="Times New Roman" w:hAnsi="Times New Roman" w:cs="Times New Roman"/>
          <w:b/>
          <w:sz w:val="28"/>
          <w:szCs w:val="28"/>
        </w:rPr>
        <w:t xml:space="preserve"> Woman)</w:t>
      </w:r>
    </w:p>
    <w:p w:rsidR="008204B0" w:rsidRDefault="008204B0" w:rsidP="008204B0">
      <w:pPr>
        <w:spacing w:after="0" w:line="240" w:lineRule="auto"/>
        <w:ind w:firstLine="709"/>
        <w:jc w:val="both"/>
        <w:rPr>
          <w:rFonts w:ascii="Times New Roman" w:hAnsi="Times New Roman"/>
          <w:sz w:val="24"/>
          <w:szCs w:val="24"/>
          <w:lang w:val="en"/>
        </w:rPr>
      </w:pPr>
      <w:r>
        <w:rPr>
          <w:rFonts w:ascii="Times New Roman" w:hAnsi="Times New Roman"/>
          <w:sz w:val="24"/>
          <w:szCs w:val="24"/>
        </w:rPr>
        <w:t xml:space="preserve">There is two perspectives to understand definition of woman in Indonesia, as </w:t>
      </w:r>
      <w:r w:rsidRPr="00A86827">
        <w:rPr>
          <w:rFonts w:ascii="Times New Roman" w:hAnsi="Times New Roman"/>
          <w:i/>
          <w:sz w:val="24"/>
          <w:szCs w:val="24"/>
        </w:rPr>
        <w:t>perempuan</w:t>
      </w:r>
      <w:r>
        <w:rPr>
          <w:rFonts w:ascii="Times New Roman" w:hAnsi="Times New Roman"/>
          <w:sz w:val="24"/>
          <w:szCs w:val="24"/>
        </w:rPr>
        <w:t xml:space="preserve"> and as </w:t>
      </w:r>
      <w:r w:rsidRPr="00A86827">
        <w:rPr>
          <w:rFonts w:ascii="Times New Roman" w:hAnsi="Times New Roman"/>
          <w:i/>
          <w:sz w:val="24"/>
          <w:szCs w:val="24"/>
        </w:rPr>
        <w:t>wanita</w:t>
      </w:r>
      <w:r>
        <w:rPr>
          <w:rFonts w:ascii="Times New Roman" w:hAnsi="Times New Roman"/>
          <w:sz w:val="24"/>
          <w:szCs w:val="24"/>
        </w:rPr>
        <w:t>. B</w:t>
      </w:r>
      <w:r w:rsidRPr="00B1395B">
        <w:rPr>
          <w:rFonts w:ascii="Times New Roman" w:hAnsi="Times New Roman"/>
          <w:sz w:val="24"/>
          <w:szCs w:val="24"/>
        </w:rPr>
        <w:t xml:space="preserve">ased on word </w:t>
      </w:r>
      <w:r w:rsidRPr="00B1395B">
        <w:rPr>
          <w:rFonts w:ascii="Times New Roman" w:hAnsi="Times New Roman"/>
          <w:i/>
          <w:sz w:val="24"/>
          <w:szCs w:val="24"/>
        </w:rPr>
        <w:t>empu</w:t>
      </w:r>
      <w:r w:rsidRPr="00B1395B">
        <w:rPr>
          <w:rFonts w:ascii="Times New Roman" w:hAnsi="Times New Roman"/>
          <w:sz w:val="24"/>
          <w:szCs w:val="24"/>
        </w:rPr>
        <w:t xml:space="preserve"> (perempuan) in Sansekerta’s</w:t>
      </w:r>
      <w:r>
        <w:rPr>
          <w:rFonts w:ascii="Times New Roman" w:hAnsi="Times New Roman"/>
          <w:sz w:val="24"/>
          <w:szCs w:val="24"/>
        </w:rPr>
        <w:t>, women defined as</w:t>
      </w:r>
      <w:r w:rsidRPr="00B1395B">
        <w:rPr>
          <w:rFonts w:ascii="Times New Roman" w:hAnsi="Times New Roman"/>
          <w:sz w:val="24"/>
          <w:szCs w:val="24"/>
        </w:rPr>
        <w:t xml:space="preserve"> master for herself, which implicated  more "empowered" when compared with the meaning of women (wanita) in Javanese, </w:t>
      </w:r>
      <w:r w:rsidRPr="00B1395B">
        <w:rPr>
          <w:rFonts w:ascii="Times New Roman" w:hAnsi="Times New Roman"/>
          <w:i/>
          <w:sz w:val="24"/>
          <w:szCs w:val="24"/>
        </w:rPr>
        <w:t>wanita</w:t>
      </w:r>
      <w:r w:rsidRPr="00B1395B">
        <w:rPr>
          <w:rFonts w:ascii="Times New Roman" w:hAnsi="Times New Roman"/>
          <w:sz w:val="24"/>
          <w:szCs w:val="24"/>
        </w:rPr>
        <w:t xml:space="preserve"> </w:t>
      </w:r>
      <w:r>
        <w:rPr>
          <w:rFonts w:ascii="Times New Roman" w:hAnsi="Times New Roman"/>
          <w:sz w:val="24"/>
          <w:szCs w:val="24"/>
        </w:rPr>
        <w:t>described a</w:t>
      </w:r>
      <w:r w:rsidRPr="00B1395B">
        <w:rPr>
          <w:rFonts w:ascii="Times New Roman" w:hAnsi="Times New Roman"/>
          <w:sz w:val="24"/>
          <w:szCs w:val="24"/>
        </w:rPr>
        <w:t xml:space="preserve">s </w:t>
      </w:r>
      <w:r w:rsidRPr="00B1395B">
        <w:rPr>
          <w:rFonts w:ascii="Times New Roman" w:hAnsi="Times New Roman"/>
          <w:i/>
          <w:sz w:val="24"/>
          <w:szCs w:val="24"/>
        </w:rPr>
        <w:t>wani di-tata</w:t>
      </w:r>
      <w:r w:rsidRPr="00B1395B">
        <w:rPr>
          <w:rFonts w:ascii="Times New Roman" w:hAnsi="Times New Roman"/>
          <w:sz w:val="24"/>
          <w:szCs w:val="24"/>
        </w:rPr>
        <w:t xml:space="preserve"> (in-order, on-set, as an object). However, this difference became lost meaning in practice when both </w:t>
      </w:r>
      <w:r w:rsidRPr="00B1395B">
        <w:rPr>
          <w:rFonts w:ascii="Times New Roman" w:hAnsi="Times New Roman"/>
          <w:i/>
          <w:sz w:val="24"/>
          <w:szCs w:val="24"/>
        </w:rPr>
        <w:t>perempuan</w:t>
      </w:r>
      <w:r w:rsidRPr="00B1395B">
        <w:rPr>
          <w:rFonts w:ascii="Times New Roman" w:hAnsi="Times New Roman"/>
          <w:sz w:val="24"/>
          <w:szCs w:val="24"/>
        </w:rPr>
        <w:t xml:space="preserve"> and </w:t>
      </w:r>
      <w:r w:rsidRPr="00B1395B">
        <w:rPr>
          <w:rFonts w:ascii="Times New Roman" w:hAnsi="Times New Roman"/>
          <w:i/>
          <w:sz w:val="24"/>
          <w:szCs w:val="24"/>
        </w:rPr>
        <w:t xml:space="preserve">wanita </w:t>
      </w:r>
      <w:r w:rsidRPr="00B1395B">
        <w:rPr>
          <w:rFonts w:ascii="Times New Roman" w:hAnsi="Times New Roman"/>
          <w:sz w:val="24"/>
          <w:szCs w:val="24"/>
        </w:rPr>
        <w:t xml:space="preserve">in Indonesia has still struggling to actualize herself. </w:t>
      </w:r>
      <w:r w:rsidRPr="00B1395B">
        <w:rPr>
          <w:rStyle w:val="hps"/>
          <w:rFonts w:ascii="Times New Roman" w:hAnsi="Times New Roman"/>
          <w:sz w:val="24"/>
          <w:szCs w:val="24"/>
          <w:lang w:val="en"/>
        </w:rPr>
        <w:t>Today the</w:t>
      </w:r>
      <w:r w:rsidRPr="00B1395B">
        <w:rPr>
          <w:rFonts w:ascii="Times New Roman" w:hAnsi="Times New Roman"/>
          <w:sz w:val="24"/>
          <w:szCs w:val="24"/>
          <w:lang w:val="en"/>
        </w:rPr>
        <w:t xml:space="preserve"> </w:t>
      </w:r>
      <w:r>
        <w:rPr>
          <w:rStyle w:val="hps"/>
          <w:rFonts w:ascii="Times New Roman" w:hAnsi="Times New Roman"/>
          <w:sz w:val="24"/>
          <w:szCs w:val="24"/>
          <w:lang w:val="en"/>
        </w:rPr>
        <w:t>subordination</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of women</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have</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moved</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away</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from</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traditional ways</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turn to</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the ways</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that</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intellectual</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and</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packaged</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more</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subtly</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so that</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women</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unconsciously</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trapped</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in the</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feminine</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stigma</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constructed by the</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media</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The mass media</w:t>
      </w:r>
      <w:r w:rsidRPr="00B1395B">
        <w:rPr>
          <w:rFonts w:ascii="Times New Roman" w:hAnsi="Times New Roman"/>
          <w:sz w:val="24"/>
          <w:szCs w:val="24"/>
          <w:lang w:val="en"/>
        </w:rPr>
        <w:t xml:space="preserve"> </w:t>
      </w:r>
      <w:r>
        <w:rPr>
          <w:rStyle w:val="hps"/>
          <w:rFonts w:ascii="Times New Roman" w:hAnsi="Times New Roman"/>
          <w:sz w:val="24"/>
          <w:szCs w:val="24"/>
          <w:lang w:val="en"/>
        </w:rPr>
        <w:t>whose</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supposed to</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be a means</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of empowering</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the public</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and the</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emancipation</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of women</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even neglected</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or simply</w:t>
      </w:r>
      <w:r w:rsidRPr="00B1395B">
        <w:rPr>
          <w:rFonts w:ascii="Times New Roman" w:hAnsi="Times New Roman"/>
          <w:sz w:val="24"/>
          <w:szCs w:val="24"/>
          <w:lang w:val="en"/>
        </w:rPr>
        <w:t xml:space="preserve"> </w:t>
      </w:r>
      <w:r w:rsidRPr="00B1395B">
        <w:rPr>
          <w:rStyle w:val="hps"/>
          <w:rFonts w:ascii="Times New Roman" w:hAnsi="Times New Roman"/>
          <w:sz w:val="24"/>
          <w:szCs w:val="24"/>
          <w:lang w:val="en"/>
        </w:rPr>
        <w:t>ignored</w:t>
      </w:r>
      <w:r w:rsidRPr="00B1395B">
        <w:rPr>
          <w:rFonts w:ascii="Times New Roman" w:hAnsi="Times New Roman"/>
          <w:sz w:val="24"/>
          <w:szCs w:val="24"/>
          <w:lang w:val="en"/>
        </w:rPr>
        <w:t>.</w:t>
      </w:r>
      <w:r w:rsidRPr="00B1395B">
        <w:rPr>
          <w:rStyle w:val="FootnoteReference"/>
          <w:rFonts w:ascii="Times New Roman" w:hAnsi="Times New Roman"/>
          <w:sz w:val="24"/>
          <w:szCs w:val="24"/>
        </w:rPr>
        <w:footnoteReference w:id="1"/>
      </w:r>
    </w:p>
    <w:p w:rsidR="00482A6D" w:rsidRDefault="00482A6D" w:rsidP="00482A6D">
      <w:pPr>
        <w:tabs>
          <w:tab w:val="left" w:pos="0"/>
        </w:tabs>
        <w:spacing w:after="0" w:line="240" w:lineRule="auto"/>
        <w:ind w:firstLine="709"/>
        <w:jc w:val="both"/>
        <w:rPr>
          <w:rFonts w:ascii="Times New Roman" w:hAnsi="Times New Roman"/>
          <w:sz w:val="24"/>
          <w:szCs w:val="24"/>
          <w:lang w:val="en"/>
        </w:rPr>
      </w:pPr>
      <w:r w:rsidRPr="00B1395B">
        <w:rPr>
          <w:rFonts w:ascii="Times New Roman" w:hAnsi="Times New Roman"/>
          <w:sz w:val="24"/>
          <w:szCs w:val="24"/>
          <w:lang w:val="en"/>
        </w:rPr>
        <w:t>Women and television as inseparable. For women, consuming television as a necessity, media habits, where the habit is defined as behavior, code of conduct, or repetitive rituals that it becomes a natural part of everyday life. Media habits can be understood as a process in which the audience has been accustomed to consuming media in so it becomes a natural part of daily life.</w:t>
      </w:r>
      <w:r w:rsidRPr="00B1395B">
        <w:rPr>
          <w:rStyle w:val="FootnoteReference"/>
          <w:rFonts w:ascii="Times New Roman" w:hAnsi="Times New Roman"/>
          <w:sz w:val="24"/>
          <w:szCs w:val="24"/>
        </w:rPr>
        <w:t xml:space="preserve"> </w:t>
      </w:r>
      <w:r w:rsidRPr="00B1395B">
        <w:rPr>
          <w:rStyle w:val="FootnoteReference"/>
          <w:rFonts w:ascii="Times New Roman" w:hAnsi="Times New Roman"/>
          <w:sz w:val="24"/>
          <w:szCs w:val="24"/>
        </w:rPr>
        <w:footnoteReference w:id="2"/>
      </w:r>
      <w:r>
        <w:rPr>
          <w:rFonts w:ascii="Times New Roman" w:hAnsi="Times New Roman"/>
          <w:sz w:val="24"/>
          <w:szCs w:val="24"/>
        </w:rPr>
        <w:t xml:space="preserve"> </w:t>
      </w:r>
      <w:r w:rsidRPr="00B1395B">
        <w:rPr>
          <w:rFonts w:ascii="Times New Roman" w:hAnsi="Times New Roman"/>
          <w:sz w:val="24"/>
          <w:szCs w:val="24"/>
          <w:lang w:val="en"/>
        </w:rPr>
        <w:t>For the television industry, women are the most valuable commodity. Unnoticed by the women themselves, the television also carries the implication that it preserve oppression. However, the repressive power of the media is owned not by the violence of the all-clad physical dominance, but in more subtle forms, and hegemonic.</w:t>
      </w:r>
    </w:p>
    <w:p w:rsidR="00482A6D" w:rsidRDefault="00482A6D" w:rsidP="00C3236B">
      <w:pPr>
        <w:spacing w:after="0" w:line="240" w:lineRule="auto"/>
        <w:ind w:firstLine="709"/>
        <w:jc w:val="both"/>
        <w:rPr>
          <w:rStyle w:val="longtext"/>
          <w:rFonts w:ascii="Times New Roman" w:hAnsi="Times New Roman"/>
          <w:sz w:val="24"/>
          <w:szCs w:val="24"/>
          <w:lang w:val="en"/>
        </w:rPr>
      </w:pPr>
      <w:r w:rsidRPr="00B1395B">
        <w:rPr>
          <w:rStyle w:val="longtext"/>
          <w:rFonts w:ascii="Times New Roman" w:hAnsi="Times New Roman"/>
          <w:sz w:val="24"/>
          <w:szCs w:val="24"/>
          <w:lang w:val="en"/>
        </w:rPr>
        <w:t xml:space="preserve">In Indonesia, </w:t>
      </w:r>
      <w:r w:rsidR="00C3236B" w:rsidRPr="00B1395B">
        <w:rPr>
          <w:rStyle w:val="longtext"/>
          <w:rFonts w:ascii="Times New Roman" w:hAnsi="Times New Roman"/>
          <w:sz w:val="24"/>
          <w:szCs w:val="24"/>
          <w:lang w:val="en"/>
        </w:rPr>
        <w:t>soap opera (we called sinetron in Indonesia)</w:t>
      </w:r>
      <w:r w:rsidRPr="00B1395B">
        <w:rPr>
          <w:rStyle w:val="longtext"/>
          <w:rFonts w:ascii="Times New Roman" w:hAnsi="Times New Roman"/>
          <w:sz w:val="24"/>
          <w:szCs w:val="24"/>
          <w:lang w:val="en"/>
        </w:rPr>
        <w:t xml:space="preserve"> is always attached to the tastes of women.Rating for long, has been a standardization of television programming, the high ratings of the sinetron had been claimed as women favor program, on version of Nielsen Media Research (2011).</w:t>
      </w:r>
      <w:r w:rsidRPr="00B1395B">
        <w:rPr>
          <w:rStyle w:val="FootnoteReference"/>
          <w:rFonts w:ascii="Times New Roman" w:hAnsi="Times New Roman"/>
        </w:rPr>
        <w:t xml:space="preserve"> </w:t>
      </w:r>
      <w:r w:rsidRPr="00B1395B">
        <w:rPr>
          <w:rStyle w:val="FootnoteReference"/>
          <w:rFonts w:ascii="Times New Roman" w:hAnsi="Times New Roman"/>
        </w:rPr>
        <w:footnoteReference w:id="3"/>
      </w:r>
      <w:r w:rsidRPr="00B1395B">
        <w:rPr>
          <w:rFonts w:ascii="Times New Roman" w:hAnsi="Times New Roman"/>
        </w:rPr>
        <w:t xml:space="preserve"> </w:t>
      </w:r>
      <w:r w:rsidRPr="00B1395B">
        <w:rPr>
          <w:rStyle w:val="longtext"/>
          <w:rFonts w:ascii="Times New Roman" w:hAnsi="Times New Roman"/>
          <w:sz w:val="24"/>
          <w:szCs w:val="24"/>
          <w:lang w:val="en"/>
        </w:rPr>
        <w:t xml:space="preserve"> Domination of sinetron in the prime time seemed to trap women in uniform taste and maintained stereotiping of women tastes. Then tastes beyond that would be considered deviant or even non-existent</w:t>
      </w:r>
      <w:r w:rsidR="00C3236B">
        <w:rPr>
          <w:rStyle w:val="longtext"/>
          <w:rFonts w:ascii="Times New Roman" w:hAnsi="Times New Roman"/>
          <w:sz w:val="24"/>
          <w:szCs w:val="24"/>
          <w:lang w:val="en"/>
        </w:rPr>
        <w:t>.</w:t>
      </w:r>
    </w:p>
    <w:p w:rsidR="00C3236B" w:rsidRDefault="00C3236B" w:rsidP="00C3236B">
      <w:pPr>
        <w:spacing w:after="0" w:line="240" w:lineRule="auto"/>
        <w:ind w:firstLine="709"/>
        <w:jc w:val="both"/>
        <w:rPr>
          <w:rStyle w:val="longtext"/>
          <w:rFonts w:ascii="Times New Roman" w:hAnsi="Times New Roman"/>
          <w:sz w:val="24"/>
          <w:szCs w:val="24"/>
          <w:lang w:val="en"/>
        </w:rPr>
      </w:pPr>
      <w:r w:rsidRPr="004901F7">
        <w:rPr>
          <w:rStyle w:val="longtext"/>
          <w:rFonts w:ascii="Times New Roman" w:hAnsi="Times New Roman"/>
          <w:sz w:val="24"/>
          <w:szCs w:val="24"/>
          <w:lang w:val="en"/>
        </w:rPr>
        <w:t xml:space="preserve">This study was conducted </w:t>
      </w:r>
      <w:r>
        <w:rPr>
          <w:rStyle w:val="longtext"/>
          <w:rFonts w:ascii="Times New Roman" w:hAnsi="Times New Roman"/>
          <w:sz w:val="24"/>
          <w:szCs w:val="24"/>
          <w:lang w:val="en"/>
        </w:rPr>
        <w:t>to revisited</w:t>
      </w:r>
      <w:r w:rsidRPr="004901F7">
        <w:rPr>
          <w:rStyle w:val="longtext"/>
          <w:rFonts w:ascii="Times New Roman" w:hAnsi="Times New Roman"/>
          <w:sz w:val="24"/>
          <w:szCs w:val="24"/>
          <w:lang w:val="en"/>
        </w:rPr>
        <w:t xml:space="preserve"> media </w:t>
      </w:r>
      <w:r>
        <w:rPr>
          <w:rStyle w:val="longtext"/>
          <w:rFonts w:ascii="Times New Roman" w:hAnsi="Times New Roman"/>
          <w:sz w:val="24"/>
          <w:szCs w:val="24"/>
          <w:lang w:val="en"/>
        </w:rPr>
        <w:t>habit of</w:t>
      </w:r>
      <w:r w:rsidRPr="004901F7">
        <w:rPr>
          <w:rStyle w:val="longtext"/>
          <w:rFonts w:ascii="Times New Roman" w:hAnsi="Times New Roman"/>
          <w:sz w:val="24"/>
          <w:szCs w:val="24"/>
          <w:lang w:val="en"/>
        </w:rPr>
        <w:t xml:space="preserve"> Indonesian women. The main reason is the changes in Indonesian society, the first relates to the increasing number of women working in Indonesia. In general, the number of women working increased since 2002-2006</w:t>
      </w:r>
      <w:r w:rsidRPr="004901F7">
        <w:rPr>
          <w:rStyle w:val="FootnoteReference"/>
          <w:rFonts w:ascii="Times New Roman" w:hAnsi="Times New Roman"/>
          <w:sz w:val="24"/>
          <w:szCs w:val="24"/>
        </w:rPr>
        <w:footnoteReference w:id="4"/>
      </w:r>
      <w:r w:rsidRPr="004901F7">
        <w:rPr>
          <w:rStyle w:val="longtext"/>
          <w:rFonts w:ascii="Times New Roman" w:hAnsi="Times New Roman"/>
          <w:color w:val="00B050"/>
          <w:sz w:val="24"/>
          <w:szCs w:val="24"/>
          <w:lang w:val="en"/>
        </w:rPr>
        <w:t xml:space="preserve">, </w:t>
      </w:r>
      <w:r w:rsidRPr="004901F7">
        <w:rPr>
          <w:rStyle w:val="longtext"/>
          <w:rFonts w:ascii="Times New Roman" w:hAnsi="Times New Roman"/>
          <w:sz w:val="24"/>
          <w:szCs w:val="24"/>
          <w:lang w:val="en"/>
        </w:rPr>
        <w:t>for example in the provinces of DKI Jakarta, in 2002 there were 1,062,568 people, rose 7.32% in 2004 which is 1.11762 million inhabitants, and in 2006 returned up 3.5% be 1.13741 million inhabitants</w:t>
      </w:r>
      <w:r w:rsidRPr="004901F7">
        <w:rPr>
          <w:rStyle w:val="longtext"/>
          <w:rFonts w:ascii="Times New Roman" w:hAnsi="Times New Roman"/>
          <w:color w:val="00B050"/>
          <w:sz w:val="24"/>
          <w:szCs w:val="24"/>
          <w:lang w:val="en"/>
        </w:rPr>
        <w:t xml:space="preserve">. </w:t>
      </w:r>
      <w:r>
        <w:rPr>
          <w:rStyle w:val="longtext"/>
          <w:rFonts w:ascii="Times New Roman" w:hAnsi="Times New Roman"/>
          <w:sz w:val="24"/>
          <w:szCs w:val="24"/>
          <w:lang w:val="en"/>
        </w:rPr>
        <w:t>S</w:t>
      </w:r>
      <w:r w:rsidRPr="004901F7">
        <w:rPr>
          <w:rStyle w:val="longtext"/>
          <w:rFonts w:ascii="Times New Roman" w:hAnsi="Times New Roman"/>
          <w:sz w:val="24"/>
          <w:szCs w:val="24"/>
          <w:lang w:val="en"/>
        </w:rPr>
        <w:t>econdly,</w:t>
      </w:r>
      <w:r w:rsidRPr="004901F7">
        <w:rPr>
          <w:rStyle w:val="longtext"/>
          <w:rFonts w:ascii="Times New Roman" w:hAnsi="Times New Roman"/>
          <w:color w:val="00B050"/>
          <w:sz w:val="24"/>
          <w:szCs w:val="24"/>
          <w:lang w:val="en"/>
        </w:rPr>
        <w:t xml:space="preserve"> </w:t>
      </w:r>
      <w:r w:rsidRPr="004901F7">
        <w:rPr>
          <w:rStyle w:val="longtext"/>
          <w:rFonts w:ascii="Times New Roman" w:hAnsi="Times New Roman"/>
          <w:sz w:val="24"/>
          <w:szCs w:val="24"/>
          <w:lang w:val="en"/>
        </w:rPr>
        <w:t>issues of</w:t>
      </w:r>
      <w:r w:rsidRPr="004901F7">
        <w:rPr>
          <w:rStyle w:val="longtext"/>
          <w:rFonts w:ascii="Times New Roman" w:hAnsi="Times New Roman"/>
          <w:color w:val="00B050"/>
          <w:sz w:val="24"/>
          <w:szCs w:val="24"/>
          <w:lang w:val="en"/>
        </w:rPr>
        <w:t xml:space="preserve"> </w:t>
      </w:r>
      <w:r w:rsidRPr="004901F7">
        <w:rPr>
          <w:rStyle w:val="longtext"/>
          <w:rFonts w:ascii="Times New Roman" w:hAnsi="Times New Roman"/>
          <w:sz w:val="24"/>
          <w:szCs w:val="24"/>
          <w:lang w:val="en"/>
        </w:rPr>
        <w:t>education</w:t>
      </w:r>
      <w:r w:rsidRPr="004901F7">
        <w:rPr>
          <w:rStyle w:val="FootnoteReference"/>
          <w:rFonts w:ascii="Times New Roman" w:hAnsi="Times New Roman"/>
          <w:sz w:val="24"/>
          <w:szCs w:val="24"/>
          <w:lang w:val="en"/>
        </w:rPr>
        <w:footnoteReference w:id="5"/>
      </w:r>
      <w:r w:rsidRPr="004901F7">
        <w:rPr>
          <w:rStyle w:val="longtext"/>
          <w:rFonts w:ascii="Times New Roman" w:hAnsi="Times New Roman"/>
          <w:sz w:val="24"/>
          <w:szCs w:val="24"/>
          <w:lang w:val="en"/>
        </w:rPr>
        <w:t>,</w:t>
      </w:r>
      <w:r w:rsidRPr="004901F7">
        <w:rPr>
          <w:rStyle w:val="longtext"/>
          <w:rFonts w:ascii="Times New Roman" w:hAnsi="Times New Roman"/>
          <w:color w:val="00B050"/>
          <w:sz w:val="24"/>
          <w:szCs w:val="24"/>
          <w:lang w:val="en"/>
        </w:rPr>
        <w:t xml:space="preserve"> </w:t>
      </w:r>
      <w:r w:rsidRPr="004901F7">
        <w:rPr>
          <w:rStyle w:val="longtext"/>
          <w:rFonts w:ascii="Times New Roman" w:hAnsi="Times New Roman"/>
          <w:sz w:val="24"/>
          <w:szCs w:val="24"/>
          <w:lang w:val="en"/>
        </w:rPr>
        <w:t>increasing educational level of women in Indonesia is directly increased to the ability of media literacy, meaning that women are increasingly selective in consuming media. Third, an increase in the</w:t>
      </w:r>
      <w:r w:rsidRPr="004901F7">
        <w:rPr>
          <w:rStyle w:val="longtext"/>
          <w:rFonts w:ascii="Times New Roman" w:hAnsi="Times New Roman"/>
          <w:color w:val="00B050"/>
          <w:sz w:val="24"/>
          <w:szCs w:val="24"/>
          <w:lang w:val="en"/>
        </w:rPr>
        <w:t xml:space="preserve"> </w:t>
      </w:r>
      <w:r w:rsidRPr="004901F7">
        <w:rPr>
          <w:rStyle w:val="longtext"/>
          <w:rFonts w:ascii="Times New Roman" w:hAnsi="Times New Roman"/>
          <w:sz w:val="24"/>
          <w:szCs w:val="24"/>
          <w:lang w:val="en"/>
        </w:rPr>
        <w:t>consumption of other media.</w:t>
      </w:r>
      <w:r w:rsidRPr="004901F7">
        <w:rPr>
          <w:rStyle w:val="longtext"/>
          <w:rFonts w:ascii="Times New Roman" w:hAnsi="Times New Roman"/>
          <w:color w:val="00B050"/>
          <w:sz w:val="24"/>
          <w:szCs w:val="24"/>
          <w:lang w:val="en"/>
        </w:rPr>
        <w:t xml:space="preserve"> </w:t>
      </w:r>
      <w:r w:rsidRPr="004901F7">
        <w:rPr>
          <w:rStyle w:val="longtext"/>
          <w:rFonts w:ascii="Times New Roman" w:hAnsi="Times New Roman"/>
          <w:sz w:val="24"/>
          <w:szCs w:val="24"/>
          <w:lang w:val="en"/>
        </w:rPr>
        <w:t xml:space="preserve">The presence of </w:t>
      </w:r>
      <w:r>
        <w:rPr>
          <w:rStyle w:val="longtext"/>
          <w:rFonts w:ascii="Times New Roman" w:hAnsi="Times New Roman"/>
          <w:sz w:val="24"/>
          <w:szCs w:val="24"/>
          <w:lang w:val="en"/>
        </w:rPr>
        <w:t xml:space="preserve">pay </w:t>
      </w:r>
      <w:r w:rsidRPr="004901F7">
        <w:rPr>
          <w:rStyle w:val="longtext"/>
          <w:rFonts w:ascii="Times New Roman" w:hAnsi="Times New Roman"/>
          <w:sz w:val="24"/>
          <w:szCs w:val="24"/>
          <w:lang w:val="en"/>
        </w:rPr>
        <w:t>tv</w:t>
      </w:r>
      <w:r>
        <w:rPr>
          <w:rStyle w:val="FootnoteReference"/>
          <w:rFonts w:ascii="Times New Roman" w:hAnsi="Times New Roman"/>
          <w:sz w:val="24"/>
          <w:szCs w:val="24"/>
          <w:lang w:val="en"/>
        </w:rPr>
        <w:footnoteReference w:id="6"/>
      </w:r>
      <w:r w:rsidRPr="004901F7">
        <w:rPr>
          <w:rStyle w:val="longtext"/>
          <w:rFonts w:ascii="Times New Roman" w:hAnsi="Times New Roman"/>
          <w:sz w:val="24"/>
          <w:szCs w:val="24"/>
          <w:lang w:val="en"/>
        </w:rPr>
        <w:t>, internet</w:t>
      </w:r>
      <w:r w:rsidRPr="004901F7">
        <w:rPr>
          <w:rStyle w:val="FootnoteReference"/>
          <w:rFonts w:ascii="Times New Roman" w:hAnsi="Times New Roman"/>
          <w:sz w:val="24"/>
          <w:szCs w:val="24"/>
          <w:lang w:val="en"/>
        </w:rPr>
        <w:footnoteReference w:id="7"/>
      </w:r>
      <w:r w:rsidRPr="004901F7">
        <w:rPr>
          <w:rStyle w:val="longtext"/>
          <w:rFonts w:ascii="Times New Roman" w:hAnsi="Times New Roman"/>
          <w:sz w:val="24"/>
          <w:szCs w:val="24"/>
          <w:lang w:val="en"/>
        </w:rPr>
        <w:t xml:space="preserve"> and smartphones</w:t>
      </w:r>
      <w:r>
        <w:rPr>
          <w:rStyle w:val="FootnoteReference"/>
          <w:rFonts w:ascii="Times New Roman" w:hAnsi="Times New Roman"/>
          <w:sz w:val="24"/>
          <w:szCs w:val="24"/>
          <w:lang w:val="en"/>
        </w:rPr>
        <w:footnoteReference w:id="8"/>
      </w:r>
      <w:r w:rsidRPr="004901F7">
        <w:rPr>
          <w:rStyle w:val="longtext"/>
          <w:rFonts w:ascii="Times New Roman" w:hAnsi="Times New Roman"/>
          <w:sz w:val="24"/>
          <w:szCs w:val="24"/>
          <w:lang w:val="en"/>
        </w:rPr>
        <w:t xml:space="preserve"> fulfilling women's needs and satisfaction. This phenomenon straight effect on the consumption of television, and of course the consumption of sinetrons. </w:t>
      </w:r>
    </w:p>
    <w:p w:rsidR="00C3236B" w:rsidRDefault="00C3236B" w:rsidP="00C3236B">
      <w:pPr>
        <w:spacing w:after="0" w:line="240" w:lineRule="auto"/>
        <w:ind w:firstLine="709"/>
        <w:jc w:val="both"/>
        <w:rPr>
          <w:rStyle w:val="longtext"/>
          <w:rFonts w:ascii="Times New Roman" w:hAnsi="Times New Roman"/>
          <w:sz w:val="24"/>
          <w:szCs w:val="24"/>
          <w:lang w:val="en"/>
        </w:rPr>
      </w:pPr>
      <w:r>
        <w:rPr>
          <w:rStyle w:val="longtext"/>
          <w:rFonts w:ascii="Times New Roman" w:hAnsi="Times New Roman"/>
          <w:sz w:val="24"/>
          <w:szCs w:val="24"/>
          <w:lang w:val="en"/>
        </w:rPr>
        <w:t>Based on recent studies (2013)</w:t>
      </w:r>
      <w:r>
        <w:rPr>
          <w:rStyle w:val="FootnoteReference"/>
          <w:rFonts w:ascii="Times New Roman" w:hAnsi="Times New Roman"/>
          <w:sz w:val="24"/>
          <w:szCs w:val="24"/>
          <w:lang w:val="en"/>
        </w:rPr>
        <w:footnoteReference w:id="9"/>
      </w:r>
      <w:r>
        <w:rPr>
          <w:rStyle w:val="longtext"/>
          <w:rFonts w:ascii="Times New Roman" w:hAnsi="Times New Roman"/>
          <w:sz w:val="24"/>
          <w:szCs w:val="24"/>
          <w:lang w:val="en"/>
        </w:rPr>
        <w:t xml:space="preserve">, there is a result which answered media consumption on working and nonworking women with specific criteria (minimum graduated degree, SES </w:t>
      </w:r>
      <w:r>
        <w:rPr>
          <w:rStyle w:val="longtext"/>
          <w:rFonts w:ascii="Times New Roman" w:hAnsi="Times New Roman"/>
          <w:sz w:val="24"/>
          <w:szCs w:val="24"/>
          <w:lang w:val="en"/>
        </w:rPr>
        <w:lastRenderedPageBreak/>
        <w:t xml:space="preserve">AB, 25-40). </w:t>
      </w:r>
      <w:r>
        <w:rPr>
          <w:rFonts w:ascii="Times New Roman" w:hAnsi="Times New Roman"/>
          <w:sz w:val="24"/>
          <w:szCs w:val="24"/>
        </w:rPr>
        <w:t>The studies reveals that t</w:t>
      </w:r>
      <w:r w:rsidRPr="00721BF0">
        <w:rPr>
          <w:rFonts w:ascii="Times New Roman" w:hAnsi="Times New Roman"/>
          <w:sz w:val="24"/>
          <w:szCs w:val="24"/>
        </w:rPr>
        <w:t xml:space="preserve">endency of reliance on the </w:t>
      </w:r>
      <w:r w:rsidRPr="00721BF0">
        <w:rPr>
          <w:rFonts w:ascii="Times New Roman" w:hAnsi="Times New Roman"/>
          <w:i/>
          <w:sz w:val="24"/>
          <w:szCs w:val="24"/>
        </w:rPr>
        <w:t>sinetron</w:t>
      </w:r>
      <w:r w:rsidRPr="00721BF0">
        <w:rPr>
          <w:rFonts w:ascii="Times New Roman" w:hAnsi="Times New Roman"/>
          <w:sz w:val="24"/>
          <w:szCs w:val="24"/>
        </w:rPr>
        <w:t xml:space="preserve"> began to decrease drastically, especially on local production, there is saturation of the material spectacle, coupled with their choice of subscription television drama series tend</w:t>
      </w:r>
      <w:r>
        <w:rPr>
          <w:rFonts w:ascii="Times New Roman" w:hAnsi="Times New Roman"/>
          <w:sz w:val="24"/>
          <w:szCs w:val="24"/>
        </w:rPr>
        <w:t>s</w:t>
      </w:r>
      <w:r w:rsidRPr="00721BF0">
        <w:rPr>
          <w:rFonts w:ascii="Times New Roman" w:hAnsi="Times New Roman"/>
          <w:sz w:val="24"/>
          <w:szCs w:val="24"/>
        </w:rPr>
        <w:t xml:space="preserve"> to global. While the </w:t>
      </w:r>
      <w:r>
        <w:rPr>
          <w:rFonts w:ascii="Times New Roman" w:hAnsi="Times New Roman"/>
          <w:sz w:val="24"/>
          <w:szCs w:val="24"/>
        </w:rPr>
        <w:t>preferences</w:t>
      </w:r>
      <w:r w:rsidRPr="00721BF0">
        <w:rPr>
          <w:rFonts w:ascii="Times New Roman" w:hAnsi="Times New Roman"/>
          <w:sz w:val="24"/>
          <w:szCs w:val="24"/>
        </w:rPr>
        <w:t xml:space="preserve"> of the variety shows, talk shows, documentary and news also increased. </w:t>
      </w:r>
      <w:r w:rsidRPr="00DA0DBD">
        <w:rPr>
          <w:rStyle w:val="longtext"/>
          <w:rFonts w:ascii="Times New Roman" w:hAnsi="Times New Roman"/>
          <w:sz w:val="24"/>
          <w:szCs w:val="24"/>
          <w:lang w:val="en"/>
        </w:rPr>
        <w:t>Based on the results of the study, researchers found limited differences in media consumption patterns among women working and not working, except for access time on television. Researchers propose the assumption that it is because all informants has educated women (ie graduate degree)</w:t>
      </w:r>
      <w:r>
        <w:rPr>
          <w:rStyle w:val="longtext"/>
          <w:rFonts w:ascii="Times New Roman" w:hAnsi="Times New Roman"/>
          <w:sz w:val="24"/>
          <w:szCs w:val="24"/>
          <w:lang w:val="en"/>
        </w:rPr>
        <w:t>.</w:t>
      </w:r>
    </w:p>
    <w:p w:rsidR="00C3236B" w:rsidRPr="00B1395B" w:rsidRDefault="00C3236B" w:rsidP="00C3236B">
      <w:pPr>
        <w:spacing w:after="0" w:line="240" w:lineRule="auto"/>
        <w:ind w:firstLine="709"/>
        <w:jc w:val="both"/>
        <w:rPr>
          <w:rFonts w:ascii="Times New Roman" w:hAnsi="Times New Roman"/>
          <w:i/>
          <w:iCs/>
          <w:sz w:val="24"/>
          <w:szCs w:val="24"/>
          <w:lang w:val="es-ES"/>
        </w:rPr>
      </w:pPr>
      <w:r w:rsidRPr="00721BF0">
        <w:rPr>
          <w:rFonts w:ascii="Times New Roman" w:hAnsi="Times New Roman"/>
          <w:sz w:val="24"/>
          <w:szCs w:val="24"/>
        </w:rPr>
        <w:t xml:space="preserve">Results of this study </w:t>
      </w:r>
      <w:r>
        <w:rPr>
          <w:rFonts w:ascii="Times New Roman" w:hAnsi="Times New Roman"/>
          <w:sz w:val="24"/>
          <w:szCs w:val="24"/>
        </w:rPr>
        <w:t>revisited</w:t>
      </w:r>
      <w:r w:rsidRPr="00721BF0">
        <w:rPr>
          <w:rFonts w:ascii="Times New Roman" w:hAnsi="Times New Roman"/>
          <w:sz w:val="24"/>
          <w:szCs w:val="24"/>
        </w:rPr>
        <w:t xml:space="preserve"> viewing patterns (and taste) of women in Indonesia</w:t>
      </w:r>
      <w:r>
        <w:rPr>
          <w:rFonts w:ascii="Times New Roman" w:hAnsi="Times New Roman"/>
          <w:sz w:val="24"/>
          <w:szCs w:val="24"/>
        </w:rPr>
        <w:t xml:space="preserve">, </w:t>
      </w:r>
      <w:r>
        <w:rPr>
          <w:rStyle w:val="longtext"/>
          <w:rFonts w:ascii="Times New Roman" w:hAnsi="Times New Roman"/>
          <w:sz w:val="24"/>
          <w:szCs w:val="24"/>
          <w:lang w:val="en"/>
        </w:rPr>
        <w:t xml:space="preserve">there is differences of educated and less educated women to media habit. There is change on their media habit. Education becomes one of main factors, where is higher education tends to affect to how women treats the media, and adopt new technology. </w:t>
      </w:r>
      <w:r>
        <w:rPr>
          <w:rFonts w:ascii="Times New Roman" w:hAnsi="Times New Roman"/>
          <w:sz w:val="24"/>
          <w:szCs w:val="24"/>
        </w:rPr>
        <w:t>Less education women sees television as main media, and there is nothing wrong with programming and the content of media, so they tend to addicted to local programmespecially sinetron. While educated informants against and more critical to media, they become more selective, also they prefer varied and educative programm.</w:t>
      </w:r>
      <w:r w:rsidRPr="001C18AF">
        <w:rPr>
          <w:rFonts w:ascii="Times New Roman" w:hAnsi="Times New Roman"/>
          <w:sz w:val="24"/>
          <w:szCs w:val="24"/>
        </w:rPr>
        <w:t xml:space="preserve"> </w:t>
      </w:r>
      <w:r>
        <w:rPr>
          <w:rFonts w:ascii="Times New Roman" w:hAnsi="Times New Roman"/>
          <w:sz w:val="24"/>
          <w:szCs w:val="24"/>
        </w:rPr>
        <w:t>Less educated women tend to treat new technology for limited acces of information, while educated women more explorative and seeing smartphone as most accomodative tools of communication, included acces to the massmedia.</w:t>
      </w:r>
      <w:bookmarkStart w:id="0" w:name="_GoBack"/>
      <w:bookmarkEnd w:id="0"/>
    </w:p>
    <w:p w:rsidR="00426C13" w:rsidRDefault="00426C13" w:rsidP="00426C1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426C13" w:rsidRDefault="00426C13" w:rsidP="00426C13">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Bibliography</w:t>
      </w:r>
    </w:p>
    <w:p w:rsidR="00426C13" w:rsidRPr="00E211AD" w:rsidRDefault="00426C13" w:rsidP="00426C13">
      <w:pPr>
        <w:tabs>
          <w:tab w:val="left" w:pos="900"/>
        </w:tabs>
        <w:spacing w:after="0" w:line="240" w:lineRule="auto"/>
        <w:jc w:val="both"/>
        <w:rPr>
          <w:rFonts w:ascii="Garamond" w:hAnsi="Garamond" w:cs="Garamond"/>
          <w:i/>
          <w:iCs/>
        </w:rPr>
      </w:pPr>
      <w:r w:rsidRPr="00E211AD">
        <w:rPr>
          <w:rFonts w:ascii="Garamond" w:hAnsi="Garamond" w:cs="Garamond"/>
          <w:b/>
          <w:bCs/>
          <w:lang w:val="sv-SE"/>
        </w:rPr>
        <w:t>Alison, Jaggar dan Paula S. Rothenberg</w:t>
      </w:r>
      <w:r w:rsidRPr="00E211AD">
        <w:rPr>
          <w:rFonts w:ascii="Garamond" w:hAnsi="Garamond" w:cs="Garamond"/>
          <w:lang w:val="sv-SE"/>
        </w:rPr>
        <w:t xml:space="preserve">. </w:t>
      </w:r>
      <w:r w:rsidRPr="00E211AD">
        <w:rPr>
          <w:rFonts w:ascii="Garamond" w:hAnsi="Garamond" w:cs="Garamond"/>
          <w:i/>
          <w:iCs/>
        </w:rPr>
        <w:t>Feminist Frameworks 3</w:t>
      </w:r>
      <w:r w:rsidRPr="00E211AD">
        <w:rPr>
          <w:rFonts w:ascii="Garamond" w:hAnsi="Garamond" w:cs="Garamond"/>
          <w:i/>
          <w:iCs/>
          <w:vertAlign w:val="superscript"/>
        </w:rPr>
        <w:t>rd</w:t>
      </w:r>
      <w:r w:rsidRPr="00E211AD">
        <w:rPr>
          <w:rFonts w:ascii="Garamond" w:hAnsi="Garamond" w:cs="Garamond"/>
          <w:i/>
          <w:iCs/>
        </w:rPr>
        <w:t xml:space="preserve"> edition : Alternative </w:t>
      </w:r>
    </w:p>
    <w:p w:rsidR="00426C13" w:rsidRPr="00E211AD" w:rsidRDefault="00426C13" w:rsidP="00426C13">
      <w:pPr>
        <w:tabs>
          <w:tab w:val="left" w:pos="900"/>
        </w:tabs>
        <w:spacing w:after="0" w:line="240" w:lineRule="auto"/>
        <w:jc w:val="both"/>
        <w:rPr>
          <w:rFonts w:ascii="Garamond" w:hAnsi="Garamond" w:cs="Garamond"/>
        </w:rPr>
      </w:pPr>
      <w:r w:rsidRPr="00E211AD">
        <w:rPr>
          <w:rFonts w:ascii="Garamond" w:hAnsi="Garamond" w:cs="Garamond"/>
          <w:i/>
          <w:iCs/>
        </w:rPr>
        <w:tab/>
        <w:t xml:space="preserve">Theoritical Accounts of The Relations Between Women and Men. </w:t>
      </w:r>
      <w:r w:rsidRPr="00E211AD">
        <w:rPr>
          <w:rFonts w:ascii="Garamond" w:hAnsi="Garamond" w:cs="Garamond"/>
        </w:rPr>
        <w:t>New York : McGraw Hill.</w:t>
      </w:r>
    </w:p>
    <w:p w:rsidR="00426C13" w:rsidRPr="00E211AD" w:rsidRDefault="00426C13" w:rsidP="00426C13">
      <w:pPr>
        <w:spacing w:after="0" w:line="240" w:lineRule="auto"/>
        <w:jc w:val="both"/>
        <w:rPr>
          <w:rFonts w:ascii="Garamond" w:hAnsi="Garamond" w:cs="Garamond"/>
          <w:i/>
          <w:iCs/>
          <w:lang w:val="fi-FI"/>
        </w:rPr>
      </w:pPr>
      <w:r w:rsidRPr="00E211AD">
        <w:rPr>
          <w:rFonts w:ascii="Garamond" w:hAnsi="Garamond" w:cs="Garamond"/>
          <w:b/>
          <w:bCs/>
          <w:lang w:val="sv-SE"/>
        </w:rPr>
        <w:t>Arivia, Gadis</w:t>
      </w:r>
      <w:r w:rsidRPr="00E211AD">
        <w:rPr>
          <w:rFonts w:ascii="Garamond" w:hAnsi="Garamond" w:cs="Garamond"/>
          <w:lang w:val="sv-SE"/>
        </w:rPr>
        <w:t xml:space="preserve">. 2003. </w:t>
      </w:r>
      <w:r w:rsidRPr="00E211AD">
        <w:rPr>
          <w:rFonts w:ascii="Garamond" w:hAnsi="Garamond" w:cs="Garamond"/>
          <w:i/>
          <w:iCs/>
          <w:lang w:val="sv-SE"/>
        </w:rPr>
        <w:t xml:space="preserve">Filsafat Berperspektif Feminis. </w:t>
      </w:r>
      <w:r w:rsidRPr="00E211AD">
        <w:rPr>
          <w:rFonts w:ascii="Garamond" w:hAnsi="Garamond" w:cs="Garamond"/>
          <w:lang w:val="fi-FI"/>
        </w:rPr>
        <w:t>Yayasan Jurnal Perempuan: Jakarta.</w:t>
      </w:r>
      <w:r w:rsidRPr="00E211AD">
        <w:rPr>
          <w:rFonts w:ascii="Garamond" w:hAnsi="Garamond" w:cs="Garamond"/>
          <w:i/>
          <w:iCs/>
          <w:lang w:val="fi-FI"/>
        </w:rPr>
        <w:t xml:space="preserve"> </w:t>
      </w:r>
    </w:p>
    <w:p w:rsidR="00426C13" w:rsidRPr="00E211AD" w:rsidRDefault="00426C13" w:rsidP="00426C13">
      <w:pPr>
        <w:spacing w:after="0" w:line="240" w:lineRule="auto"/>
        <w:rPr>
          <w:rFonts w:ascii="Garamond" w:hAnsi="Garamond" w:cs="Garamond"/>
        </w:rPr>
      </w:pPr>
      <w:r w:rsidRPr="00E211AD">
        <w:rPr>
          <w:rFonts w:ascii="Garamond" w:hAnsi="Garamond" w:cs="Garamond"/>
          <w:b/>
          <w:bCs/>
          <w:lang w:val="fi-FI"/>
        </w:rPr>
        <w:t>Brown, Marry E</w:t>
      </w:r>
      <w:r w:rsidRPr="00E211AD">
        <w:rPr>
          <w:rFonts w:ascii="Garamond" w:hAnsi="Garamond" w:cs="Garamond"/>
          <w:lang w:val="fi-FI"/>
        </w:rPr>
        <w:t xml:space="preserve">. 1990. </w:t>
      </w:r>
      <w:r w:rsidRPr="00E211AD">
        <w:rPr>
          <w:rFonts w:ascii="Garamond" w:hAnsi="Garamond" w:cs="Garamond"/>
          <w:i/>
          <w:iCs/>
          <w:lang w:val="fi-FI"/>
        </w:rPr>
        <w:t>Television and Woman Culture</w:t>
      </w:r>
      <w:r w:rsidRPr="00E211AD">
        <w:rPr>
          <w:rFonts w:ascii="Garamond" w:hAnsi="Garamond" w:cs="Garamond"/>
          <w:lang w:val="fi-FI"/>
        </w:rPr>
        <w:t xml:space="preserve">. </w:t>
      </w:r>
      <w:r w:rsidRPr="00E211AD">
        <w:rPr>
          <w:rFonts w:ascii="Garamond" w:hAnsi="Garamond" w:cs="Garamond"/>
        </w:rPr>
        <w:t>SAGE Publication: London</w:t>
      </w:r>
    </w:p>
    <w:p w:rsidR="00426C13" w:rsidRPr="00E211AD" w:rsidRDefault="00426C13" w:rsidP="00426C13">
      <w:pPr>
        <w:spacing w:after="0" w:line="240" w:lineRule="auto"/>
        <w:jc w:val="both"/>
        <w:rPr>
          <w:rFonts w:ascii="Garamond" w:hAnsi="Garamond" w:cs="Garamond"/>
        </w:rPr>
      </w:pPr>
      <w:r w:rsidRPr="00E211AD">
        <w:rPr>
          <w:rFonts w:ascii="Garamond" w:hAnsi="Garamond" w:cs="Garamond"/>
          <w:b/>
          <w:bCs/>
        </w:rPr>
        <w:t>Golding, Peter &amp; Graham Murdock</w:t>
      </w:r>
      <w:r w:rsidRPr="00E211AD">
        <w:rPr>
          <w:rFonts w:ascii="Garamond" w:hAnsi="Garamond" w:cs="Garamond"/>
        </w:rPr>
        <w:t xml:space="preserve">, Editor. 1997. </w:t>
      </w:r>
      <w:r w:rsidRPr="00E211AD">
        <w:rPr>
          <w:rFonts w:ascii="Garamond" w:hAnsi="Garamond" w:cs="Garamond"/>
          <w:i/>
          <w:iCs/>
        </w:rPr>
        <w:t>The Political Economy Of The Media</w:t>
      </w:r>
      <w:r w:rsidRPr="00E211AD">
        <w:rPr>
          <w:rFonts w:ascii="Garamond" w:hAnsi="Garamond" w:cs="Garamond"/>
        </w:rPr>
        <w:t>. Vol.I</w:t>
      </w:r>
    </w:p>
    <w:p w:rsidR="00426C13" w:rsidRPr="00E211AD" w:rsidRDefault="00426C13" w:rsidP="00426C13">
      <w:pPr>
        <w:spacing w:after="0" w:line="240" w:lineRule="auto"/>
        <w:jc w:val="both"/>
        <w:rPr>
          <w:rFonts w:ascii="Garamond" w:hAnsi="Garamond" w:cs="Garamond"/>
        </w:rPr>
      </w:pPr>
      <w:r w:rsidRPr="00E211AD">
        <w:rPr>
          <w:rFonts w:ascii="Garamond" w:hAnsi="Garamond" w:cs="Garamond"/>
          <w:b/>
          <w:bCs/>
        </w:rPr>
        <w:t>----------------</w:t>
      </w:r>
      <w:r w:rsidRPr="00E211AD">
        <w:rPr>
          <w:rFonts w:ascii="Garamond" w:hAnsi="Garamond" w:cs="Garamond"/>
        </w:rPr>
        <w:t xml:space="preserve">, 1991. </w:t>
      </w:r>
      <w:r w:rsidRPr="00E211AD">
        <w:rPr>
          <w:rFonts w:ascii="Garamond" w:hAnsi="Garamond" w:cs="Garamond"/>
          <w:i/>
          <w:iCs/>
        </w:rPr>
        <w:t xml:space="preserve">Culture, Communication, and Political Economy. </w:t>
      </w:r>
      <w:r w:rsidRPr="00E211AD">
        <w:rPr>
          <w:rFonts w:ascii="Garamond" w:hAnsi="Garamond" w:cs="Garamond"/>
        </w:rPr>
        <w:t xml:space="preserve">Dalam James Curran dan </w:t>
      </w:r>
    </w:p>
    <w:p w:rsidR="00426C13" w:rsidRPr="00E211AD" w:rsidRDefault="00426C13" w:rsidP="00426C13">
      <w:pPr>
        <w:spacing w:after="0" w:line="240" w:lineRule="auto"/>
        <w:ind w:firstLine="720"/>
        <w:jc w:val="both"/>
        <w:rPr>
          <w:rFonts w:ascii="Garamond" w:hAnsi="Garamond" w:cs="Garamond"/>
          <w:i/>
          <w:iCs/>
        </w:rPr>
      </w:pPr>
      <w:r w:rsidRPr="00E211AD">
        <w:rPr>
          <w:rFonts w:ascii="Garamond" w:hAnsi="Garamond" w:cs="Garamond"/>
        </w:rPr>
        <w:t xml:space="preserve">Michael Gurevitch (eds.), </w:t>
      </w:r>
      <w:r w:rsidRPr="00E211AD">
        <w:rPr>
          <w:rFonts w:ascii="Garamond" w:hAnsi="Garamond" w:cs="Garamond"/>
          <w:i/>
          <w:iCs/>
        </w:rPr>
        <w:t xml:space="preserve">Mass Media and Society. </w:t>
      </w:r>
      <w:r w:rsidRPr="00E211AD">
        <w:rPr>
          <w:rFonts w:ascii="Garamond" w:hAnsi="Garamond" w:cs="Garamond"/>
        </w:rPr>
        <w:t>Edward Arnold: London.</w:t>
      </w:r>
    </w:p>
    <w:p w:rsidR="00426C13" w:rsidRPr="00E211AD" w:rsidRDefault="00426C13" w:rsidP="00426C13">
      <w:pPr>
        <w:tabs>
          <w:tab w:val="left" w:pos="900"/>
        </w:tabs>
        <w:spacing w:after="0" w:line="240" w:lineRule="auto"/>
        <w:jc w:val="both"/>
        <w:rPr>
          <w:rFonts w:ascii="Garamond" w:hAnsi="Garamond" w:cs="Garamond"/>
          <w:i/>
          <w:iCs/>
          <w:lang w:val="es-ES"/>
        </w:rPr>
      </w:pPr>
      <w:r w:rsidRPr="00E211AD">
        <w:rPr>
          <w:rFonts w:ascii="Garamond" w:hAnsi="Garamond" w:cs="Garamond"/>
          <w:b/>
          <w:bCs/>
        </w:rPr>
        <w:t>Ibrahim, Idi Subandy dan Deddy Mulyana.</w:t>
      </w:r>
      <w:r w:rsidRPr="00E211AD">
        <w:rPr>
          <w:rFonts w:ascii="Garamond" w:hAnsi="Garamond" w:cs="Garamond"/>
        </w:rPr>
        <w:t xml:space="preserve"> </w:t>
      </w:r>
      <w:r w:rsidRPr="00E211AD">
        <w:rPr>
          <w:rFonts w:ascii="Garamond" w:hAnsi="Garamond" w:cs="Garamond"/>
          <w:lang w:val="es-ES"/>
        </w:rPr>
        <w:t xml:space="preserve">1997. </w:t>
      </w:r>
      <w:r w:rsidRPr="00E211AD">
        <w:rPr>
          <w:rFonts w:ascii="Garamond" w:hAnsi="Garamond" w:cs="Garamond"/>
          <w:i/>
          <w:iCs/>
          <w:lang w:val="es-ES"/>
        </w:rPr>
        <w:t xml:space="preserve">Bercinta dengan Televisi Ilusi, Impresi dan </w:t>
      </w:r>
    </w:p>
    <w:p w:rsidR="00426C13" w:rsidRPr="00E211AD" w:rsidRDefault="00426C13" w:rsidP="00426C13">
      <w:pPr>
        <w:tabs>
          <w:tab w:val="left" w:pos="900"/>
        </w:tabs>
        <w:spacing w:after="0" w:line="240" w:lineRule="auto"/>
        <w:jc w:val="both"/>
        <w:rPr>
          <w:rFonts w:ascii="Garamond" w:hAnsi="Garamond" w:cs="Garamond"/>
          <w:lang w:val="es-ES"/>
        </w:rPr>
      </w:pPr>
      <w:r w:rsidRPr="00E211AD">
        <w:rPr>
          <w:rFonts w:ascii="Garamond" w:hAnsi="Garamond" w:cs="Garamond"/>
          <w:i/>
          <w:iCs/>
          <w:lang w:val="es-ES"/>
        </w:rPr>
        <w:tab/>
        <w:t xml:space="preserve">Imagi Sebuah Kotak Ajaib. </w:t>
      </w:r>
      <w:r w:rsidRPr="00E211AD">
        <w:rPr>
          <w:rFonts w:ascii="Garamond" w:hAnsi="Garamond" w:cs="Garamond"/>
          <w:lang w:val="es-ES"/>
        </w:rPr>
        <w:t xml:space="preserve">Remaja Rosdakarya : Bandung. </w:t>
      </w:r>
    </w:p>
    <w:p w:rsidR="00426C13" w:rsidRPr="00E211AD" w:rsidRDefault="00426C13" w:rsidP="00426C13">
      <w:pPr>
        <w:spacing w:after="0" w:line="240" w:lineRule="auto"/>
        <w:rPr>
          <w:rFonts w:ascii="Garamond" w:hAnsi="Garamond" w:cs="Garamond"/>
          <w:i/>
          <w:iCs/>
          <w:lang w:val="es-ES"/>
        </w:rPr>
      </w:pPr>
      <w:r w:rsidRPr="00E211AD">
        <w:rPr>
          <w:rFonts w:ascii="Garamond" w:hAnsi="Garamond" w:cs="Garamond"/>
          <w:b/>
          <w:bCs/>
          <w:lang w:val="es-ES"/>
        </w:rPr>
        <w:t>Ibrahim,Idi Subandi &amp; Hanif Suranto</w:t>
      </w:r>
      <w:r w:rsidRPr="00E211AD">
        <w:rPr>
          <w:rFonts w:ascii="Garamond" w:hAnsi="Garamond" w:cs="Garamond"/>
          <w:lang w:val="es-ES"/>
        </w:rPr>
        <w:t xml:space="preserve">. 1998. </w:t>
      </w:r>
      <w:r w:rsidRPr="00E211AD">
        <w:rPr>
          <w:rFonts w:ascii="Garamond" w:hAnsi="Garamond" w:cs="Garamond"/>
          <w:i/>
          <w:iCs/>
          <w:lang w:val="es-ES"/>
        </w:rPr>
        <w:t xml:space="preserve">Wanita dan Media: Konstruksi Ideologi </w:t>
      </w:r>
    </w:p>
    <w:p w:rsidR="00426C13" w:rsidRPr="00E211AD" w:rsidRDefault="00426C13" w:rsidP="00426C13">
      <w:pPr>
        <w:spacing w:after="0" w:line="240" w:lineRule="auto"/>
        <w:ind w:firstLine="720"/>
        <w:rPr>
          <w:rFonts w:ascii="Garamond" w:hAnsi="Garamond" w:cs="Garamond"/>
          <w:lang w:val="sv-SE"/>
        </w:rPr>
      </w:pPr>
      <w:r w:rsidRPr="00E211AD">
        <w:rPr>
          <w:rFonts w:ascii="Garamond" w:hAnsi="Garamond" w:cs="Garamond"/>
          <w:i/>
          <w:iCs/>
          <w:lang w:val="sv-SE"/>
        </w:rPr>
        <w:t xml:space="preserve">Gender dalam Ruang Publik Orde Baru. </w:t>
      </w:r>
      <w:r w:rsidRPr="00E211AD">
        <w:rPr>
          <w:rFonts w:ascii="Garamond" w:hAnsi="Garamond" w:cs="Garamond"/>
          <w:lang w:val="sv-SE"/>
        </w:rPr>
        <w:t>Remaja Rosdakarya : Bandung.</w:t>
      </w:r>
    </w:p>
    <w:p w:rsidR="00426C13" w:rsidRPr="00E211AD" w:rsidRDefault="00426C13" w:rsidP="00426C13">
      <w:pPr>
        <w:spacing w:after="0" w:line="240" w:lineRule="auto"/>
        <w:jc w:val="both"/>
        <w:rPr>
          <w:rFonts w:ascii="Garamond" w:hAnsi="Garamond" w:cs="Garamond"/>
          <w:i/>
          <w:iCs/>
          <w:lang w:val="sv-SE"/>
        </w:rPr>
      </w:pPr>
      <w:r w:rsidRPr="00E211AD">
        <w:rPr>
          <w:rFonts w:ascii="Garamond" w:hAnsi="Garamond" w:cs="Garamond"/>
          <w:b/>
          <w:bCs/>
          <w:lang w:val="sv-SE"/>
        </w:rPr>
        <w:t>Ibrahim, Idi Subandy,</w:t>
      </w:r>
      <w:r w:rsidRPr="00E211AD">
        <w:rPr>
          <w:rFonts w:ascii="Garamond" w:hAnsi="Garamond" w:cs="Garamond"/>
          <w:lang w:val="sv-SE"/>
        </w:rPr>
        <w:t xml:space="preserve"> ed. 1997. </w:t>
      </w:r>
      <w:r w:rsidRPr="00E211AD">
        <w:rPr>
          <w:rFonts w:ascii="Garamond" w:hAnsi="Garamond" w:cs="Garamond"/>
          <w:i/>
          <w:iCs/>
          <w:lang w:val="sv-SE"/>
        </w:rPr>
        <w:t xml:space="preserve">Ecstacy Gaya Hidup : Kebudyaan Pop Dalam Masyarakat </w:t>
      </w:r>
    </w:p>
    <w:p w:rsidR="00426C13" w:rsidRPr="00E211AD" w:rsidRDefault="00426C13" w:rsidP="00426C13">
      <w:pPr>
        <w:spacing w:after="0" w:line="240" w:lineRule="auto"/>
        <w:ind w:firstLine="720"/>
        <w:jc w:val="both"/>
        <w:rPr>
          <w:rFonts w:ascii="Garamond" w:hAnsi="Garamond" w:cs="Garamond"/>
          <w:lang w:val="sv-SE"/>
        </w:rPr>
      </w:pPr>
      <w:r w:rsidRPr="00E211AD">
        <w:rPr>
          <w:rFonts w:ascii="Garamond" w:hAnsi="Garamond" w:cs="Garamond"/>
          <w:i/>
          <w:iCs/>
          <w:lang w:val="sv-SE"/>
        </w:rPr>
        <w:t>Komoditas Indonesia</w:t>
      </w:r>
      <w:r w:rsidRPr="00E211AD">
        <w:rPr>
          <w:rFonts w:ascii="Garamond" w:hAnsi="Garamond" w:cs="Garamond"/>
          <w:lang w:val="sv-SE"/>
        </w:rPr>
        <w:t xml:space="preserve">. Mizan Kronik Indonesia Baru : Bandung. </w:t>
      </w:r>
    </w:p>
    <w:p w:rsidR="00426C13" w:rsidRPr="00E211AD" w:rsidRDefault="00426C13" w:rsidP="00426C13">
      <w:pPr>
        <w:spacing w:after="0" w:line="240" w:lineRule="auto"/>
        <w:jc w:val="both"/>
        <w:rPr>
          <w:rFonts w:ascii="Garamond" w:hAnsi="Garamond" w:cs="Garamond"/>
          <w:lang w:val="sv-SE"/>
        </w:rPr>
      </w:pPr>
      <w:r w:rsidRPr="00E211AD">
        <w:rPr>
          <w:rFonts w:ascii="Garamond" w:hAnsi="Garamond" w:cs="Garamond"/>
          <w:b/>
          <w:bCs/>
          <w:lang w:val="sv-SE"/>
        </w:rPr>
        <w:t>Illich, Ivan.</w:t>
      </w:r>
      <w:r w:rsidRPr="00E211AD">
        <w:rPr>
          <w:rFonts w:ascii="Garamond" w:hAnsi="Garamond" w:cs="Garamond"/>
          <w:lang w:val="sv-SE"/>
        </w:rPr>
        <w:t xml:space="preserve"> </w:t>
      </w:r>
      <w:r w:rsidRPr="00E211AD">
        <w:rPr>
          <w:rFonts w:ascii="Garamond" w:hAnsi="Garamond" w:cs="Garamond"/>
          <w:i/>
          <w:iCs/>
          <w:lang w:val="sv-SE"/>
        </w:rPr>
        <w:t xml:space="preserve">Menggugat Kaum Kapitalis. </w:t>
      </w:r>
      <w:r w:rsidRPr="00E211AD">
        <w:rPr>
          <w:rFonts w:ascii="Garamond" w:hAnsi="Garamond" w:cs="Garamond"/>
          <w:lang w:val="sv-SE"/>
        </w:rPr>
        <w:t>Melibas, Jakarta. 2001.</w:t>
      </w:r>
    </w:p>
    <w:p w:rsidR="00426C13" w:rsidRPr="00E211AD" w:rsidRDefault="00426C13" w:rsidP="00426C13">
      <w:pPr>
        <w:spacing w:after="0" w:line="240" w:lineRule="auto"/>
        <w:rPr>
          <w:rFonts w:ascii="Garamond" w:hAnsi="Garamond" w:cs="Garamond"/>
        </w:rPr>
      </w:pPr>
      <w:r w:rsidRPr="00E211AD">
        <w:rPr>
          <w:rFonts w:ascii="Garamond" w:hAnsi="Garamond" w:cs="Garamond"/>
          <w:b/>
          <w:bCs/>
          <w:lang w:val="sv-SE"/>
        </w:rPr>
        <w:t>Kasali, Renald</w:t>
      </w:r>
      <w:r w:rsidRPr="00E211AD">
        <w:rPr>
          <w:rFonts w:ascii="Garamond" w:hAnsi="Garamond" w:cs="Garamond"/>
          <w:lang w:val="sv-SE"/>
        </w:rPr>
        <w:t xml:space="preserve">. </w:t>
      </w:r>
      <w:r w:rsidRPr="00E211AD">
        <w:rPr>
          <w:rFonts w:ascii="Garamond" w:hAnsi="Garamond" w:cs="Garamond"/>
          <w:i/>
          <w:iCs/>
        </w:rPr>
        <w:t>Membidik Pasar Indonesia: Segmentasi, Targeting, Positioning</w:t>
      </w:r>
      <w:r w:rsidRPr="00E211AD">
        <w:rPr>
          <w:rFonts w:ascii="Garamond" w:hAnsi="Garamond" w:cs="Garamond"/>
        </w:rPr>
        <w:t xml:space="preserve">. PT Gramedia </w:t>
      </w:r>
    </w:p>
    <w:p w:rsidR="00426C13" w:rsidRPr="00E211AD" w:rsidRDefault="00426C13" w:rsidP="00426C13">
      <w:pPr>
        <w:spacing w:after="0" w:line="240" w:lineRule="auto"/>
        <w:ind w:firstLine="720"/>
        <w:rPr>
          <w:rFonts w:ascii="Garamond" w:hAnsi="Garamond" w:cs="Garamond"/>
          <w:lang w:val="fi-FI"/>
        </w:rPr>
      </w:pPr>
      <w:r w:rsidRPr="00E211AD">
        <w:rPr>
          <w:rFonts w:ascii="Garamond" w:hAnsi="Garamond" w:cs="Garamond"/>
          <w:lang w:val="fi-FI"/>
        </w:rPr>
        <w:t>Pustaka Utama: Jakarta.</w:t>
      </w:r>
    </w:p>
    <w:p w:rsidR="00426C13" w:rsidRPr="00E211AD" w:rsidRDefault="00426C13" w:rsidP="00426C13">
      <w:pPr>
        <w:tabs>
          <w:tab w:val="left" w:pos="900"/>
        </w:tabs>
        <w:spacing w:after="0" w:line="240" w:lineRule="auto"/>
        <w:jc w:val="both"/>
        <w:rPr>
          <w:rFonts w:ascii="Garamond" w:hAnsi="Garamond" w:cs="Garamond"/>
        </w:rPr>
      </w:pPr>
      <w:r w:rsidRPr="00E211AD">
        <w:rPr>
          <w:rFonts w:ascii="Garamond" w:hAnsi="Garamond" w:cs="Garamond"/>
          <w:b/>
          <w:bCs/>
        </w:rPr>
        <w:t>McQuails, Dennis</w:t>
      </w:r>
      <w:r w:rsidRPr="00E211AD">
        <w:rPr>
          <w:rFonts w:ascii="Garamond" w:hAnsi="Garamond" w:cs="Garamond"/>
        </w:rPr>
        <w:t xml:space="preserve">. 2000. </w:t>
      </w:r>
      <w:r w:rsidRPr="00E211AD">
        <w:rPr>
          <w:rFonts w:ascii="Garamond" w:hAnsi="Garamond" w:cs="Garamond"/>
          <w:i/>
          <w:iCs/>
        </w:rPr>
        <w:t xml:space="preserve">Mass Communication Theory </w:t>
      </w:r>
      <w:r w:rsidRPr="00E211AD">
        <w:rPr>
          <w:rFonts w:ascii="Garamond" w:hAnsi="Garamond" w:cs="Garamond"/>
        </w:rPr>
        <w:t>4</w:t>
      </w:r>
      <w:r w:rsidRPr="00E211AD">
        <w:rPr>
          <w:rFonts w:ascii="Garamond" w:hAnsi="Garamond" w:cs="Garamond"/>
          <w:vertAlign w:val="superscript"/>
        </w:rPr>
        <w:t>th</w:t>
      </w:r>
      <w:r w:rsidRPr="00E211AD">
        <w:rPr>
          <w:rFonts w:ascii="Garamond" w:hAnsi="Garamond" w:cs="Garamond"/>
        </w:rPr>
        <w:t xml:space="preserve"> edition. Sage Publication: London.</w:t>
      </w:r>
    </w:p>
    <w:p w:rsidR="00426C13" w:rsidRPr="00E211AD" w:rsidRDefault="00426C13" w:rsidP="00426C13">
      <w:pPr>
        <w:spacing w:after="0" w:line="240" w:lineRule="auto"/>
        <w:jc w:val="both"/>
        <w:rPr>
          <w:rFonts w:ascii="Garamond" w:hAnsi="Garamond" w:cs="Garamond"/>
        </w:rPr>
      </w:pPr>
      <w:r w:rsidRPr="00E211AD">
        <w:rPr>
          <w:rFonts w:ascii="Garamond" w:hAnsi="Garamond" w:cs="Garamond"/>
          <w:b/>
          <w:bCs/>
        </w:rPr>
        <w:t>Moleong, Lexy J.</w:t>
      </w:r>
      <w:r w:rsidRPr="00E211AD">
        <w:rPr>
          <w:rFonts w:ascii="Garamond" w:hAnsi="Garamond" w:cs="Garamond"/>
        </w:rPr>
        <w:t xml:space="preserve">  </w:t>
      </w:r>
      <w:r w:rsidRPr="00E211AD">
        <w:rPr>
          <w:rFonts w:ascii="Garamond" w:hAnsi="Garamond" w:cs="Garamond"/>
          <w:i/>
          <w:iCs/>
          <w:lang w:val="sv-SE"/>
        </w:rPr>
        <w:t xml:space="preserve">Metode Penelitian Kualitatif. </w:t>
      </w:r>
      <w:r w:rsidRPr="00E211AD">
        <w:rPr>
          <w:rFonts w:ascii="Garamond" w:hAnsi="Garamond" w:cs="Garamond"/>
          <w:lang w:val="sv-SE"/>
        </w:rPr>
        <w:t xml:space="preserve">Remaja Rosdakarya, Bandung. </w:t>
      </w:r>
      <w:r w:rsidRPr="00E211AD">
        <w:rPr>
          <w:rFonts w:ascii="Garamond" w:hAnsi="Garamond" w:cs="Garamond"/>
        </w:rPr>
        <w:t>2002.</w:t>
      </w:r>
    </w:p>
    <w:p w:rsidR="00426C13" w:rsidRPr="00E211AD" w:rsidRDefault="00426C13" w:rsidP="00426C13">
      <w:pPr>
        <w:spacing w:after="0" w:line="240" w:lineRule="auto"/>
        <w:jc w:val="both"/>
        <w:rPr>
          <w:rFonts w:ascii="Garamond" w:hAnsi="Garamond" w:cs="Garamond"/>
        </w:rPr>
      </w:pPr>
      <w:r w:rsidRPr="00E211AD">
        <w:rPr>
          <w:rFonts w:ascii="Garamond" w:hAnsi="Garamond" w:cs="Garamond"/>
          <w:b/>
          <w:bCs/>
        </w:rPr>
        <w:t>Mosco, Vincent</w:t>
      </w:r>
      <w:r w:rsidRPr="00E211AD">
        <w:rPr>
          <w:rFonts w:ascii="Garamond" w:hAnsi="Garamond" w:cs="Garamond"/>
        </w:rPr>
        <w:t xml:space="preserve">. 1996. </w:t>
      </w:r>
      <w:r w:rsidRPr="00E211AD">
        <w:rPr>
          <w:rFonts w:ascii="Garamond" w:hAnsi="Garamond" w:cs="Garamond"/>
          <w:i/>
          <w:iCs/>
        </w:rPr>
        <w:t>The Political Economy of Comunication. Rethinking and Renewal</w:t>
      </w:r>
      <w:r w:rsidRPr="00E211AD">
        <w:rPr>
          <w:rFonts w:ascii="Garamond" w:hAnsi="Garamond" w:cs="Garamond"/>
        </w:rPr>
        <w:t xml:space="preserve">. Sage </w:t>
      </w:r>
    </w:p>
    <w:p w:rsidR="00426C13" w:rsidRPr="00E211AD" w:rsidRDefault="00426C13" w:rsidP="00426C13">
      <w:pPr>
        <w:spacing w:after="0" w:line="240" w:lineRule="auto"/>
        <w:ind w:firstLine="720"/>
        <w:jc w:val="both"/>
        <w:rPr>
          <w:rFonts w:ascii="Garamond" w:hAnsi="Garamond" w:cs="Garamond"/>
        </w:rPr>
      </w:pPr>
      <w:r w:rsidRPr="00E211AD">
        <w:rPr>
          <w:rFonts w:ascii="Garamond" w:hAnsi="Garamond" w:cs="Garamond"/>
        </w:rPr>
        <w:t>Publication: London.</w:t>
      </w:r>
    </w:p>
    <w:p w:rsidR="00426C13" w:rsidRPr="00E211AD" w:rsidRDefault="00426C13" w:rsidP="00426C13">
      <w:pPr>
        <w:spacing w:after="0" w:line="240" w:lineRule="auto"/>
        <w:rPr>
          <w:rFonts w:ascii="Garamond" w:hAnsi="Garamond" w:cs="Garamond"/>
        </w:rPr>
      </w:pPr>
      <w:r w:rsidRPr="00E211AD">
        <w:rPr>
          <w:rFonts w:ascii="Garamond" w:hAnsi="Garamond" w:cs="Garamond"/>
          <w:b/>
          <w:bCs/>
        </w:rPr>
        <w:t>Murdock, Graham &amp; Peter Golding</w:t>
      </w:r>
      <w:r w:rsidRPr="00E211AD">
        <w:rPr>
          <w:rFonts w:ascii="Garamond" w:hAnsi="Garamond" w:cs="Garamond"/>
        </w:rPr>
        <w:t xml:space="preserve">. 1995. </w:t>
      </w:r>
      <w:r w:rsidRPr="00E211AD">
        <w:rPr>
          <w:rFonts w:ascii="Garamond" w:hAnsi="Garamond" w:cs="Garamond"/>
          <w:i/>
          <w:iCs/>
        </w:rPr>
        <w:t>For a Political Economy of Mass Communication</w:t>
      </w:r>
      <w:r w:rsidRPr="00E211AD">
        <w:rPr>
          <w:rFonts w:ascii="Garamond" w:hAnsi="Garamond" w:cs="Garamond"/>
        </w:rPr>
        <w:t xml:space="preserve">, </w:t>
      </w:r>
    </w:p>
    <w:p w:rsidR="00426C13" w:rsidRPr="00E211AD" w:rsidRDefault="00426C13" w:rsidP="00426C13">
      <w:pPr>
        <w:spacing w:after="0" w:line="240" w:lineRule="auto"/>
        <w:ind w:left="720"/>
        <w:rPr>
          <w:rFonts w:ascii="Garamond" w:hAnsi="Garamond" w:cs="Garamond"/>
        </w:rPr>
      </w:pPr>
      <w:r w:rsidRPr="00E211AD">
        <w:rPr>
          <w:rFonts w:ascii="Garamond" w:hAnsi="Garamond" w:cs="Garamond"/>
        </w:rPr>
        <w:t xml:space="preserve">dalam Oliver Boyd-Barret &amp; Chris Newbold (ed) </w:t>
      </w:r>
      <w:r w:rsidRPr="00E211AD">
        <w:rPr>
          <w:rFonts w:ascii="Garamond" w:hAnsi="Garamond" w:cs="Garamond"/>
          <w:i/>
          <w:iCs/>
        </w:rPr>
        <w:t>Approaches to Media : A Reader</w:t>
      </w:r>
      <w:r w:rsidRPr="00E211AD">
        <w:rPr>
          <w:rFonts w:ascii="Garamond" w:hAnsi="Garamond" w:cs="Garamond"/>
        </w:rPr>
        <w:t xml:space="preserve">. Arnold Publication: London. </w:t>
      </w:r>
    </w:p>
    <w:p w:rsidR="00426C13" w:rsidRPr="00E211AD" w:rsidRDefault="00426C13" w:rsidP="00426C13">
      <w:pPr>
        <w:spacing w:after="0" w:line="240" w:lineRule="auto"/>
        <w:jc w:val="both"/>
        <w:rPr>
          <w:rFonts w:ascii="Garamond" w:hAnsi="Garamond" w:cs="Garamond"/>
        </w:rPr>
      </w:pPr>
      <w:r w:rsidRPr="00E211AD">
        <w:rPr>
          <w:rFonts w:ascii="Garamond" w:hAnsi="Garamond" w:cs="Garamond"/>
          <w:b/>
          <w:bCs/>
        </w:rPr>
        <w:t>Newbold, Chris</w:t>
      </w:r>
      <w:r w:rsidRPr="00E211AD">
        <w:rPr>
          <w:rFonts w:ascii="Garamond" w:hAnsi="Garamond" w:cs="Garamond"/>
        </w:rPr>
        <w:t xml:space="preserve">. </w:t>
      </w:r>
      <w:r w:rsidRPr="00E211AD">
        <w:rPr>
          <w:rFonts w:ascii="Garamond" w:hAnsi="Garamond" w:cs="Garamond"/>
          <w:i/>
          <w:iCs/>
        </w:rPr>
        <w:t>Feminist Studies of The Media.</w:t>
      </w:r>
      <w:r w:rsidRPr="00E211AD">
        <w:rPr>
          <w:rFonts w:ascii="Garamond" w:hAnsi="Garamond" w:cs="Garamond"/>
        </w:rPr>
        <w:t xml:space="preserve"> Dalam Oliver Boyd-Barret and Chris </w:t>
      </w:r>
    </w:p>
    <w:p w:rsidR="00426C13" w:rsidRPr="00E211AD" w:rsidRDefault="00426C13" w:rsidP="00426C13">
      <w:pPr>
        <w:spacing w:after="0" w:line="240" w:lineRule="auto"/>
        <w:ind w:firstLine="720"/>
        <w:jc w:val="both"/>
        <w:rPr>
          <w:rFonts w:ascii="Garamond" w:hAnsi="Garamond" w:cs="Garamond"/>
          <w:lang w:val="fi-FI"/>
        </w:rPr>
      </w:pPr>
      <w:r w:rsidRPr="00E211AD">
        <w:rPr>
          <w:rFonts w:ascii="Garamond" w:hAnsi="Garamond" w:cs="Garamond"/>
        </w:rPr>
        <w:t xml:space="preserve">Newbold. 1995. Approaches to Media: A Reader. </w:t>
      </w:r>
      <w:r w:rsidRPr="00E211AD">
        <w:rPr>
          <w:rFonts w:ascii="Garamond" w:hAnsi="Garamond" w:cs="Garamond"/>
          <w:lang w:val="fi-FI"/>
        </w:rPr>
        <w:t>Arnold: London.</w:t>
      </w:r>
    </w:p>
    <w:p w:rsidR="00426C13" w:rsidRPr="00E211AD" w:rsidRDefault="00426C13" w:rsidP="00426C13">
      <w:pPr>
        <w:spacing w:after="0" w:line="240" w:lineRule="auto"/>
        <w:jc w:val="both"/>
        <w:rPr>
          <w:rFonts w:ascii="Garamond" w:hAnsi="Garamond" w:cs="Garamond"/>
          <w:lang w:val="fi-FI"/>
        </w:rPr>
      </w:pPr>
      <w:r w:rsidRPr="00E211AD">
        <w:rPr>
          <w:rFonts w:ascii="Garamond" w:hAnsi="Garamond" w:cs="Garamond"/>
          <w:b/>
          <w:bCs/>
          <w:lang w:val="fi-FI"/>
        </w:rPr>
        <w:t>Nugroho, Garin</w:t>
      </w:r>
      <w:r w:rsidRPr="00E211AD">
        <w:rPr>
          <w:rFonts w:ascii="Garamond" w:hAnsi="Garamond" w:cs="Garamond"/>
          <w:lang w:val="fi-FI"/>
        </w:rPr>
        <w:t xml:space="preserve">. 2004. </w:t>
      </w:r>
      <w:r w:rsidRPr="00E211AD">
        <w:rPr>
          <w:rFonts w:ascii="Garamond" w:hAnsi="Garamond" w:cs="Garamond"/>
          <w:i/>
          <w:iCs/>
          <w:lang w:val="fi-FI"/>
        </w:rPr>
        <w:t>Opera sabun SBY : Televisi dan Komunikasi Politik</w:t>
      </w:r>
      <w:r w:rsidRPr="00E211AD">
        <w:rPr>
          <w:rFonts w:ascii="Garamond" w:hAnsi="Garamond" w:cs="Garamond"/>
          <w:lang w:val="fi-FI"/>
        </w:rPr>
        <w:t>. Nastiti: Jakarta.</w:t>
      </w:r>
    </w:p>
    <w:p w:rsidR="00426C13" w:rsidRPr="00E211AD" w:rsidRDefault="00426C13" w:rsidP="00426C13">
      <w:pPr>
        <w:spacing w:after="0" w:line="240" w:lineRule="auto"/>
        <w:rPr>
          <w:rFonts w:ascii="Garamond" w:hAnsi="Garamond" w:cs="Garamond"/>
        </w:rPr>
      </w:pPr>
      <w:r w:rsidRPr="00E211AD">
        <w:rPr>
          <w:rFonts w:ascii="Garamond" w:hAnsi="Garamond" w:cs="Garamond"/>
          <w:b/>
          <w:bCs/>
        </w:rPr>
        <w:t>Van Zoonen, Liesbeth</w:t>
      </w:r>
      <w:r w:rsidRPr="00E211AD">
        <w:rPr>
          <w:rFonts w:ascii="Garamond" w:hAnsi="Garamond" w:cs="Garamond"/>
        </w:rPr>
        <w:t xml:space="preserve"> . 1991. </w:t>
      </w:r>
      <w:r w:rsidRPr="00E211AD">
        <w:rPr>
          <w:rFonts w:ascii="Garamond" w:hAnsi="Garamond" w:cs="Garamond"/>
          <w:i/>
          <w:iCs/>
        </w:rPr>
        <w:t>Feminist Perspective On The Media</w:t>
      </w:r>
      <w:r w:rsidRPr="00E211AD">
        <w:rPr>
          <w:rFonts w:ascii="Garamond" w:hAnsi="Garamond" w:cs="Garamond"/>
        </w:rPr>
        <w:t xml:space="preserve"> dalam Curran, James and </w:t>
      </w:r>
    </w:p>
    <w:p w:rsidR="00426C13" w:rsidRPr="00E211AD" w:rsidRDefault="00426C13" w:rsidP="00426C13">
      <w:pPr>
        <w:spacing w:after="0" w:line="240" w:lineRule="auto"/>
        <w:ind w:firstLine="720"/>
        <w:rPr>
          <w:rFonts w:ascii="Garamond" w:hAnsi="Garamond" w:cs="Garamond"/>
        </w:rPr>
      </w:pPr>
      <w:r w:rsidRPr="00E211AD">
        <w:rPr>
          <w:rFonts w:ascii="Garamond" w:hAnsi="Garamond" w:cs="Garamond"/>
        </w:rPr>
        <w:t xml:space="preserve">Michael Gurevitch. </w:t>
      </w:r>
      <w:r w:rsidRPr="00E211AD">
        <w:rPr>
          <w:rFonts w:ascii="Garamond" w:hAnsi="Garamond" w:cs="Garamond"/>
          <w:i/>
          <w:iCs/>
        </w:rPr>
        <w:t>Mass Media and Society.</w:t>
      </w:r>
      <w:r w:rsidRPr="00E211AD">
        <w:rPr>
          <w:rFonts w:ascii="Garamond" w:hAnsi="Garamond" w:cs="Garamond"/>
        </w:rPr>
        <w:t xml:space="preserve"> Edward Arnold: London. </w:t>
      </w:r>
    </w:p>
    <w:p w:rsidR="00426C13" w:rsidRPr="00E211AD" w:rsidRDefault="00426C13" w:rsidP="00426C13">
      <w:pPr>
        <w:spacing w:after="0" w:line="240" w:lineRule="auto"/>
        <w:ind w:left="720" w:hanging="720"/>
        <w:jc w:val="both"/>
        <w:rPr>
          <w:rFonts w:ascii="Garamond" w:hAnsi="Garamond" w:cs="Garamond"/>
          <w:lang w:val="es-ES"/>
        </w:rPr>
      </w:pPr>
      <w:r w:rsidRPr="00E211AD">
        <w:rPr>
          <w:rFonts w:ascii="Garamond" w:hAnsi="Garamond" w:cs="Garamond"/>
          <w:b/>
          <w:bCs/>
          <w:lang w:val="es-ES"/>
        </w:rPr>
        <w:t>Armando, Ade.</w:t>
      </w:r>
      <w:r w:rsidRPr="00E211AD">
        <w:rPr>
          <w:rFonts w:ascii="Garamond" w:hAnsi="Garamond" w:cs="Garamond"/>
          <w:lang w:val="es-ES"/>
        </w:rPr>
        <w:t xml:space="preserve"> </w:t>
      </w:r>
      <w:r w:rsidRPr="00E211AD">
        <w:rPr>
          <w:rFonts w:ascii="Garamond" w:hAnsi="Garamond" w:cs="Garamond"/>
          <w:i/>
          <w:iCs/>
          <w:lang w:val="es-ES"/>
        </w:rPr>
        <w:t>Perempuan di Media: Rupawan, Aduhai, Manja</w:t>
      </w:r>
      <w:r w:rsidRPr="00E211AD">
        <w:rPr>
          <w:rFonts w:ascii="Garamond" w:hAnsi="Garamond" w:cs="Garamond"/>
          <w:lang w:val="es-ES"/>
        </w:rPr>
        <w:t>. Jurnal Perempuan 13, 2000.</w:t>
      </w:r>
    </w:p>
    <w:p w:rsidR="00426C13" w:rsidRPr="00E211AD" w:rsidRDefault="00426C13" w:rsidP="00426C13">
      <w:pPr>
        <w:spacing w:after="0" w:line="240" w:lineRule="auto"/>
        <w:ind w:left="720" w:hanging="720"/>
        <w:jc w:val="both"/>
        <w:rPr>
          <w:rFonts w:ascii="Garamond" w:hAnsi="Garamond" w:cs="Garamond"/>
          <w:lang w:val="es-ES"/>
        </w:rPr>
      </w:pPr>
      <w:r w:rsidRPr="00E211AD">
        <w:rPr>
          <w:rFonts w:ascii="Garamond" w:hAnsi="Garamond" w:cs="Garamond"/>
          <w:b/>
          <w:bCs/>
          <w:lang w:val="es-ES"/>
        </w:rPr>
        <w:t>Tri Hastuti, Nur R.</w:t>
      </w:r>
      <w:r w:rsidRPr="00E211AD">
        <w:rPr>
          <w:rFonts w:ascii="Garamond" w:hAnsi="Garamond" w:cs="Garamond"/>
          <w:lang w:val="es-ES"/>
        </w:rPr>
        <w:t xml:space="preserve"> </w:t>
      </w:r>
      <w:r w:rsidRPr="00E211AD">
        <w:rPr>
          <w:rFonts w:ascii="Garamond" w:hAnsi="Garamond" w:cs="Garamond"/>
          <w:i/>
          <w:iCs/>
          <w:lang w:val="es-ES"/>
        </w:rPr>
        <w:t xml:space="preserve">Stereotipe dan Komoditas Perempuan Dalam Iklan. </w:t>
      </w:r>
      <w:r w:rsidRPr="00E211AD">
        <w:rPr>
          <w:rFonts w:ascii="Garamond" w:hAnsi="Garamond" w:cs="Garamond"/>
          <w:lang w:val="es-ES"/>
        </w:rPr>
        <w:t>Jurnal Perempuan 28, 2003.</w:t>
      </w:r>
    </w:p>
    <w:p w:rsidR="00426C13" w:rsidRPr="00E211AD" w:rsidRDefault="00426C13" w:rsidP="00426C13">
      <w:pPr>
        <w:spacing w:after="0" w:line="240" w:lineRule="auto"/>
        <w:ind w:left="720" w:hanging="720"/>
        <w:jc w:val="both"/>
        <w:rPr>
          <w:rFonts w:ascii="Garamond" w:hAnsi="Garamond" w:cs="Garamond"/>
          <w:lang w:val="es-ES"/>
        </w:rPr>
      </w:pPr>
      <w:r w:rsidRPr="00E211AD">
        <w:rPr>
          <w:rFonts w:ascii="Garamond" w:hAnsi="Garamond" w:cs="Garamond"/>
          <w:b/>
          <w:bCs/>
          <w:lang w:val="es-ES"/>
        </w:rPr>
        <w:t>Yatim, Debra.</w:t>
      </w:r>
      <w:r w:rsidRPr="00E211AD">
        <w:rPr>
          <w:rFonts w:ascii="Garamond" w:hAnsi="Garamond" w:cs="Garamond"/>
          <w:lang w:val="es-ES"/>
        </w:rPr>
        <w:t xml:space="preserve"> </w:t>
      </w:r>
      <w:r w:rsidRPr="00E211AD">
        <w:rPr>
          <w:rFonts w:ascii="Garamond" w:hAnsi="Garamond" w:cs="Garamond"/>
          <w:i/>
          <w:iCs/>
          <w:lang w:val="es-ES"/>
        </w:rPr>
        <w:t xml:space="preserve">Media dan Perempuan: Siapa Bercermin Pada Siapa?. </w:t>
      </w:r>
      <w:r w:rsidRPr="00E211AD">
        <w:rPr>
          <w:rFonts w:ascii="Garamond" w:hAnsi="Garamond" w:cs="Garamond"/>
          <w:lang w:val="es-ES"/>
        </w:rPr>
        <w:t>Jurnal Perempuan 6, 1998.</w:t>
      </w:r>
    </w:p>
    <w:p w:rsidR="00426C13" w:rsidRPr="004B56FE" w:rsidRDefault="00426C13" w:rsidP="00426C13">
      <w:pPr>
        <w:spacing w:after="0" w:line="240" w:lineRule="auto"/>
        <w:jc w:val="both"/>
        <w:rPr>
          <w:rFonts w:ascii="Garamond" w:hAnsi="Garamond" w:cs="Garamond"/>
          <w:lang w:val="es-ES"/>
        </w:rPr>
      </w:pPr>
      <w:r w:rsidRPr="00E211AD">
        <w:rPr>
          <w:rFonts w:ascii="Garamond" w:hAnsi="Garamond" w:cs="Garamond"/>
          <w:b/>
          <w:bCs/>
          <w:lang w:val="fi-FI"/>
        </w:rPr>
        <w:t xml:space="preserve">Pontoh, Coen Husain.  </w:t>
      </w:r>
      <w:r w:rsidRPr="00E211AD">
        <w:rPr>
          <w:rFonts w:ascii="Garamond" w:hAnsi="Garamond" w:cs="Garamond"/>
          <w:i/>
          <w:iCs/>
          <w:lang w:val="fi-FI"/>
        </w:rPr>
        <w:t>Tak Ada Film, Raam pun Jadi</w:t>
      </w:r>
      <w:r w:rsidRPr="00E211AD">
        <w:rPr>
          <w:rFonts w:ascii="Garamond" w:hAnsi="Garamond" w:cs="Garamond"/>
          <w:lang w:val="fi-FI"/>
        </w:rPr>
        <w:t xml:space="preserve">. </w:t>
      </w:r>
      <w:hyperlink r:id="rId7" w:history="1">
        <w:r w:rsidRPr="004B56FE">
          <w:rPr>
            <w:rStyle w:val="Hyperlink"/>
            <w:rFonts w:ascii="Garamond" w:hAnsi="Garamond" w:cs="Garamond"/>
            <w:lang w:val="es-ES"/>
          </w:rPr>
          <w:t>www.pantau.or.id</w:t>
        </w:r>
      </w:hyperlink>
    </w:p>
    <w:p w:rsidR="00426C13" w:rsidRPr="00E211AD" w:rsidRDefault="00426C13" w:rsidP="00426C13">
      <w:pPr>
        <w:spacing w:after="0" w:line="240" w:lineRule="auto"/>
        <w:rPr>
          <w:rFonts w:ascii="Garamond" w:hAnsi="Garamond" w:cs="Garamond"/>
          <w:lang w:val="es-ES"/>
        </w:rPr>
      </w:pPr>
      <w:r w:rsidRPr="00E211AD">
        <w:rPr>
          <w:rFonts w:ascii="Garamond" w:hAnsi="Garamond" w:cs="Garamond"/>
          <w:i/>
          <w:iCs/>
          <w:lang w:val="es-ES"/>
        </w:rPr>
        <w:lastRenderedPageBreak/>
        <w:t>Sinetron: Rating, Mimpi Dan Perempuan</w:t>
      </w:r>
      <w:r w:rsidRPr="00E211AD">
        <w:rPr>
          <w:rFonts w:ascii="Garamond" w:hAnsi="Garamond" w:cs="Garamond"/>
          <w:lang w:val="es-ES"/>
        </w:rPr>
        <w:t>. . http://www.insideindonesia.org/edit66/sinetron.htm</w:t>
      </w:r>
    </w:p>
    <w:p w:rsidR="00426C13" w:rsidRPr="00FA1F05" w:rsidRDefault="00426C13" w:rsidP="00426C13">
      <w:pPr>
        <w:spacing w:line="360" w:lineRule="auto"/>
        <w:jc w:val="both"/>
        <w:rPr>
          <w:rFonts w:ascii="Garamond" w:hAnsi="Garamond" w:cs="Garamond"/>
          <w:b/>
          <w:bCs/>
          <w:u w:val="single"/>
          <w:lang w:val="fi-FI"/>
        </w:rPr>
      </w:pPr>
    </w:p>
    <w:p w:rsidR="00426C13" w:rsidRPr="00A82AD7" w:rsidRDefault="00426C13" w:rsidP="00426C13">
      <w:pPr>
        <w:spacing w:line="240" w:lineRule="auto"/>
        <w:rPr>
          <w:rFonts w:ascii="Times New Roman" w:hAnsi="Times New Roman" w:cs="Times New Roman"/>
          <w:color w:val="000000"/>
          <w:sz w:val="24"/>
          <w:szCs w:val="24"/>
          <w:shd w:val="clear" w:color="auto" w:fill="FFFFFF"/>
        </w:rPr>
      </w:pPr>
    </w:p>
    <w:p w:rsidR="00C03920" w:rsidRDefault="00C03920"/>
    <w:sectPr w:rsidR="00C03920" w:rsidSect="006D7D6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C13" w:rsidRDefault="00426C13" w:rsidP="00426C13">
      <w:pPr>
        <w:spacing w:after="0" w:line="240" w:lineRule="auto"/>
      </w:pPr>
      <w:r>
        <w:separator/>
      </w:r>
    </w:p>
  </w:endnote>
  <w:endnote w:type="continuationSeparator" w:id="0">
    <w:p w:rsidR="00426C13" w:rsidRDefault="00426C13" w:rsidP="0042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C13" w:rsidRDefault="00426C13" w:rsidP="00426C13">
      <w:pPr>
        <w:spacing w:after="0" w:line="240" w:lineRule="auto"/>
      </w:pPr>
      <w:r>
        <w:separator/>
      </w:r>
    </w:p>
  </w:footnote>
  <w:footnote w:type="continuationSeparator" w:id="0">
    <w:p w:rsidR="00426C13" w:rsidRDefault="00426C13" w:rsidP="00426C13">
      <w:pPr>
        <w:spacing w:after="0" w:line="240" w:lineRule="auto"/>
      </w:pPr>
      <w:r>
        <w:continuationSeparator/>
      </w:r>
    </w:p>
  </w:footnote>
  <w:footnote w:id="1">
    <w:p w:rsidR="008204B0" w:rsidRPr="000F5A72" w:rsidRDefault="008204B0" w:rsidP="008204B0">
      <w:pPr>
        <w:pStyle w:val="FootnoteText"/>
        <w:rPr>
          <w:rFonts w:ascii="Times New Roman" w:hAnsi="Times New Roman"/>
        </w:rPr>
      </w:pPr>
      <w:r w:rsidRPr="000F5A72">
        <w:rPr>
          <w:rStyle w:val="FootnoteReference"/>
          <w:rFonts w:ascii="Times New Roman" w:hAnsi="Times New Roman"/>
        </w:rPr>
        <w:footnoteRef/>
      </w:r>
      <w:r w:rsidRPr="000F5A72">
        <w:rPr>
          <w:rFonts w:ascii="Times New Roman" w:hAnsi="Times New Roman"/>
        </w:rPr>
        <w:t xml:space="preserve"> Jurnal Perempuan edisi 28, (2003), hal.122</w:t>
      </w:r>
    </w:p>
  </w:footnote>
  <w:footnote w:id="2">
    <w:p w:rsidR="00482A6D" w:rsidRPr="000F5A72" w:rsidRDefault="00482A6D" w:rsidP="00482A6D">
      <w:pPr>
        <w:tabs>
          <w:tab w:val="left" w:pos="0"/>
        </w:tabs>
        <w:spacing w:after="0" w:line="240" w:lineRule="auto"/>
        <w:jc w:val="both"/>
        <w:rPr>
          <w:rFonts w:ascii="Times New Roman" w:hAnsi="Times New Roman"/>
          <w:sz w:val="20"/>
          <w:szCs w:val="20"/>
        </w:rPr>
      </w:pPr>
      <w:r w:rsidRPr="000F5A72">
        <w:rPr>
          <w:rStyle w:val="FootnoteReference"/>
          <w:rFonts w:ascii="Times New Roman" w:hAnsi="Times New Roman"/>
          <w:sz w:val="20"/>
          <w:szCs w:val="20"/>
        </w:rPr>
        <w:footnoteRef/>
      </w:r>
      <w:r w:rsidRPr="000F5A72">
        <w:rPr>
          <w:rFonts w:ascii="Times New Roman" w:hAnsi="Times New Roman"/>
          <w:sz w:val="20"/>
          <w:szCs w:val="20"/>
        </w:rPr>
        <w:t xml:space="preserve"> Astuti dan Gani, (2007)</w:t>
      </w:r>
    </w:p>
  </w:footnote>
  <w:footnote w:id="3">
    <w:p w:rsidR="00482A6D" w:rsidRPr="000F5A72" w:rsidRDefault="00482A6D" w:rsidP="00482A6D">
      <w:pPr>
        <w:pStyle w:val="FootnoteText"/>
        <w:rPr>
          <w:rFonts w:ascii="Times New Roman" w:hAnsi="Times New Roman"/>
        </w:rPr>
      </w:pPr>
      <w:r w:rsidRPr="000F5A72">
        <w:rPr>
          <w:rStyle w:val="FootnoteReference"/>
          <w:rFonts w:ascii="Times New Roman" w:hAnsi="Times New Roman"/>
        </w:rPr>
        <w:footnoteRef/>
      </w:r>
      <w:r w:rsidRPr="000F5A72">
        <w:rPr>
          <w:rFonts w:ascii="Times New Roman" w:hAnsi="Times New Roman"/>
        </w:rPr>
        <w:t xml:space="preserve"> </w:t>
      </w:r>
      <w:hyperlink r:id="rId1" w:history="1">
        <w:r w:rsidRPr="000F5A72">
          <w:rPr>
            <w:rStyle w:val="Hyperlink"/>
            <w:rFonts w:ascii="Times New Roman" w:hAnsi="Times New Roman"/>
          </w:rPr>
          <w:t>http://www.agbnielsen.net/Uploads/Indonesia/Nielsen_Newsletter_Mar_2011-Ind.pdf</w:t>
        </w:r>
      </w:hyperlink>
    </w:p>
  </w:footnote>
  <w:footnote w:id="4">
    <w:p w:rsidR="00C3236B" w:rsidRPr="000F5A72" w:rsidRDefault="00C3236B" w:rsidP="00C3236B">
      <w:pPr>
        <w:pStyle w:val="FootnoteText"/>
        <w:rPr>
          <w:rFonts w:ascii="Times New Roman" w:hAnsi="Times New Roman"/>
        </w:rPr>
      </w:pPr>
      <w:r w:rsidRPr="000F5A72">
        <w:rPr>
          <w:rStyle w:val="FootnoteReference"/>
          <w:rFonts w:ascii="Times New Roman" w:hAnsi="Times New Roman"/>
        </w:rPr>
        <w:footnoteRef/>
      </w:r>
      <w:r w:rsidRPr="000F5A72">
        <w:rPr>
          <w:rFonts w:ascii="Times New Roman" w:hAnsi="Times New Roman"/>
        </w:rPr>
        <w:t xml:space="preserve"> http://www.datastatistik-indonesia.com</w:t>
      </w:r>
    </w:p>
  </w:footnote>
  <w:footnote w:id="5">
    <w:p w:rsidR="00C3236B" w:rsidRPr="000F5A72" w:rsidRDefault="00C3236B" w:rsidP="00C3236B">
      <w:pPr>
        <w:pStyle w:val="FootnoteText"/>
        <w:rPr>
          <w:rFonts w:ascii="Times New Roman" w:hAnsi="Times New Roman"/>
        </w:rPr>
      </w:pPr>
      <w:r w:rsidRPr="000F5A72">
        <w:rPr>
          <w:rStyle w:val="FootnoteReference"/>
          <w:rFonts w:ascii="Times New Roman" w:hAnsi="Times New Roman"/>
        </w:rPr>
        <w:footnoteRef/>
      </w:r>
      <w:r w:rsidRPr="000F5A72">
        <w:rPr>
          <w:rFonts w:ascii="Times New Roman" w:hAnsi="Times New Roman"/>
        </w:rPr>
        <w:t xml:space="preserve"> http://bps.go.id/tab_sub/view.php?kat=1&amp;tabel=1&amp;daftar=1&amp;id_subyek=40&amp;notab=15</w:t>
      </w:r>
    </w:p>
  </w:footnote>
  <w:footnote w:id="6">
    <w:p w:rsidR="00C3236B" w:rsidRPr="000F5A72" w:rsidRDefault="00C3236B" w:rsidP="00C3236B">
      <w:pPr>
        <w:pStyle w:val="FootnoteText"/>
        <w:rPr>
          <w:rFonts w:ascii="Times New Roman" w:hAnsi="Times New Roman"/>
        </w:rPr>
      </w:pPr>
      <w:r w:rsidRPr="000F5A72">
        <w:rPr>
          <w:rStyle w:val="FootnoteReference"/>
          <w:rFonts w:ascii="Times New Roman" w:hAnsi="Times New Roman"/>
        </w:rPr>
        <w:footnoteRef/>
      </w:r>
      <w:r w:rsidRPr="000F5A72">
        <w:rPr>
          <w:rFonts w:ascii="Times New Roman" w:hAnsi="Times New Roman"/>
        </w:rPr>
        <w:t xml:space="preserve"> http://industri.kontan.co.id/news/indovision-menggenggam-192-juta-pelanggan</w:t>
      </w:r>
    </w:p>
  </w:footnote>
  <w:footnote w:id="7">
    <w:p w:rsidR="00C3236B" w:rsidRPr="000F5A72" w:rsidRDefault="00C3236B" w:rsidP="00C3236B">
      <w:pPr>
        <w:pStyle w:val="FootnoteText"/>
        <w:rPr>
          <w:rFonts w:ascii="Times New Roman" w:hAnsi="Times New Roman"/>
        </w:rPr>
      </w:pPr>
      <w:r w:rsidRPr="000F5A72">
        <w:rPr>
          <w:rStyle w:val="FootnoteReference"/>
          <w:rFonts w:ascii="Times New Roman" w:hAnsi="Times New Roman"/>
        </w:rPr>
        <w:footnoteRef/>
      </w:r>
      <w:r w:rsidRPr="000F5A72">
        <w:rPr>
          <w:rFonts w:ascii="Times New Roman" w:hAnsi="Times New Roman"/>
        </w:rPr>
        <w:t xml:space="preserve"> </w:t>
      </w:r>
      <w:hyperlink r:id="rId2" w:history="1">
        <w:r w:rsidRPr="000F5A72">
          <w:rPr>
            <w:rStyle w:val="Hyperlink"/>
            <w:rFonts w:ascii="Times New Roman" w:hAnsi="Times New Roman"/>
          </w:rPr>
          <w:t>http://tekno.kompas.com/read/2012/12/13/10103065/2013.pengguna.internet.indonesia.bisa.tembus</w:t>
        </w:r>
      </w:hyperlink>
      <w:r w:rsidRPr="000F5A72">
        <w:rPr>
          <w:rFonts w:ascii="Times New Roman" w:hAnsi="Times New Roman"/>
        </w:rPr>
        <w:t>. and</w:t>
      </w:r>
    </w:p>
    <w:p w:rsidR="00C3236B" w:rsidRPr="000F5A72" w:rsidRDefault="00C3236B" w:rsidP="00C3236B">
      <w:pPr>
        <w:pStyle w:val="FootnoteText"/>
        <w:rPr>
          <w:rFonts w:ascii="Times New Roman" w:hAnsi="Times New Roman"/>
        </w:rPr>
      </w:pPr>
      <w:r w:rsidRPr="000F5A72">
        <w:rPr>
          <w:rFonts w:ascii="Times New Roman" w:hAnsi="Times New Roman"/>
        </w:rPr>
        <w:t xml:space="preserve">    http://the-marketeers.com/archives/indonesia-internet-users-waizly-2012.html</w:t>
      </w:r>
    </w:p>
  </w:footnote>
  <w:footnote w:id="8">
    <w:p w:rsidR="00C3236B" w:rsidRPr="000F5A72" w:rsidRDefault="00C3236B" w:rsidP="00C3236B">
      <w:pPr>
        <w:pStyle w:val="FootnoteText"/>
        <w:rPr>
          <w:rFonts w:ascii="Times New Roman" w:hAnsi="Times New Roman"/>
        </w:rPr>
      </w:pPr>
      <w:r w:rsidRPr="000F5A72">
        <w:rPr>
          <w:rStyle w:val="FootnoteReference"/>
          <w:rFonts w:ascii="Times New Roman" w:hAnsi="Times New Roman"/>
        </w:rPr>
        <w:footnoteRef/>
      </w:r>
      <w:r w:rsidRPr="000F5A72">
        <w:rPr>
          <w:rFonts w:ascii="Times New Roman" w:hAnsi="Times New Roman"/>
        </w:rPr>
        <w:t xml:space="preserve"> http://m.koran-sindo.com/node/311848</w:t>
      </w:r>
    </w:p>
  </w:footnote>
  <w:footnote w:id="9">
    <w:p w:rsidR="00C3236B" w:rsidRPr="00555BDF" w:rsidRDefault="00C3236B" w:rsidP="00C3236B">
      <w:pPr>
        <w:pStyle w:val="FootnoteText"/>
      </w:pPr>
      <w:r>
        <w:rPr>
          <w:rStyle w:val="FootnoteReference"/>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C13"/>
    <w:rsid w:val="00426C13"/>
    <w:rsid w:val="00482A6D"/>
    <w:rsid w:val="006921CE"/>
    <w:rsid w:val="006D7D68"/>
    <w:rsid w:val="008204B0"/>
    <w:rsid w:val="00C03920"/>
    <w:rsid w:val="00C3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C1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26C1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26C13"/>
    <w:rPr>
      <w:rFonts w:ascii="Calibri" w:eastAsia="Calibri" w:hAnsi="Calibri" w:cs="Times New Roman"/>
      <w:sz w:val="20"/>
      <w:szCs w:val="20"/>
    </w:rPr>
  </w:style>
  <w:style w:type="character" w:styleId="FootnoteReference">
    <w:name w:val="footnote reference"/>
    <w:basedOn w:val="DefaultParagraphFont"/>
    <w:uiPriority w:val="99"/>
    <w:unhideWhenUsed/>
    <w:rsid w:val="00426C13"/>
    <w:rPr>
      <w:vertAlign w:val="superscript"/>
    </w:rPr>
  </w:style>
  <w:style w:type="character" w:styleId="Hyperlink">
    <w:name w:val="Hyperlink"/>
    <w:basedOn w:val="DefaultParagraphFont"/>
    <w:rsid w:val="00426C13"/>
    <w:rPr>
      <w:color w:val="0000FF"/>
      <w:u w:val="single"/>
    </w:rPr>
  </w:style>
  <w:style w:type="character" w:customStyle="1" w:styleId="hps">
    <w:name w:val="hps"/>
    <w:basedOn w:val="DefaultParagraphFont"/>
    <w:rsid w:val="008204B0"/>
  </w:style>
  <w:style w:type="character" w:customStyle="1" w:styleId="longtext">
    <w:name w:val="long_text"/>
    <w:basedOn w:val="DefaultParagraphFont"/>
    <w:rsid w:val="00482A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C1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26C1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26C13"/>
    <w:rPr>
      <w:rFonts w:ascii="Calibri" w:eastAsia="Calibri" w:hAnsi="Calibri" w:cs="Times New Roman"/>
      <w:sz w:val="20"/>
      <w:szCs w:val="20"/>
    </w:rPr>
  </w:style>
  <w:style w:type="character" w:styleId="FootnoteReference">
    <w:name w:val="footnote reference"/>
    <w:basedOn w:val="DefaultParagraphFont"/>
    <w:uiPriority w:val="99"/>
    <w:unhideWhenUsed/>
    <w:rsid w:val="00426C13"/>
    <w:rPr>
      <w:vertAlign w:val="superscript"/>
    </w:rPr>
  </w:style>
  <w:style w:type="character" w:styleId="Hyperlink">
    <w:name w:val="Hyperlink"/>
    <w:basedOn w:val="DefaultParagraphFont"/>
    <w:rsid w:val="00426C13"/>
    <w:rPr>
      <w:color w:val="0000FF"/>
      <w:u w:val="single"/>
    </w:rPr>
  </w:style>
  <w:style w:type="character" w:customStyle="1" w:styleId="hps">
    <w:name w:val="hps"/>
    <w:basedOn w:val="DefaultParagraphFont"/>
    <w:rsid w:val="008204B0"/>
  </w:style>
  <w:style w:type="character" w:customStyle="1" w:styleId="longtext">
    <w:name w:val="long_text"/>
    <w:basedOn w:val="DefaultParagraphFont"/>
    <w:rsid w:val="0048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ntau.or.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tekno.kompas.com/read/2012/12/13/10103065/2013.pengguna.internet.indonesia.bisa.tembus" TargetMode="External"/><Relationship Id="rId1" Type="http://schemas.openxmlformats.org/officeDocument/2006/relationships/hyperlink" Target="http://www.agbnielsen.net/Uploads/Indonesia/Nielsen_Newsletter_Mar_2011-I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LINTANG RATRI</dc:creator>
  <cp:lastModifiedBy>LINTANG RATRI</cp:lastModifiedBy>
  <cp:revision>4</cp:revision>
  <dcterms:created xsi:type="dcterms:W3CDTF">2014-09-29T03:07:00Z</dcterms:created>
  <dcterms:modified xsi:type="dcterms:W3CDTF">2014-09-29T03:31:00Z</dcterms:modified>
</cp:coreProperties>
</file>