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F4" w:rsidRPr="00DC3036" w:rsidRDefault="00EC2FF4" w:rsidP="002C0975">
      <w:pPr>
        <w:spacing w:line="240" w:lineRule="auto"/>
        <w:ind w:left="-851" w:right="-143" w:firstLine="0"/>
        <w:jc w:val="center"/>
        <w:rPr>
          <w:rFonts w:ascii="Times New Roman" w:eastAsia="Calibri" w:hAnsi="Times New Roman" w:cs="Times New Roman"/>
          <w:b/>
          <w:lang w:val="id-ID"/>
        </w:rPr>
      </w:pPr>
      <w:r w:rsidRPr="00DC3036">
        <w:rPr>
          <w:rFonts w:ascii="Times New Roman" w:eastAsia="Calibri" w:hAnsi="Times New Roman" w:cs="Times New Roman"/>
          <w:b/>
        </w:rPr>
        <w:t>PER</w:t>
      </w:r>
      <w:r w:rsidRPr="00DC3036">
        <w:rPr>
          <w:rFonts w:ascii="Times New Roman" w:eastAsia="Calibri" w:hAnsi="Times New Roman" w:cs="Times New Roman"/>
          <w:b/>
          <w:lang w:val="id-ID"/>
        </w:rPr>
        <w:t>MODEL</w:t>
      </w:r>
      <w:r w:rsidRPr="00DC3036">
        <w:rPr>
          <w:rFonts w:ascii="Times New Roman" w:eastAsia="Calibri" w:hAnsi="Times New Roman" w:cs="Times New Roman"/>
          <w:b/>
        </w:rPr>
        <w:t>AN</w:t>
      </w:r>
      <w:r w:rsidRPr="00DC3036">
        <w:rPr>
          <w:rFonts w:ascii="Times New Roman" w:eastAsia="Calibri" w:hAnsi="Times New Roman" w:cs="Times New Roman"/>
          <w:b/>
          <w:lang w:val="id-ID"/>
        </w:rPr>
        <w:t xml:space="preserve"> TRANSPORT </w:t>
      </w:r>
    </w:p>
    <w:p w:rsidR="00EC2FF4" w:rsidRPr="00DC3036" w:rsidRDefault="00EC2FF4" w:rsidP="002C0975">
      <w:pPr>
        <w:spacing w:line="240" w:lineRule="auto"/>
        <w:ind w:left="-851" w:right="-143" w:firstLine="0"/>
        <w:jc w:val="center"/>
        <w:rPr>
          <w:rFonts w:ascii="Times New Roman" w:eastAsia="Calibri" w:hAnsi="Times New Roman" w:cs="Times New Roman"/>
          <w:b/>
          <w:lang w:val="id-ID"/>
        </w:rPr>
      </w:pPr>
      <w:r w:rsidRPr="00DC3036">
        <w:rPr>
          <w:rFonts w:ascii="Times New Roman" w:eastAsia="Calibri" w:hAnsi="Times New Roman" w:cs="Times New Roman"/>
          <w:b/>
        </w:rPr>
        <w:t>BESI (Fe) DAN</w:t>
      </w:r>
      <w:r w:rsidRPr="00DC3036">
        <w:rPr>
          <w:rFonts w:ascii="Times New Roman" w:eastAsia="Calibri" w:hAnsi="Times New Roman" w:cs="Times New Roman"/>
          <w:b/>
          <w:lang w:val="id-ID"/>
        </w:rPr>
        <w:t xml:space="preserve"> </w:t>
      </w:r>
      <w:r w:rsidRPr="00DC3036">
        <w:rPr>
          <w:rFonts w:ascii="Times New Roman" w:eastAsia="Calibri" w:hAnsi="Times New Roman" w:cs="Times New Roman"/>
          <w:b/>
        </w:rPr>
        <w:t>NIKEL (Ni)</w:t>
      </w:r>
      <w:r w:rsidRPr="00DC3036">
        <w:rPr>
          <w:rFonts w:ascii="Times New Roman" w:eastAsia="Calibri" w:hAnsi="Times New Roman" w:cs="Times New Roman"/>
          <w:b/>
          <w:lang w:val="id-ID"/>
        </w:rPr>
        <w:t xml:space="preserve"> DALAM LINDI</w:t>
      </w:r>
    </w:p>
    <w:p w:rsidR="00EC2FF4" w:rsidRPr="00DC3036" w:rsidRDefault="00EC2FF4" w:rsidP="002C0975">
      <w:pPr>
        <w:spacing w:line="240" w:lineRule="auto"/>
        <w:ind w:left="-851" w:right="-143" w:firstLine="0"/>
        <w:jc w:val="center"/>
        <w:rPr>
          <w:rFonts w:ascii="Times New Roman" w:eastAsia="Calibri" w:hAnsi="Times New Roman" w:cs="Times New Roman"/>
          <w:b/>
          <w:lang w:val="id-ID"/>
        </w:rPr>
      </w:pPr>
      <w:r w:rsidRPr="00DC3036">
        <w:rPr>
          <w:rFonts w:ascii="Times New Roman" w:eastAsia="Calibri" w:hAnsi="Times New Roman" w:cs="Times New Roman"/>
          <w:b/>
          <w:lang w:val="id-ID"/>
        </w:rPr>
        <w:t>MENGGUNAKAN</w:t>
      </w:r>
      <w:r w:rsidRPr="00DC3036">
        <w:rPr>
          <w:rFonts w:ascii="Times New Roman" w:eastAsia="Calibri" w:hAnsi="Times New Roman" w:cs="Times New Roman"/>
          <w:b/>
        </w:rPr>
        <w:t xml:space="preserve"> </w:t>
      </w:r>
      <w:r w:rsidRPr="00DC3036">
        <w:rPr>
          <w:rFonts w:ascii="Times New Roman" w:eastAsia="Calibri" w:hAnsi="Times New Roman" w:cs="Times New Roman"/>
          <w:b/>
          <w:lang w:val="id-ID"/>
        </w:rPr>
        <w:t>SOFTWARE</w:t>
      </w:r>
      <w:r w:rsidRPr="00DC3036">
        <w:rPr>
          <w:rFonts w:ascii="Times New Roman" w:eastAsia="Calibri" w:hAnsi="Times New Roman" w:cs="Times New Roman"/>
          <w:b/>
        </w:rPr>
        <w:t xml:space="preserve"> POLLUTE</w:t>
      </w:r>
      <w:r w:rsidRPr="00DC3036">
        <w:rPr>
          <w:rFonts w:ascii="Times New Roman" w:eastAsia="Calibri" w:hAnsi="Times New Roman" w:cs="Times New Roman"/>
          <w:b/>
          <w:lang w:val="id-ID"/>
        </w:rPr>
        <w:t>.</w:t>
      </w:r>
      <w:r w:rsidRPr="00DC3036">
        <w:rPr>
          <w:rFonts w:ascii="Times New Roman" w:eastAsia="Calibri" w:hAnsi="Times New Roman" w:cs="Times New Roman"/>
          <w:b/>
        </w:rPr>
        <w:t>v7</w:t>
      </w:r>
    </w:p>
    <w:p w:rsidR="00FE0863" w:rsidRPr="00DC3036" w:rsidRDefault="00EC2FF4" w:rsidP="002C0975">
      <w:pPr>
        <w:spacing w:line="240" w:lineRule="auto"/>
        <w:ind w:left="-851" w:right="-143" w:firstLine="0"/>
        <w:jc w:val="center"/>
        <w:rPr>
          <w:rFonts w:ascii="Times New Roman" w:eastAsia="Calibri" w:hAnsi="Times New Roman" w:cs="Times New Roman"/>
          <w:b/>
          <w:lang w:val="id-ID"/>
        </w:rPr>
      </w:pPr>
      <w:r w:rsidRPr="00DC3036">
        <w:rPr>
          <w:rFonts w:ascii="Times New Roman" w:eastAsia="Calibri" w:hAnsi="Times New Roman" w:cs="Times New Roman"/>
          <w:b/>
        </w:rPr>
        <w:t xml:space="preserve"> (STUDI KASUS TPA NGRONGGO, </w:t>
      </w:r>
      <w:r w:rsidRPr="00DC3036">
        <w:rPr>
          <w:rFonts w:ascii="Times New Roman" w:eastAsia="Calibri" w:hAnsi="Times New Roman" w:cs="Times New Roman"/>
          <w:b/>
          <w:lang w:val="id-ID"/>
        </w:rPr>
        <w:t>K</w:t>
      </w:r>
      <w:r w:rsidRPr="00DC3036">
        <w:rPr>
          <w:rFonts w:ascii="Times New Roman" w:eastAsia="Calibri" w:hAnsi="Times New Roman" w:cs="Times New Roman"/>
          <w:b/>
        </w:rPr>
        <w:t>OTA SALATIGA)</w:t>
      </w:r>
    </w:p>
    <w:p w:rsidR="000A62B7" w:rsidRPr="000A62B7" w:rsidRDefault="000A62B7" w:rsidP="002C0975">
      <w:pPr>
        <w:spacing w:line="240" w:lineRule="auto"/>
        <w:ind w:left="-851" w:right="-143" w:firstLine="0"/>
        <w:jc w:val="center"/>
        <w:rPr>
          <w:rFonts w:ascii="Times New Roman" w:eastAsia="Calibri" w:hAnsi="Times New Roman" w:cs="Times New Roman"/>
          <w:b/>
          <w:sz w:val="26"/>
          <w:szCs w:val="26"/>
          <w:lang w:val="id-ID"/>
        </w:rPr>
      </w:pPr>
    </w:p>
    <w:p w:rsidR="000C6E2B" w:rsidRDefault="00EC2FF4" w:rsidP="002C0975">
      <w:pPr>
        <w:spacing w:line="240" w:lineRule="auto"/>
        <w:ind w:left="-851" w:right="-143" w:firstLine="0"/>
        <w:jc w:val="center"/>
        <w:rPr>
          <w:rFonts w:ascii="Times New Roman" w:hAnsi="Times New Roman" w:cs="Times New Roman"/>
          <w:sz w:val="24"/>
          <w:szCs w:val="24"/>
          <w:lang w:val="id-ID"/>
        </w:rPr>
      </w:pPr>
      <w:r>
        <w:rPr>
          <w:rFonts w:ascii="Times New Roman" w:hAnsi="Times New Roman" w:cs="Times New Roman"/>
          <w:sz w:val="24"/>
          <w:szCs w:val="24"/>
          <w:lang w:val="id-ID"/>
        </w:rPr>
        <w:t>Mega Surya Pratiwi</w:t>
      </w:r>
      <w:r w:rsidR="00572853">
        <w:rPr>
          <w:rFonts w:ascii="Times New Roman" w:hAnsi="Times New Roman" w:cs="Times New Roman"/>
          <w:sz w:val="24"/>
          <w:szCs w:val="24"/>
          <w:lang w:val="id-ID"/>
        </w:rPr>
        <w:t>, Badrus Zaman, Titik Istirokhatun</w:t>
      </w:r>
    </w:p>
    <w:p w:rsidR="000C6E2B" w:rsidRDefault="00E53105" w:rsidP="002C0975">
      <w:pPr>
        <w:spacing w:line="240" w:lineRule="auto"/>
        <w:ind w:left="-851" w:right="-143" w:firstLine="0"/>
        <w:jc w:val="center"/>
        <w:rPr>
          <w:rFonts w:ascii="Times New Roman" w:hAnsi="Times New Roman" w:cs="Times New Roman"/>
          <w:sz w:val="24"/>
          <w:szCs w:val="24"/>
          <w:lang w:val="id-ID"/>
        </w:rPr>
      </w:pPr>
      <w:r>
        <w:rPr>
          <w:rFonts w:ascii="Times New Roman" w:hAnsi="Times New Roman" w:cs="Times New Roman"/>
          <w:sz w:val="24"/>
          <w:szCs w:val="24"/>
          <w:lang w:val="id-ID"/>
        </w:rPr>
        <w:t>Teknik Lingkungan, Universitas Diponegoro</w:t>
      </w:r>
    </w:p>
    <w:p w:rsidR="00E53105" w:rsidRDefault="00E53105" w:rsidP="002C0975">
      <w:pPr>
        <w:spacing w:line="240" w:lineRule="auto"/>
        <w:ind w:left="-851" w:right="-143" w:firstLine="0"/>
        <w:jc w:val="center"/>
        <w:rPr>
          <w:rFonts w:ascii="Times New Roman" w:hAnsi="Times New Roman" w:cs="Times New Roman"/>
          <w:sz w:val="24"/>
          <w:szCs w:val="24"/>
          <w:lang w:val="id-ID"/>
        </w:rPr>
      </w:pPr>
      <w:r>
        <w:rPr>
          <w:rFonts w:ascii="Times New Roman" w:hAnsi="Times New Roman" w:cs="Times New Roman"/>
          <w:sz w:val="24"/>
          <w:szCs w:val="24"/>
          <w:lang w:val="id-ID"/>
        </w:rPr>
        <w:t>2013</w:t>
      </w:r>
    </w:p>
    <w:p w:rsidR="000A62B7" w:rsidRDefault="000A62B7" w:rsidP="002C0975">
      <w:pPr>
        <w:spacing w:line="240" w:lineRule="auto"/>
        <w:ind w:left="-851" w:right="-143" w:firstLine="0"/>
        <w:jc w:val="center"/>
        <w:rPr>
          <w:rFonts w:ascii="Times New Roman" w:hAnsi="Times New Roman" w:cs="Times New Roman"/>
          <w:sz w:val="24"/>
          <w:szCs w:val="24"/>
          <w:lang w:val="id-ID"/>
        </w:rPr>
      </w:pPr>
    </w:p>
    <w:p w:rsidR="00E53105" w:rsidRPr="00DC3036" w:rsidRDefault="00E53105" w:rsidP="00E53105">
      <w:pPr>
        <w:spacing w:line="240" w:lineRule="auto"/>
        <w:ind w:right="-1" w:firstLine="0"/>
        <w:jc w:val="center"/>
        <w:rPr>
          <w:rFonts w:ascii="Times New Roman" w:hAnsi="Times New Roman" w:cs="Times New Roman"/>
          <w:sz w:val="24"/>
          <w:szCs w:val="24"/>
          <w:lang w:val="id-ID"/>
        </w:rPr>
      </w:pPr>
      <w:r w:rsidRPr="000C6E2B">
        <w:rPr>
          <w:rFonts w:ascii="Times New Roman" w:hAnsi="Times New Roman" w:cs="Times New Roman"/>
          <w:b/>
          <w:sz w:val="24"/>
          <w:szCs w:val="24"/>
          <w:lang w:val="id-ID"/>
        </w:rPr>
        <w:t>Abstrac</w:t>
      </w:r>
      <w:r>
        <w:rPr>
          <w:rFonts w:ascii="Times New Roman" w:hAnsi="Times New Roman" w:cs="Times New Roman"/>
          <w:b/>
          <w:sz w:val="24"/>
          <w:szCs w:val="24"/>
          <w:lang w:val="id-ID"/>
        </w:rPr>
        <w:t>t</w:t>
      </w:r>
    </w:p>
    <w:p w:rsidR="00E53105" w:rsidRPr="00D6240F" w:rsidRDefault="00E53105" w:rsidP="00E53105">
      <w:pPr>
        <w:spacing w:line="240" w:lineRule="auto"/>
        <w:ind w:left="-567" w:firstLine="0"/>
        <w:rPr>
          <w:rFonts w:ascii="Times New Roman" w:hAnsi="Times New Roman" w:cs="Times New Roman"/>
          <w:i/>
          <w:lang w:val="id-ID"/>
        </w:rPr>
      </w:pPr>
      <w:r w:rsidRPr="00D6240F">
        <w:rPr>
          <w:rFonts w:ascii="Times New Roman" w:hAnsi="Times New Roman" w:cs="Times New Roman"/>
          <w:i/>
          <w:lang w:val="id-ID"/>
        </w:rPr>
        <w:t>Characteristics of leachate are influenced by the type of waste that goes to landfill. Leachate of TPA Ngronggo Salatiga containing heavy metal of iron (Fe) and ni</w:t>
      </w:r>
      <w:r>
        <w:rPr>
          <w:rFonts w:ascii="Times New Roman" w:hAnsi="Times New Roman" w:cs="Times New Roman"/>
          <w:i/>
          <w:lang w:val="id-ID"/>
        </w:rPr>
        <w:t>c</w:t>
      </w:r>
      <w:r w:rsidRPr="00D6240F">
        <w:rPr>
          <w:rFonts w:ascii="Times New Roman" w:hAnsi="Times New Roman" w:cs="Times New Roman"/>
          <w:i/>
          <w:lang w:val="id-ID"/>
        </w:rPr>
        <w:t>kel (Ni). Due to the toxicity of leachate, it is necessary to prevent the leakage with using liner system in order not to contaminate the soil arround landfill. To predict pollution that caused by</w:t>
      </w:r>
      <w:r w:rsidRPr="00BB7979">
        <w:rPr>
          <w:rFonts w:ascii="Times New Roman" w:hAnsi="Times New Roman" w:cs="Times New Roman"/>
          <w:i/>
          <w:lang w:val="id-ID"/>
        </w:rPr>
        <w:t xml:space="preserve"> </w:t>
      </w:r>
      <w:r w:rsidRPr="00D6240F">
        <w:rPr>
          <w:rFonts w:ascii="Times New Roman" w:hAnsi="Times New Roman" w:cs="Times New Roman"/>
          <w:i/>
          <w:lang w:val="id-ID"/>
        </w:rPr>
        <w:t>contaminan</w:t>
      </w:r>
      <w:r>
        <w:rPr>
          <w:rFonts w:ascii="Times New Roman" w:hAnsi="Times New Roman" w:cs="Times New Roman"/>
          <w:i/>
          <w:lang w:val="id-ID"/>
        </w:rPr>
        <w:t>t</w:t>
      </w:r>
      <w:r w:rsidRPr="00D6240F">
        <w:rPr>
          <w:rFonts w:ascii="Times New Roman" w:hAnsi="Times New Roman" w:cs="Times New Roman"/>
          <w:i/>
          <w:lang w:val="id-ID"/>
        </w:rPr>
        <w:t xml:space="preserve"> transport of leachate, can be done modelling use Pollute v7. In this model, transport of leachate is influenced by process of difution, dispersion and sorption in soil. The result of prediction</w:t>
      </w:r>
      <w:r w:rsidRPr="00BB7979">
        <w:rPr>
          <w:rFonts w:ascii="Times New Roman" w:hAnsi="Times New Roman" w:cs="Times New Roman"/>
          <w:i/>
          <w:lang w:val="id-ID"/>
        </w:rPr>
        <w:t xml:space="preserve"> </w:t>
      </w:r>
      <w:r w:rsidRPr="00D6240F">
        <w:rPr>
          <w:rFonts w:ascii="Times New Roman" w:hAnsi="Times New Roman" w:cs="Times New Roman"/>
          <w:i/>
          <w:lang w:val="id-ID"/>
        </w:rPr>
        <w:t>contaminan</w:t>
      </w:r>
      <w:r>
        <w:rPr>
          <w:rFonts w:ascii="Times New Roman" w:hAnsi="Times New Roman" w:cs="Times New Roman"/>
          <w:i/>
          <w:lang w:val="id-ID"/>
        </w:rPr>
        <w:t>t</w:t>
      </w:r>
      <w:r w:rsidRPr="00D6240F">
        <w:rPr>
          <w:rFonts w:ascii="Times New Roman" w:hAnsi="Times New Roman" w:cs="Times New Roman"/>
          <w:i/>
          <w:lang w:val="id-ID"/>
        </w:rPr>
        <w:t xml:space="preserve"> transport of leachate during the life time of landfill for 15 years, can be use to evaluate the liner system of landfill. So can minimize the pollution of leachate. </w:t>
      </w:r>
    </w:p>
    <w:p w:rsidR="009B5781" w:rsidRDefault="009B5781" w:rsidP="00DC3036">
      <w:pPr>
        <w:spacing w:line="240" w:lineRule="auto"/>
        <w:ind w:left="-709" w:firstLine="0"/>
        <w:rPr>
          <w:rFonts w:ascii="Times New Roman" w:hAnsi="Times New Roman" w:cs="Times New Roman"/>
          <w:lang w:val="id-ID"/>
        </w:rPr>
      </w:pPr>
    </w:p>
    <w:p w:rsidR="000B3AFA" w:rsidRPr="00CE02EF" w:rsidRDefault="000B3AFA" w:rsidP="000A62B7">
      <w:pPr>
        <w:spacing w:line="240" w:lineRule="auto"/>
        <w:ind w:left="-851" w:firstLine="0"/>
        <w:rPr>
          <w:rFonts w:ascii="Times New Roman" w:hAnsi="Times New Roman" w:cs="Times New Roman"/>
          <w:i/>
          <w:lang w:val="id-ID"/>
        </w:rPr>
      </w:pPr>
      <w:r w:rsidRPr="000A62B7">
        <w:rPr>
          <w:rFonts w:ascii="Times New Roman" w:hAnsi="Times New Roman" w:cs="Times New Roman"/>
          <w:lang w:val="id-ID"/>
        </w:rPr>
        <w:t xml:space="preserve">  </w:t>
      </w:r>
      <w:r w:rsidR="009B5781">
        <w:rPr>
          <w:rFonts w:ascii="Times New Roman" w:hAnsi="Times New Roman" w:cs="Times New Roman"/>
          <w:lang w:val="id-ID"/>
        </w:rPr>
        <w:t xml:space="preserve"> </w:t>
      </w:r>
      <w:r w:rsidR="00CE02EF">
        <w:rPr>
          <w:rFonts w:ascii="Times New Roman" w:hAnsi="Times New Roman" w:cs="Times New Roman"/>
          <w:lang w:val="id-ID"/>
        </w:rPr>
        <w:t xml:space="preserve">  </w:t>
      </w:r>
      <w:r w:rsidR="009B5781" w:rsidRPr="00CE02EF">
        <w:rPr>
          <w:rFonts w:ascii="Times New Roman" w:hAnsi="Times New Roman" w:cs="Times New Roman"/>
          <w:i/>
          <w:lang w:val="id-ID"/>
        </w:rPr>
        <w:t>Keyword : contaminant tr</w:t>
      </w:r>
      <w:r w:rsidR="00CE02EF" w:rsidRPr="00CE02EF">
        <w:rPr>
          <w:rFonts w:ascii="Times New Roman" w:hAnsi="Times New Roman" w:cs="Times New Roman"/>
          <w:i/>
          <w:lang w:val="id-ID"/>
        </w:rPr>
        <w:t>a</w:t>
      </w:r>
      <w:r w:rsidR="009B5781" w:rsidRPr="00CE02EF">
        <w:rPr>
          <w:rFonts w:ascii="Times New Roman" w:hAnsi="Times New Roman" w:cs="Times New Roman"/>
          <w:i/>
          <w:lang w:val="id-ID"/>
        </w:rPr>
        <w:t>nsport, pollute v7, heavy metal iron and nikel</w:t>
      </w:r>
    </w:p>
    <w:p w:rsidR="000B3AFA" w:rsidRDefault="000B3AFA" w:rsidP="000A62B7">
      <w:pPr>
        <w:spacing w:line="240" w:lineRule="auto"/>
        <w:ind w:firstLine="0"/>
        <w:rPr>
          <w:rFonts w:ascii="Times New Roman" w:hAnsi="Times New Roman" w:cs="Times New Roman"/>
          <w:sz w:val="24"/>
          <w:szCs w:val="24"/>
          <w:lang w:val="id-ID"/>
        </w:rPr>
      </w:pPr>
    </w:p>
    <w:p w:rsidR="001A3383" w:rsidRDefault="001A3383" w:rsidP="001A3383">
      <w:pPr>
        <w:pStyle w:val="ListParagraph"/>
        <w:numPr>
          <w:ilvl w:val="0"/>
          <w:numId w:val="2"/>
        </w:numPr>
        <w:ind w:left="284" w:hanging="284"/>
        <w:rPr>
          <w:rFonts w:ascii="Times New Roman" w:hAnsi="Times New Roman" w:cs="Times New Roman"/>
          <w:sz w:val="24"/>
          <w:szCs w:val="24"/>
          <w:lang w:val="id-ID"/>
        </w:rPr>
        <w:sectPr w:rsidR="001A3383" w:rsidSect="00EC2FF4">
          <w:pgSz w:w="11906" w:h="16838"/>
          <w:pgMar w:top="2268" w:right="1701" w:bottom="1701" w:left="2268" w:header="709" w:footer="709" w:gutter="0"/>
          <w:cols w:space="708"/>
          <w:docGrid w:linePitch="360"/>
        </w:sectPr>
      </w:pPr>
    </w:p>
    <w:p w:rsidR="001A3383" w:rsidRPr="00C80BAF" w:rsidRDefault="001A3383" w:rsidP="00C80BAF">
      <w:pPr>
        <w:pStyle w:val="ListParagraph"/>
        <w:numPr>
          <w:ilvl w:val="0"/>
          <w:numId w:val="2"/>
        </w:numPr>
        <w:ind w:left="284" w:hanging="284"/>
        <w:rPr>
          <w:rFonts w:ascii="Times New Roman" w:hAnsi="Times New Roman" w:cs="Times New Roman"/>
          <w:b/>
          <w:sz w:val="24"/>
          <w:szCs w:val="24"/>
          <w:lang w:val="id-ID"/>
        </w:rPr>
      </w:pPr>
      <w:r w:rsidRPr="00C80BAF">
        <w:rPr>
          <w:rFonts w:ascii="Times New Roman" w:hAnsi="Times New Roman" w:cs="Times New Roman"/>
          <w:b/>
          <w:sz w:val="24"/>
          <w:szCs w:val="24"/>
          <w:lang w:val="id-ID"/>
        </w:rPr>
        <w:lastRenderedPageBreak/>
        <w:t>Pendahuluan</w:t>
      </w:r>
    </w:p>
    <w:p w:rsidR="001A3383" w:rsidRDefault="001A3383" w:rsidP="00C266B2">
      <w:pPr>
        <w:pStyle w:val="Heading1"/>
        <w:spacing w:line="240" w:lineRule="auto"/>
        <w:rPr>
          <w:rFonts w:cs="Times New Roman"/>
          <w:sz w:val="22"/>
          <w:szCs w:val="22"/>
          <w:lang w:val="id-ID"/>
        </w:rPr>
      </w:pPr>
      <w:proofErr w:type="gramStart"/>
      <w:r w:rsidRPr="000A62B7">
        <w:rPr>
          <w:rFonts w:cs="Times New Roman"/>
          <w:sz w:val="22"/>
          <w:szCs w:val="22"/>
        </w:rPr>
        <w:t>TPA</w:t>
      </w:r>
      <w:r w:rsidR="00C80BAF" w:rsidRPr="000A62B7">
        <w:rPr>
          <w:rFonts w:cs="Times New Roman"/>
          <w:sz w:val="22"/>
          <w:szCs w:val="22"/>
          <w:lang w:val="id-ID"/>
        </w:rPr>
        <w:t xml:space="preserve"> </w:t>
      </w:r>
      <w:proofErr w:type="spellStart"/>
      <w:r w:rsidRPr="000A62B7">
        <w:rPr>
          <w:rFonts w:cs="Times New Roman"/>
          <w:sz w:val="22"/>
          <w:szCs w:val="22"/>
        </w:rPr>
        <w:t>merupakan</w:t>
      </w:r>
      <w:proofErr w:type="spellEnd"/>
      <w:r w:rsidRPr="000A62B7">
        <w:rPr>
          <w:rFonts w:cs="Times New Roman"/>
          <w:sz w:val="22"/>
          <w:szCs w:val="22"/>
        </w:rPr>
        <w:t xml:space="preserve"> </w:t>
      </w:r>
      <w:proofErr w:type="spellStart"/>
      <w:r w:rsidRPr="000A62B7">
        <w:rPr>
          <w:rFonts w:cs="Times New Roman"/>
          <w:sz w:val="22"/>
          <w:szCs w:val="22"/>
        </w:rPr>
        <w:t>Tempat</w:t>
      </w:r>
      <w:proofErr w:type="spellEnd"/>
      <w:r w:rsidRPr="000A62B7">
        <w:rPr>
          <w:rFonts w:cs="Times New Roman"/>
          <w:sz w:val="22"/>
          <w:szCs w:val="22"/>
        </w:rPr>
        <w:t xml:space="preserve"> </w:t>
      </w:r>
      <w:proofErr w:type="spellStart"/>
      <w:r w:rsidRPr="000A62B7">
        <w:rPr>
          <w:rFonts w:cs="Times New Roman"/>
          <w:sz w:val="22"/>
          <w:szCs w:val="22"/>
        </w:rPr>
        <w:t>Pemrosesan</w:t>
      </w:r>
      <w:proofErr w:type="spellEnd"/>
      <w:r w:rsidRPr="000A62B7">
        <w:rPr>
          <w:rFonts w:cs="Times New Roman"/>
          <w:sz w:val="22"/>
          <w:szCs w:val="22"/>
        </w:rPr>
        <w:t xml:space="preserve"> </w:t>
      </w:r>
      <w:proofErr w:type="spellStart"/>
      <w:r w:rsidRPr="000A62B7">
        <w:rPr>
          <w:rFonts w:cs="Times New Roman"/>
          <w:sz w:val="22"/>
          <w:szCs w:val="22"/>
        </w:rPr>
        <w:t>Akhir</w:t>
      </w:r>
      <w:proofErr w:type="spellEnd"/>
      <w:r w:rsidRPr="000A62B7">
        <w:rPr>
          <w:rFonts w:cs="Times New Roman"/>
          <w:sz w:val="22"/>
          <w:szCs w:val="22"/>
        </w:rPr>
        <w:t xml:space="preserve"> </w:t>
      </w:r>
      <w:proofErr w:type="spellStart"/>
      <w:r w:rsidRPr="000A62B7">
        <w:rPr>
          <w:rFonts w:cs="Times New Roman"/>
          <w:sz w:val="22"/>
          <w:szCs w:val="22"/>
        </w:rPr>
        <w:t>dimana</w:t>
      </w:r>
      <w:proofErr w:type="spellEnd"/>
      <w:r w:rsidRPr="000A62B7">
        <w:rPr>
          <w:rFonts w:cs="Times New Roman"/>
          <w:sz w:val="22"/>
          <w:szCs w:val="22"/>
        </w:rPr>
        <w:t xml:space="preserve"> </w:t>
      </w:r>
      <w:proofErr w:type="spellStart"/>
      <w:r w:rsidRPr="000A62B7">
        <w:rPr>
          <w:rFonts w:cs="Times New Roman"/>
          <w:sz w:val="22"/>
          <w:szCs w:val="22"/>
        </w:rPr>
        <w:t>menjadi</w:t>
      </w:r>
      <w:proofErr w:type="spellEnd"/>
      <w:r w:rsidRPr="000A62B7">
        <w:rPr>
          <w:rFonts w:cs="Times New Roman"/>
          <w:sz w:val="22"/>
          <w:szCs w:val="22"/>
        </w:rPr>
        <w:t xml:space="preserve"> </w:t>
      </w:r>
      <w:proofErr w:type="spellStart"/>
      <w:r w:rsidRPr="000A62B7">
        <w:rPr>
          <w:rFonts w:cs="Times New Roman"/>
          <w:sz w:val="22"/>
          <w:szCs w:val="22"/>
        </w:rPr>
        <w:t>tempat</w:t>
      </w:r>
      <w:proofErr w:type="spellEnd"/>
      <w:r w:rsidRPr="000A62B7">
        <w:rPr>
          <w:rFonts w:cs="Times New Roman"/>
          <w:sz w:val="22"/>
          <w:szCs w:val="22"/>
        </w:rPr>
        <w:t xml:space="preserve"> </w:t>
      </w:r>
      <w:proofErr w:type="spellStart"/>
      <w:r w:rsidRPr="000A62B7">
        <w:rPr>
          <w:rFonts w:cs="Times New Roman"/>
          <w:sz w:val="22"/>
          <w:szCs w:val="22"/>
        </w:rPr>
        <w:t>untuk</w:t>
      </w:r>
      <w:proofErr w:type="spellEnd"/>
      <w:r w:rsidRPr="000A62B7">
        <w:rPr>
          <w:rFonts w:cs="Times New Roman"/>
          <w:sz w:val="22"/>
          <w:szCs w:val="22"/>
        </w:rPr>
        <w:t xml:space="preserve"> </w:t>
      </w:r>
      <w:proofErr w:type="spellStart"/>
      <w:r w:rsidRPr="000A62B7">
        <w:rPr>
          <w:rFonts w:cs="Times New Roman"/>
          <w:sz w:val="22"/>
          <w:szCs w:val="22"/>
        </w:rPr>
        <w:t>memproses</w:t>
      </w:r>
      <w:proofErr w:type="spellEnd"/>
      <w:r w:rsidRPr="000A62B7">
        <w:rPr>
          <w:rFonts w:cs="Times New Roman"/>
          <w:sz w:val="22"/>
          <w:szCs w:val="22"/>
        </w:rPr>
        <w:t xml:space="preserve"> </w:t>
      </w:r>
      <w:proofErr w:type="spellStart"/>
      <w:r w:rsidRPr="000A62B7">
        <w:rPr>
          <w:rFonts w:cs="Times New Roman"/>
          <w:sz w:val="22"/>
          <w:szCs w:val="22"/>
        </w:rPr>
        <w:t>sampah</w:t>
      </w:r>
      <w:proofErr w:type="spellEnd"/>
      <w:r w:rsidRPr="000A62B7">
        <w:rPr>
          <w:rFonts w:cs="Times New Roman"/>
          <w:sz w:val="22"/>
          <w:szCs w:val="22"/>
        </w:rPr>
        <w:t xml:space="preserve"> </w:t>
      </w:r>
      <w:proofErr w:type="spellStart"/>
      <w:r w:rsidRPr="000A62B7">
        <w:rPr>
          <w:rFonts w:cs="Times New Roman"/>
          <w:sz w:val="22"/>
          <w:szCs w:val="22"/>
        </w:rPr>
        <w:t>dan</w:t>
      </w:r>
      <w:proofErr w:type="spellEnd"/>
      <w:r w:rsidRPr="000A62B7">
        <w:rPr>
          <w:rFonts w:cs="Times New Roman"/>
          <w:sz w:val="22"/>
          <w:szCs w:val="22"/>
        </w:rPr>
        <w:t xml:space="preserve"> </w:t>
      </w:r>
      <w:proofErr w:type="spellStart"/>
      <w:r w:rsidRPr="000A62B7">
        <w:rPr>
          <w:rFonts w:cs="Times New Roman"/>
          <w:sz w:val="22"/>
          <w:szCs w:val="22"/>
        </w:rPr>
        <w:t>mengembalikan</w:t>
      </w:r>
      <w:proofErr w:type="spellEnd"/>
      <w:r w:rsidRPr="000A62B7">
        <w:rPr>
          <w:rFonts w:cs="Times New Roman"/>
          <w:sz w:val="22"/>
          <w:szCs w:val="22"/>
        </w:rPr>
        <w:t xml:space="preserve"> </w:t>
      </w:r>
      <w:proofErr w:type="spellStart"/>
      <w:r w:rsidRPr="000A62B7">
        <w:rPr>
          <w:rFonts w:cs="Times New Roman"/>
          <w:sz w:val="22"/>
          <w:szCs w:val="22"/>
        </w:rPr>
        <w:t>sampah</w:t>
      </w:r>
      <w:proofErr w:type="spellEnd"/>
      <w:r w:rsidRPr="000A62B7">
        <w:rPr>
          <w:rFonts w:cs="Times New Roman"/>
          <w:sz w:val="22"/>
          <w:szCs w:val="22"/>
        </w:rPr>
        <w:t xml:space="preserve"> </w:t>
      </w:r>
      <w:proofErr w:type="spellStart"/>
      <w:r w:rsidRPr="000A62B7">
        <w:rPr>
          <w:rFonts w:cs="Times New Roman"/>
          <w:sz w:val="22"/>
          <w:szCs w:val="22"/>
        </w:rPr>
        <w:t>ke</w:t>
      </w:r>
      <w:proofErr w:type="spellEnd"/>
      <w:r w:rsidRPr="000A62B7">
        <w:rPr>
          <w:rFonts w:cs="Times New Roman"/>
          <w:sz w:val="22"/>
          <w:szCs w:val="22"/>
        </w:rPr>
        <w:t xml:space="preserve"> media </w:t>
      </w:r>
      <w:proofErr w:type="spellStart"/>
      <w:r w:rsidRPr="000A62B7">
        <w:rPr>
          <w:rFonts w:cs="Times New Roman"/>
          <w:sz w:val="22"/>
          <w:szCs w:val="22"/>
        </w:rPr>
        <w:t>lingkungan</w:t>
      </w:r>
      <w:proofErr w:type="spellEnd"/>
      <w:r w:rsidRPr="000A62B7">
        <w:rPr>
          <w:rFonts w:cs="Times New Roman"/>
          <w:sz w:val="22"/>
          <w:szCs w:val="22"/>
        </w:rPr>
        <w:t xml:space="preserve"> </w:t>
      </w:r>
      <w:proofErr w:type="spellStart"/>
      <w:r w:rsidRPr="000A62B7">
        <w:rPr>
          <w:rFonts w:cs="Times New Roman"/>
          <w:sz w:val="22"/>
          <w:szCs w:val="22"/>
        </w:rPr>
        <w:t>secara</w:t>
      </w:r>
      <w:proofErr w:type="spellEnd"/>
      <w:r w:rsidRPr="000A62B7">
        <w:rPr>
          <w:rFonts w:cs="Times New Roman"/>
          <w:sz w:val="22"/>
          <w:szCs w:val="22"/>
        </w:rPr>
        <w:t xml:space="preserve"> </w:t>
      </w:r>
      <w:proofErr w:type="spellStart"/>
      <w:r w:rsidRPr="000A62B7">
        <w:rPr>
          <w:rFonts w:cs="Times New Roman"/>
          <w:sz w:val="22"/>
          <w:szCs w:val="22"/>
        </w:rPr>
        <w:t>aman</w:t>
      </w:r>
      <w:proofErr w:type="spellEnd"/>
      <w:r w:rsidRPr="000A62B7">
        <w:rPr>
          <w:rFonts w:cs="Times New Roman"/>
          <w:sz w:val="22"/>
          <w:szCs w:val="22"/>
        </w:rPr>
        <w:t xml:space="preserve"> </w:t>
      </w:r>
      <w:proofErr w:type="spellStart"/>
      <w:r w:rsidRPr="000A62B7">
        <w:rPr>
          <w:rFonts w:cs="Times New Roman"/>
          <w:sz w:val="22"/>
          <w:szCs w:val="22"/>
        </w:rPr>
        <w:t>bagi</w:t>
      </w:r>
      <w:proofErr w:type="spellEnd"/>
      <w:r w:rsidRPr="000A62B7">
        <w:rPr>
          <w:rFonts w:cs="Times New Roman"/>
          <w:sz w:val="22"/>
          <w:szCs w:val="22"/>
        </w:rPr>
        <w:t xml:space="preserve"> </w:t>
      </w:r>
      <w:proofErr w:type="spellStart"/>
      <w:r w:rsidRPr="000A62B7">
        <w:rPr>
          <w:rFonts w:cs="Times New Roman"/>
          <w:sz w:val="22"/>
          <w:szCs w:val="22"/>
        </w:rPr>
        <w:t>manusia</w:t>
      </w:r>
      <w:proofErr w:type="spellEnd"/>
      <w:r w:rsidRPr="000A62B7">
        <w:rPr>
          <w:rFonts w:cs="Times New Roman"/>
          <w:sz w:val="22"/>
          <w:szCs w:val="22"/>
        </w:rPr>
        <w:t xml:space="preserve"> </w:t>
      </w:r>
      <w:proofErr w:type="spellStart"/>
      <w:r w:rsidRPr="000A62B7">
        <w:rPr>
          <w:rFonts w:cs="Times New Roman"/>
          <w:sz w:val="22"/>
          <w:szCs w:val="22"/>
        </w:rPr>
        <w:t>dan</w:t>
      </w:r>
      <w:proofErr w:type="spellEnd"/>
      <w:r w:rsidRPr="000A62B7">
        <w:rPr>
          <w:rFonts w:cs="Times New Roman"/>
          <w:sz w:val="22"/>
          <w:szCs w:val="22"/>
        </w:rPr>
        <w:t xml:space="preserve"> </w:t>
      </w:r>
      <w:proofErr w:type="spellStart"/>
      <w:r w:rsidRPr="000A62B7">
        <w:rPr>
          <w:rFonts w:cs="Times New Roman"/>
          <w:sz w:val="22"/>
          <w:szCs w:val="22"/>
        </w:rPr>
        <w:t>lingkungan</w:t>
      </w:r>
      <w:proofErr w:type="spellEnd"/>
      <w:r w:rsidRPr="000A62B7">
        <w:rPr>
          <w:rFonts w:cs="Times New Roman"/>
          <w:sz w:val="22"/>
          <w:szCs w:val="22"/>
        </w:rPr>
        <w:t xml:space="preserve"> (UU No. 18 </w:t>
      </w:r>
      <w:proofErr w:type="spellStart"/>
      <w:r w:rsidRPr="000A62B7">
        <w:rPr>
          <w:rFonts w:cs="Times New Roman"/>
          <w:sz w:val="22"/>
          <w:szCs w:val="22"/>
        </w:rPr>
        <w:t>tahun</w:t>
      </w:r>
      <w:proofErr w:type="spellEnd"/>
      <w:r w:rsidRPr="000A62B7">
        <w:rPr>
          <w:rFonts w:cs="Times New Roman"/>
          <w:sz w:val="22"/>
          <w:szCs w:val="22"/>
        </w:rPr>
        <w:t xml:space="preserve"> 2008).</w:t>
      </w:r>
      <w:proofErr w:type="gramEnd"/>
      <w:r w:rsidRPr="000A62B7">
        <w:rPr>
          <w:rFonts w:cs="Times New Roman"/>
          <w:sz w:val="22"/>
          <w:szCs w:val="22"/>
          <w:lang w:val="id-ID"/>
        </w:rPr>
        <w:t xml:space="preserve"> </w:t>
      </w:r>
      <w:r w:rsidRPr="000A62B7">
        <w:rPr>
          <w:sz w:val="22"/>
          <w:szCs w:val="22"/>
          <w:lang w:val="id-ID"/>
        </w:rPr>
        <w:t xml:space="preserve">TPA </w:t>
      </w:r>
      <w:proofErr w:type="spellStart"/>
      <w:r w:rsidRPr="000A62B7">
        <w:rPr>
          <w:sz w:val="22"/>
          <w:szCs w:val="22"/>
        </w:rPr>
        <w:t>Ngronggo</w:t>
      </w:r>
      <w:proofErr w:type="spellEnd"/>
      <w:r w:rsidRPr="000A62B7">
        <w:rPr>
          <w:sz w:val="22"/>
          <w:szCs w:val="22"/>
          <w:lang w:val="id-ID"/>
        </w:rPr>
        <w:t xml:space="preserve"> </w:t>
      </w:r>
      <w:r w:rsidRPr="000A62B7">
        <w:rPr>
          <w:sz w:val="22"/>
          <w:szCs w:val="22"/>
        </w:rPr>
        <w:t xml:space="preserve">Kota </w:t>
      </w:r>
      <w:proofErr w:type="spellStart"/>
      <w:r w:rsidRPr="000A62B7">
        <w:rPr>
          <w:sz w:val="22"/>
          <w:szCs w:val="22"/>
        </w:rPr>
        <w:t>Salatiga</w:t>
      </w:r>
      <w:proofErr w:type="spellEnd"/>
      <w:r w:rsidRPr="000A62B7">
        <w:rPr>
          <w:sz w:val="22"/>
          <w:szCs w:val="22"/>
          <w:lang w:val="id-ID"/>
        </w:rPr>
        <w:t xml:space="preserve"> merupakan salah satu Tempat Pe</w:t>
      </w:r>
      <w:proofErr w:type="spellStart"/>
      <w:r w:rsidRPr="000A62B7">
        <w:rPr>
          <w:sz w:val="22"/>
          <w:szCs w:val="22"/>
        </w:rPr>
        <w:t>mrosesan</w:t>
      </w:r>
      <w:proofErr w:type="spellEnd"/>
      <w:r w:rsidRPr="000A62B7">
        <w:rPr>
          <w:sz w:val="22"/>
          <w:szCs w:val="22"/>
          <w:lang w:val="id-ID"/>
        </w:rPr>
        <w:t xml:space="preserve"> Akhir yang menampung sampah domestik </w:t>
      </w:r>
      <w:proofErr w:type="spellStart"/>
      <w:r w:rsidRPr="000A62B7">
        <w:rPr>
          <w:sz w:val="22"/>
          <w:szCs w:val="22"/>
        </w:rPr>
        <w:t>untuk</w:t>
      </w:r>
      <w:proofErr w:type="spellEnd"/>
      <w:r w:rsidRPr="000A62B7">
        <w:rPr>
          <w:sz w:val="22"/>
          <w:szCs w:val="22"/>
          <w:lang w:val="id-ID"/>
        </w:rPr>
        <w:t xml:space="preserve"> daerah </w:t>
      </w:r>
      <w:r w:rsidRPr="000A62B7">
        <w:rPr>
          <w:sz w:val="22"/>
          <w:szCs w:val="22"/>
        </w:rPr>
        <w:t xml:space="preserve">Kota </w:t>
      </w:r>
      <w:proofErr w:type="spellStart"/>
      <w:r w:rsidRPr="000A62B7">
        <w:rPr>
          <w:sz w:val="22"/>
          <w:szCs w:val="22"/>
        </w:rPr>
        <w:t>Salatiga</w:t>
      </w:r>
      <w:proofErr w:type="spellEnd"/>
      <w:r w:rsidRPr="000A62B7">
        <w:rPr>
          <w:sz w:val="22"/>
          <w:szCs w:val="22"/>
          <w:lang w:val="id-ID"/>
        </w:rPr>
        <w:t xml:space="preserve">. </w:t>
      </w:r>
      <w:proofErr w:type="spellStart"/>
      <w:proofErr w:type="gramStart"/>
      <w:r w:rsidRPr="000A62B7">
        <w:rPr>
          <w:rFonts w:cs="Times New Roman"/>
          <w:sz w:val="22"/>
          <w:szCs w:val="22"/>
        </w:rPr>
        <w:t>Komposisi</w:t>
      </w:r>
      <w:proofErr w:type="spellEnd"/>
      <w:r w:rsidRPr="000A62B7">
        <w:rPr>
          <w:rFonts w:cs="Times New Roman"/>
          <w:sz w:val="22"/>
          <w:szCs w:val="22"/>
        </w:rPr>
        <w:t xml:space="preserve"> </w:t>
      </w:r>
      <w:proofErr w:type="spellStart"/>
      <w:r w:rsidRPr="000A62B7">
        <w:rPr>
          <w:rFonts w:cs="Times New Roman"/>
          <w:sz w:val="22"/>
          <w:szCs w:val="22"/>
        </w:rPr>
        <w:t>sampah</w:t>
      </w:r>
      <w:proofErr w:type="spellEnd"/>
      <w:r w:rsidRPr="000A62B7">
        <w:rPr>
          <w:rFonts w:cs="Times New Roman"/>
          <w:sz w:val="22"/>
          <w:szCs w:val="22"/>
        </w:rPr>
        <w:t xml:space="preserve"> yang </w:t>
      </w:r>
      <w:proofErr w:type="spellStart"/>
      <w:r w:rsidRPr="000A62B7">
        <w:rPr>
          <w:rFonts w:cs="Times New Roman"/>
          <w:sz w:val="22"/>
          <w:szCs w:val="22"/>
        </w:rPr>
        <w:t>dibuang</w:t>
      </w:r>
      <w:proofErr w:type="spellEnd"/>
      <w:r w:rsidRPr="000A62B7">
        <w:rPr>
          <w:rFonts w:cs="Times New Roman"/>
          <w:sz w:val="22"/>
          <w:szCs w:val="22"/>
        </w:rPr>
        <w:t xml:space="preserve"> </w:t>
      </w:r>
      <w:proofErr w:type="spellStart"/>
      <w:r w:rsidRPr="000A62B7">
        <w:rPr>
          <w:rFonts w:cs="Times New Roman"/>
          <w:sz w:val="22"/>
          <w:szCs w:val="22"/>
        </w:rPr>
        <w:t>di</w:t>
      </w:r>
      <w:proofErr w:type="spellEnd"/>
      <w:r w:rsidRPr="000A62B7">
        <w:rPr>
          <w:rFonts w:cs="Times New Roman"/>
          <w:sz w:val="22"/>
          <w:szCs w:val="22"/>
        </w:rPr>
        <w:t xml:space="preserve"> TPA </w:t>
      </w:r>
      <w:proofErr w:type="spellStart"/>
      <w:r w:rsidRPr="000A62B7">
        <w:rPr>
          <w:rFonts w:cs="Times New Roman"/>
          <w:sz w:val="22"/>
          <w:szCs w:val="22"/>
        </w:rPr>
        <w:t>tersusun</w:t>
      </w:r>
      <w:proofErr w:type="spellEnd"/>
      <w:r w:rsidRPr="000A62B7">
        <w:rPr>
          <w:rFonts w:cs="Times New Roman"/>
          <w:sz w:val="22"/>
          <w:szCs w:val="22"/>
        </w:rPr>
        <w:t xml:space="preserve"> </w:t>
      </w:r>
      <w:proofErr w:type="spellStart"/>
      <w:r w:rsidRPr="000A62B7">
        <w:rPr>
          <w:rFonts w:cs="Times New Roman"/>
          <w:sz w:val="22"/>
          <w:szCs w:val="22"/>
        </w:rPr>
        <w:t>dari</w:t>
      </w:r>
      <w:proofErr w:type="spellEnd"/>
      <w:r w:rsidRPr="000A62B7">
        <w:rPr>
          <w:rFonts w:cs="Times New Roman"/>
          <w:sz w:val="22"/>
          <w:szCs w:val="22"/>
        </w:rPr>
        <w:t xml:space="preserve"> </w:t>
      </w:r>
      <w:proofErr w:type="spellStart"/>
      <w:r w:rsidRPr="000A62B7">
        <w:rPr>
          <w:rFonts w:cs="Times New Roman"/>
          <w:sz w:val="22"/>
          <w:szCs w:val="22"/>
        </w:rPr>
        <w:t>beraneka</w:t>
      </w:r>
      <w:proofErr w:type="spellEnd"/>
      <w:r w:rsidRPr="000A62B7">
        <w:rPr>
          <w:rFonts w:cs="Times New Roman"/>
          <w:sz w:val="22"/>
          <w:szCs w:val="22"/>
        </w:rPr>
        <w:t xml:space="preserve"> </w:t>
      </w:r>
      <w:proofErr w:type="spellStart"/>
      <w:r w:rsidRPr="000A62B7">
        <w:rPr>
          <w:rFonts w:cs="Times New Roman"/>
          <w:sz w:val="22"/>
          <w:szCs w:val="22"/>
        </w:rPr>
        <w:t>ragam</w:t>
      </w:r>
      <w:proofErr w:type="spellEnd"/>
      <w:r w:rsidRPr="000A62B7">
        <w:rPr>
          <w:rFonts w:cs="Times New Roman"/>
          <w:sz w:val="22"/>
          <w:szCs w:val="22"/>
        </w:rPr>
        <w:t xml:space="preserve"> </w:t>
      </w:r>
      <w:proofErr w:type="spellStart"/>
      <w:r w:rsidRPr="000A62B7">
        <w:rPr>
          <w:rFonts w:cs="Times New Roman"/>
          <w:sz w:val="22"/>
          <w:szCs w:val="22"/>
        </w:rPr>
        <w:t>dan</w:t>
      </w:r>
      <w:proofErr w:type="spellEnd"/>
      <w:r w:rsidRPr="000A62B7">
        <w:rPr>
          <w:rFonts w:cs="Times New Roman"/>
          <w:sz w:val="22"/>
          <w:szCs w:val="22"/>
        </w:rPr>
        <w:t xml:space="preserve"> </w:t>
      </w:r>
      <w:proofErr w:type="spellStart"/>
      <w:r w:rsidRPr="000A62B7">
        <w:rPr>
          <w:rFonts w:cs="Times New Roman"/>
          <w:sz w:val="22"/>
          <w:szCs w:val="22"/>
        </w:rPr>
        <w:t>jenis</w:t>
      </w:r>
      <w:proofErr w:type="spellEnd"/>
      <w:r w:rsidRPr="000A62B7">
        <w:rPr>
          <w:rFonts w:cs="Times New Roman"/>
          <w:sz w:val="22"/>
          <w:szCs w:val="22"/>
        </w:rPr>
        <w:t xml:space="preserve"> </w:t>
      </w:r>
      <w:proofErr w:type="spellStart"/>
      <w:r w:rsidRPr="000A62B7">
        <w:rPr>
          <w:rFonts w:cs="Times New Roman"/>
          <w:sz w:val="22"/>
          <w:szCs w:val="22"/>
        </w:rPr>
        <w:t>sampah</w:t>
      </w:r>
      <w:proofErr w:type="spellEnd"/>
      <w:r w:rsidRPr="000A62B7">
        <w:rPr>
          <w:rFonts w:cs="Times New Roman"/>
          <w:sz w:val="22"/>
          <w:szCs w:val="22"/>
        </w:rPr>
        <w:t xml:space="preserve"> </w:t>
      </w:r>
      <w:proofErr w:type="spellStart"/>
      <w:r w:rsidRPr="000A62B7">
        <w:rPr>
          <w:rFonts w:cs="Times New Roman"/>
          <w:sz w:val="22"/>
          <w:szCs w:val="22"/>
        </w:rPr>
        <w:t>baik</w:t>
      </w:r>
      <w:proofErr w:type="spellEnd"/>
      <w:r w:rsidRPr="000A62B7">
        <w:rPr>
          <w:rFonts w:cs="Times New Roman"/>
          <w:sz w:val="22"/>
          <w:szCs w:val="22"/>
        </w:rPr>
        <w:t xml:space="preserve"> </w:t>
      </w:r>
      <w:proofErr w:type="spellStart"/>
      <w:r w:rsidRPr="000A62B7">
        <w:rPr>
          <w:rFonts w:cs="Times New Roman"/>
          <w:sz w:val="22"/>
          <w:szCs w:val="22"/>
        </w:rPr>
        <w:t>organik</w:t>
      </w:r>
      <w:proofErr w:type="spellEnd"/>
      <w:r w:rsidRPr="000A62B7">
        <w:rPr>
          <w:rFonts w:cs="Times New Roman"/>
          <w:sz w:val="22"/>
          <w:szCs w:val="22"/>
        </w:rPr>
        <w:t xml:space="preserve"> </w:t>
      </w:r>
      <w:proofErr w:type="spellStart"/>
      <w:r w:rsidRPr="000A62B7">
        <w:rPr>
          <w:rFonts w:cs="Times New Roman"/>
          <w:sz w:val="22"/>
          <w:szCs w:val="22"/>
        </w:rPr>
        <w:t>maupun</w:t>
      </w:r>
      <w:proofErr w:type="spellEnd"/>
      <w:r w:rsidRPr="000A62B7">
        <w:rPr>
          <w:rFonts w:cs="Times New Roman"/>
          <w:sz w:val="22"/>
          <w:szCs w:val="22"/>
        </w:rPr>
        <w:t xml:space="preserve"> </w:t>
      </w:r>
      <w:proofErr w:type="spellStart"/>
      <w:r w:rsidRPr="000A62B7">
        <w:rPr>
          <w:rFonts w:cs="Times New Roman"/>
          <w:sz w:val="22"/>
          <w:szCs w:val="22"/>
        </w:rPr>
        <w:t>anorganik</w:t>
      </w:r>
      <w:proofErr w:type="spellEnd"/>
      <w:r w:rsidRPr="000A62B7">
        <w:rPr>
          <w:rFonts w:cs="Times New Roman"/>
          <w:sz w:val="22"/>
          <w:szCs w:val="22"/>
        </w:rPr>
        <w:t>.</w:t>
      </w:r>
      <w:proofErr w:type="gramEnd"/>
    </w:p>
    <w:p w:rsidR="00C266B2" w:rsidRPr="00C266B2" w:rsidRDefault="00C266B2" w:rsidP="00C266B2">
      <w:pPr>
        <w:spacing w:line="240" w:lineRule="auto"/>
        <w:rPr>
          <w:lang w:val="id-ID"/>
        </w:rPr>
      </w:pPr>
    </w:p>
    <w:p w:rsidR="001A3383" w:rsidRDefault="001A3383" w:rsidP="00C266B2">
      <w:pPr>
        <w:spacing w:line="240" w:lineRule="auto"/>
        <w:ind w:firstLine="0"/>
        <w:rPr>
          <w:rFonts w:ascii="Times New Roman" w:hAnsi="Times New Roman" w:cs="Times New Roman"/>
          <w:lang w:val="id-ID"/>
        </w:rPr>
      </w:pPr>
      <w:proofErr w:type="spellStart"/>
      <w:r w:rsidRPr="000A62B7">
        <w:rPr>
          <w:rFonts w:ascii="Times New Roman" w:eastAsia="Times New Roman" w:hAnsi="Times New Roman" w:cs="Times New Roman"/>
          <w:bCs/>
        </w:rPr>
        <w:t>Berdasarkan</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studi</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pedahuluan</w:t>
      </w:r>
      <w:proofErr w:type="spellEnd"/>
      <w:r w:rsidRPr="000A62B7">
        <w:rPr>
          <w:rFonts w:ascii="Times New Roman" w:eastAsia="Times New Roman" w:hAnsi="Times New Roman" w:cs="Times New Roman"/>
          <w:bCs/>
        </w:rPr>
        <w:t xml:space="preserve"> yang </w:t>
      </w:r>
      <w:proofErr w:type="spellStart"/>
      <w:r w:rsidRPr="000A62B7">
        <w:rPr>
          <w:rFonts w:ascii="Times New Roman" w:eastAsia="Times New Roman" w:hAnsi="Times New Roman" w:cs="Times New Roman"/>
          <w:bCs/>
        </w:rPr>
        <w:t>telah</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dilakukan</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lindi</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dalam</w:t>
      </w:r>
      <w:proofErr w:type="spellEnd"/>
      <w:r w:rsidRPr="000A62B7">
        <w:rPr>
          <w:rFonts w:ascii="Times New Roman" w:eastAsia="Times New Roman" w:hAnsi="Times New Roman" w:cs="Times New Roman"/>
          <w:bCs/>
        </w:rPr>
        <w:t xml:space="preserve"> TPA </w:t>
      </w:r>
      <w:proofErr w:type="spellStart"/>
      <w:r w:rsidRPr="000A62B7">
        <w:rPr>
          <w:rFonts w:ascii="Times New Roman" w:eastAsia="Times New Roman" w:hAnsi="Times New Roman" w:cs="Times New Roman"/>
          <w:bCs/>
        </w:rPr>
        <w:t>Ngronggo</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mengandung</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kontaminan</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logam</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berat</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Besi</w:t>
      </w:r>
      <w:proofErr w:type="spellEnd"/>
      <w:r w:rsidRPr="000A62B7">
        <w:rPr>
          <w:rFonts w:ascii="Times New Roman" w:eastAsia="Times New Roman" w:hAnsi="Times New Roman" w:cs="Times New Roman"/>
          <w:bCs/>
        </w:rPr>
        <w:t xml:space="preserve"> (Fe) </w:t>
      </w:r>
      <w:r w:rsidRPr="000A62B7">
        <w:rPr>
          <w:rFonts w:ascii="Times New Roman" w:eastAsia="Times New Roman" w:hAnsi="Times New Roman" w:cs="Times New Roman"/>
          <w:bCs/>
          <w:lang w:val="id-ID"/>
        </w:rPr>
        <w:t>96,87</w:t>
      </w:r>
      <w:r w:rsidRPr="000A62B7">
        <w:rPr>
          <w:rFonts w:ascii="Times New Roman" w:eastAsia="Times New Roman" w:hAnsi="Times New Roman" w:cs="Times New Roman"/>
          <w:bCs/>
        </w:rPr>
        <w:t xml:space="preserve"> mg/l </w:t>
      </w:r>
      <w:proofErr w:type="spellStart"/>
      <w:r w:rsidRPr="000A62B7">
        <w:rPr>
          <w:rFonts w:ascii="Times New Roman" w:eastAsia="Times New Roman" w:hAnsi="Times New Roman" w:cs="Times New Roman"/>
          <w:bCs/>
        </w:rPr>
        <w:t>dan</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Nikel</w:t>
      </w:r>
      <w:proofErr w:type="spellEnd"/>
      <w:r w:rsidRPr="000A62B7">
        <w:rPr>
          <w:rFonts w:ascii="Times New Roman" w:eastAsia="Times New Roman" w:hAnsi="Times New Roman" w:cs="Times New Roman"/>
          <w:bCs/>
        </w:rPr>
        <w:t xml:space="preserve"> (Ni) </w:t>
      </w:r>
      <w:r w:rsidRPr="000A62B7">
        <w:rPr>
          <w:rFonts w:ascii="Times New Roman" w:eastAsia="Times New Roman" w:hAnsi="Times New Roman" w:cs="Times New Roman"/>
          <w:bCs/>
          <w:lang w:val="id-ID"/>
        </w:rPr>
        <w:t>0,56</w:t>
      </w:r>
      <w:r w:rsidRPr="000A62B7">
        <w:rPr>
          <w:rFonts w:ascii="Times New Roman" w:eastAsia="Times New Roman" w:hAnsi="Times New Roman" w:cs="Times New Roman"/>
          <w:bCs/>
        </w:rPr>
        <w:t xml:space="preserve"> mg/l. </w:t>
      </w:r>
      <w:proofErr w:type="spellStart"/>
      <w:r w:rsidRPr="000A62B7">
        <w:rPr>
          <w:rFonts w:ascii="Times New Roman" w:eastAsia="Times New Roman" w:hAnsi="Times New Roman" w:cs="Times New Roman"/>
          <w:bCs/>
        </w:rPr>
        <w:t>Konsentrasi</w:t>
      </w:r>
      <w:proofErr w:type="spellEnd"/>
      <w:r w:rsidRPr="000A62B7">
        <w:rPr>
          <w:rFonts w:ascii="Times New Roman" w:eastAsia="Times New Roman" w:hAnsi="Times New Roman" w:cs="Times New Roman"/>
          <w:bCs/>
        </w:rPr>
        <w:t xml:space="preserve">  </w:t>
      </w:r>
      <w:r w:rsidRPr="000A62B7">
        <w:rPr>
          <w:rFonts w:ascii="Times New Roman" w:eastAsia="Times New Roman" w:hAnsi="Times New Roman" w:cs="Times New Roman"/>
          <w:bCs/>
          <w:lang w:val="id-ID"/>
        </w:rPr>
        <w:t>tersebut</w:t>
      </w:r>
      <w:r w:rsidRPr="000A62B7">
        <w:rPr>
          <w:rFonts w:ascii="Times New Roman" w:eastAsia="Times New Roman" w:hAnsi="Times New Roman" w:cs="Times New Roman"/>
          <w:bCs/>
        </w:rPr>
        <w:t xml:space="preserve"> m</w:t>
      </w:r>
      <w:r w:rsidRPr="000A62B7">
        <w:rPr>
          <w:rFonts w:ascii="Times New Roman" w:eastAsia="Times New Roman" w:hAnsi="Times New Roman" w:cs="Times New Roman"/>
          <w:bCs/>
          <w:lang w:val="id-ID"/>
        </w:rPr>
        <w:t>e</w:t>
      </w:r>
      <w:proofErr w:type="spellStart"/>
      <w:r w:rsidRPr="000A62B7">
        <w:rPr>
          <w:rFonts w:ascii="Times New Roman" w:eastAsia="Times New Roman" w:hAnsi="Times New Roman" w:cs="Times New Roman"/>
          <w:bCs/>
        </w:rPr>
        <w:t>lebihi</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baku</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mutu</w:t>
      </w:r>
      <w:proofErr w:type="spellEnd"/>
      <w:r w:rsidRPr="000A62B7">
        <w:rPr>
          <w:rFonts w:ascii="Times New Roman" w:eastAsia="Times New Roman" w:hAnsi="Times New Roman" w:cs="Times New Roman"/>
          <w:bCs/>
          <w:lang w:val="id-ID"/>
        </w:rPr>
        <w:t xml:space="preserve"> </w:t>
      </w:r>
      <w:proofErr w:type="spellStart"/>
      <w:r w:rsidRPr="000A62B7">
        <w:rPr>
          <w:rFonts w:ascii="Times New Roman" w:eastAsia="Times New Roman" w:hAnsi="Times New Roman" w:cs="Times New Roman"/>
          <w:bCs/>
        </w:rPr>
        <w:t>Perda</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Jateng</w:t>
      </w:r>
      <w:proofErr w:type="spellEnd"/>
      <w:r w:rsidRPr="000A62B7">
        <w:rPr>
          <w:rFonts w:ascii="Times New Roman" w:eastAsia="Times New Roman" w:hAnsi="Times New Roman" w:cs="Times New Roman"/>
          <w:bCs/>
        </w:rPr>
        <w:t xml:space="preserve"> No. 5 </w:t>
      </w:r>
      <w:proofErr w:type="spellStart"/>
      <w:r w:rsidRPr="000A62B7">
        <w:rPr>
          <w:rFonts w:ascii="Times New Roman" w:eastAsia="Times New Roman" w:hAnsi="Times New Roman" w:cs="Times New Roman"/>
          <w:bCs/>
        </w:rPr>
        <w:t>tahun</w:t>
      </w:r>
      <w:proofErr w:type="spellEnd"/>
      <w:r w:rsidRPr="000A62B7">
        <w:rPr>
          <w:rFonts w:ascii="Times New Roman" w:eastAsia="Times New Roman" w:hAnsi="Times New Roman" w:cs="Times New Roman"/>
          <w:bCs/>
        </w:rPr>
        <w:t xml:space="preserve"> 2012. </w:t>
      </w:r>
      <w:proofErr w:type="spellStart"/>
      <w:proofErr w:type="gramStart"/>
      <w:r w:rsidRPr="000A62B7">
        <w:rPr>
          <w:rFonts w:ascii="Times New Roman" w:eastAsia="Times New Roman" w:hAnsi="Times New Roman" w:cs="Times New Roman"/>
          <w:bCs/>
        </w:rPr>
        <w:t>Apabila</w:t>
      </w:r>
      <w:proofErr w:type="spellEnd"/>
      <w:r w:rsidRPr="000A62B7">
        <w:rPr>
          <w:rFonts w:ascii="Times New Roman" w:eastAsia="Times New Roman" w:hAnsi="Times New Roman" w:cs="Times New Roman"/>
          <w:bCs/>
          <w:lang w:val="id-ID"/>
        </w:rPr>
        <w:t xml:space="preserve"> </w:t>
      </w:r>
      <w:proofErr w:type="spellStart"/>
      <w:r w:rsidRPr="000A62B7">
        <w:rPr>
          <w:rFonts w:ascii="Times New Roman" w:eastAsia="Times New Roman" w:hAnsi="Times New Roman" w:cs="Times New Roman"/>
          <w:bCs/>
        </w:rPr>
        <w:t>senyawa</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logam</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berat</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ini</w:t>
      </w:r>
      <w:proofErr w:type="spellEnd"/>
      <w:r w:rsidRPr="000A62B7">
        <w:rPr>
          <w:rFonts w:ascii="Times New Roman" w:eastAsia="Times New Roman" w:hAnsi="Times New Roman" w:cs="Times New Roman"/>
          <w:bCs/>
          <w:lang w:val="id-ID"/>
        </w:rPr>
        <w:t xml:space="preserve"> mencemari tanah maka dapat</w:t>
      </w:r>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berpotensi</w:t>
      </w:r>
      <w:proofErr w:type="spellEnd"/>
      <w:r w:rsidRPr="000A62B7">
        <w:rPr>
          <w:rFonts w:ascii="Times New Roman" w:eastAsia="Times New Roman" w:hAnsi="Times New Roman" w:cs="Times New Roman"/>
          <w:bCs/>
          <w:lang w:val="id-ID"/>
        </w:rPr>
        <w:t xml:space="preserve"> </w:t>
      </w:r>
      <w:proofErr w:type="spellStart"/>
      <w:r w:rsidRPr="000A62B7">
        <w:rPr>
          <w:rFonts w:ascii="Times New Roman" w:eastAsia="Times New Roman" w:hAnsi="Times New Roman" w:cs="Times New Roman"/>
          <w:bCs/>
        </w:rPr>
        <w:t>mencemari</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lingkungan</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sekitar</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dan</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memberikan</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pengaruh</w:t>
      </w:r>
      <w:proofErr w:type="spellEnd"/>
      <w:r w:rsidRPr="000A62B7">
        <w:rPr>
          <w:rFonts w:ascii="Times New Roman" w:eastAsia="Times New Roman" w:hAnsi="Times New Roman" w:cs="Times New Roman"/>
          <w:bCs/>
        </w:rPr>
        <w:t xml:space="preserve"> yang </w:t>
      </w:r>
      <w:proofErr w:type="spellStart"/>
      <w:r w:rsidRPr="000A62B7">
        <w:rPr>
          <w:rFonts w:ascii="Times New Roman" w:eastAsia="Times New Roman" w:hAnsi="Times New Roman" w:cs="Times New Roman"/>
          <w:bCs/>
        </w:rPr>
        <w:t>buruk</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bagi</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makluk</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hidup</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di</w:t>
      </w:r>
      <w:proofErr w:type="spellEnd"/>
      <w:r w:rsidRPr="000A62B7">
        <w:rPr>
          <w:rFonts w:ascii="Times New Roman" w:eastAsia="Times New Roman" w:hAnsi="Times New Roman" w:cs="Times New Roman"/>
          <w:bCs/>
        </w:rPr>
        <w:t xml:space="preserve"> </w:t>
      </w:r>
      <w:proofErr w:type="spellStart"/>
      <w:r w:rsidRPr="000A62B7">
        <w:rPr>
          <w:rFonts w:ascii="Times New Roman" w:eastAsia="Times New Roman" w:hAnsi="Times New Roman" w:cs="Times New Roman"/>
          <w:bCs/>
        </w:rPr>
        <w:t>sekitarnya</w:t>
      </w:r>
      <w:proofErr w:type="spellEnd"/>
      <w:r w:rsidRPr="000A62B7">
        <w:rPr>
          <w:rFonts w:ascii="Times New Roman" w:eastAsia="Times New Roman" w:hAnsi="Times New Roman" w:cs="Times New Roman"/>
          <w:bCs/>
          <w:lang w:val="id-ID"/>
        </w:rPr>
        <w:t>.</w:t>
      </w:r>
      <w:proofErr w:type="gramEnd"/>
      <w:r w:rsidRPr="000A62B7">
        <w:rPr>
          <w:rFonts w:ascii="Times New Roman" w:eastAsia="Times New Roman" w:hAnsi="Times New Roman" w:cs="Times New Roman"/>
          <w:bCs/>
          <w:lang w:val="id-ID"/>
        </w:rPr>
        <w:t xml:space="preserve"> </w:t>
      </w:r>
      <w:proofErr w:type="spellStart"/>
      <w:r w:rsidR="00C80BAF" w:rsidRPr="000A62B7">
        <w:rPr>
          <w:rFonts w:ascii="Times New Roman" w:hAnsi="Times New Roman" w:cs="Times New Roman"/>
        </w:rPr>
        <w:t>Salah</w:t>
      </w:r>
      <w:proofErr w:type="spellEnd"/>
      <w:r w:rsidR="00C80BAF" w:rsidRPr="000A62B7">
        <w:rPr>
          <w:rFonts w:ascii="Times New Roman" w:hAnsi="Times New Roman" w:cs="Times New Roman"/>
        </w:rPr>
        <w:t xml:space="preserve"> </w:t>
      </w:r>
      <w:proofErr w:type="spellStart"/>
      <w:r w:rsidR="00C80BAF" w:rsidRPr="000A62B7">
        <w:rPr>
          <w:rFonts w:ascii="Times New Roman" w:hAnsi="Times New Roman" w:cs="Times New Roman"/>
        </w:rPr>
        <w:t>satu</w:t>
      </w:r>
      <w:proofErr w:type="spellEnd"/>
      <w:r w:rsidR="00C80BAF" w:rsidRPr="000A62B7">
        <w:rPr>
          <w:rFonts w:ascii="Times New Roman" w:hAnsi="Times New Roman" w:cs="Times New Roman"/>
        </w:rPr>
        <w:t xml:space="preserve"> </w:t>
      </w:r>
      <w:r w:rsidR="00C80BAF" w:rsidRPr="000A62B7">
        <w:rPr>
          <w:rFonts w:ascii="Times New Roman" w:hAnsi="Times New Roman" w:cs="Times New Roman"/>
          <w:i/>
        </w:rPr>
        <w:t>software</w:t>
      </w:r>
      <w:r w:rsidR="00C80BAF" w:rsidRPr="000A62B7">
        <w:rPr>
          <w:rFonts w:ascii="Times New Roman" w:hAnsi="Times New Roman" w:cs="Times New Roman"/>
        </w:rPr>
        <w:t xml:space="preserve"> yang </w:t>
      </w:r>
      <w:proofErr w:type="spellStart"/>
      <w:r w:rsidR="00C80BAF" w:rsidRPr="000A62B7">
        <w:rPr>
          <w:rFonts w:ascii="Times New Roman" w:hAnsi="Times New Roman" w:cs="Times New Roman"/>
        </w:rPr>
        <w:t>memungkinakan</w:t>
      </w:r>
      <w:proofErr w:type="spellEnd"/>
      <w:r w:rsidR="00C80BAF" w:rsidRPr="000A62B7">
        <w:rPr>
          <w:rFonts w:ascii="Times New Roman" w:hAnsi="Times New Roman" w:cs="Times New Roman"/>
        </w:rPr>
        <w:t xml:space="preserve"> </w:t>
      </w:r>
      <w:proofErr w:type="spellStart"/>
      <w:r w:rsidR="00C80BAF" w:rsidRPr="000A62B7">
        <w:rPr>
          <w:rFonts w:ascii="Times New Roman" w:hAnsi="Times New Roman" w:cs="Times New Roman"/>
        </w:rPr>
        <w:t>untuk</w:t>
      </w:r>
      <w:proofErr w:type="spellEnd"/>
      <w:r w:rsidR="00C80BAF" w:rsidRPr="000A62B7">
        <w:rPr>
          <w:rFonts w:ascii="Times New Roman" w:hAnsi="Times New Roman" w:cs="Times New Roman"/>
        </w:rPr>
        <w:t xml:space="preserve"> </w:t>
      </w:r>
      <w:proofErr w:type="spellStart"/>
      <w:r w:rsidR="00C80BAF" w:rsidRPr="000A62B7">
        <w:rPr>
          <w:rFonts w:ascii="Times New Roman" w:hAnsi="Times New Roman" w:cs="Times New Roman"/>
        </w:rPr>
        <w:t>mengetahui</w:t>
      </w:r>
      <w:proofErr w:type="spellEnd"/>
      <w:r w:rsidR="00C80BAF" w:rsidRPr="000A62B7">
        <w:rPr>
          <w:rFonts w:ascii="Times New Roman" w:hAnsi="Times New Roman" w:cs="Times New Roman"/>
        </w:rPr>
        <w:t xml:space="preserve"> transport </w:t>
      </w:r>
      <w:proofErr w:type="spellStart"/>
      <w:r w:rsidR="00C80BAF" w:rsidRPr="000A62B7">
        <w:rPr>
          <w:rFonts w:ascii="Times New Roman" w:hAnsi="Times New Roman" w:cs="Times New Roman"/>
        </w:rPr>
        <w:t>kontaminan</w:t>
      </w:r>
      <w:proofErr w:type="spellEnd"/>
      <w:r w:rsidR="00C80BAF" w:rsidRPr="000A62B7">
        <w:rPr>
          <w:rFonts w:ascii="Times New Roman" w:hAnsi="Times New Roman" w:cs="Times New Roman"/>
          <w:lang w:val="id-ID"/>
        </w:rPr>
        <w:t xml:space="preserve"> dalam tanah </w:t>
      </w:r>
      <w:proofErr w:type="spellStart"/>
      <w:r w:rsidR="00C80BAF" w:rsidRPr="000A62B7">
        <w:rPr>
          <w:rFonts w:ascii="Times New Roman" w:hAnsi="Times New Roman" w:cs="Times New Roman"/>
        </w:rPr>
        <w:t>adalah</w:t>
      </w:r>
      <w:proofErr w:type="spellEnd"/>
      <w:r w:rsidR="00C80BAF" w:rsidRPr="000A62B7">
        <w:rPr>
          <w:rFonts w:ascii="Times New Roman" w:hAnsi="Times New Roman" w:cs="Times New Roman"/>
        </w:rPr>
        <w:t xml:space="preserve"> Pollute v7.</w:t>
      </w:r>
    </w:p>
    <w:p w:rsidR="00C266B2" w:rsidRPr="00C266B2" w:rsidRDefault="00C266B2" w:rsidP="00C266B2">
      <w:pPr>
        <w:spacing w:line="240" w:lineRule="auto"/>
        <w:ind w:firstLine="0"/>
        <w:rPr>
          <w:rFonts w:ascii="Times New Roman" w:hAnsi="Times New Roman" w:cs="Times New Roman"/>
          <w:lang w:val="id-ID"/>
        </w:rPr>
      </w:pPr>
    </w:p>
    <w:p w:rsidR="00FE5A7C" w:rsidRPr="00FE5A7C" w:rsidRDefault="00FE5A7C" w:rsidP="00C266B2">
      <w:pPr>
        <w:spacing w:line="240" w:lineRule="auto"/>
        <w:ind w:firstLine="0"/>
        <w:rPr>
          <w:rFonts w:ascii="Times New Roman" w:hAnsi="Times New Roman" w:cs="Times New Roman"/>
          <w:lang w:val="id-ID"/>
        </w:rPr>
      </w:pPr>
      <w:r>
        <w:rPr>
          <w:rFonts w:ascii="Times New Roman" w:hAnsi="Times New Roman" w:cs="Times New Roman"/>
          <w:lang w:val="id-ID"/>
        </w:rPr>
        <w:t xml:space="preserve">Tujuan dari penelitian ini antara lain untuk mendapatkan permodelan transport besi (Fe) dan </w:t>
      </w:r>
      <w:r>
        <w:rPr>
          <w:rFonts w:ascii="Times New Roman" w:hAnsi="Times New Roman" w:cs="Times New Roman"/>
          <w:lang w:val="id-ID"/>
        </w:rPr>
        <w:lastRenderedPageBreak/>
        <w:t xml:space="preserve">nikel (Ni) dalam lindi menggunakan </w:t>
      </w:r>
      <w:r>
        <w:rPr>
          <w:rFonts w:ascii="Times New Roman" w:hAnsi="Times New Roman" w:cs="Times New Roman"/>
          <w:i/>
          <w:lang w:val="id-ID"/>
        </w:rPr>
        <w:t xml:space="preserve">software </w:t>
      </w:r>
      <w:r>
        <w:rPr>
          <w:rFonts w:ascii="Times New Roman" w:hAnsi="Times New Roman" w:cs="Times New Roman"/>
          <w:lang w:val="id-ID"/>
        </w:rPr>
        <w:t>Pollute v7. Selain itu, untuk mengetahui prediksi transort lindi selama masa pakai TPA Ngronggo, yaitu 15 tahun ke depan.</w:t>
      </w:r>
    </w:p>
    <w:p w:rsidR="00DC3036" w:rsidRPr="00DC3036" w:rsidRDefault="00DC3036" w:rsidP="00C266B2">
      <w:pPr>
        <w:spacing w:line="240" w:lineRule="auto"/>
        <w:rPr>
          <w:rFonts w:ascii="Times New Roman" w:eastAsia="Times New Roman" w:hAnsi="Times New Roman" w:cs="Times New Roman"/>
          <w:bCs/>
          <w:lang w:val="id-ID"/>
        </w:rPr>
      </w:pPr>
    </w:p>
    <w:p w:rsidR="00572853" w:rsidRPr="000A62B7" w:rsidRDefault="00C80BAF" w:rsidP="00C266B2">
      <w:pPr>
        <w:pStyle w:val="Heading1"/>
        <w:numPr>
          <w:ilvl w:val="0"/>
          <w:numId w:val="2"/>
        </w:numPr>
        <w:spacing w:line="240" w:lineRule="auto"/>
        <w:ind w:left="426" w:hanging="350"/>
        <w:rPr>
          <w:b/>
          <w:sz w:val="22"/>
          <w:szCs w:val="22"/>
          <w:lang w:val="id-ID"/>
        </w:rPr>
      </w:pPr>
      <w:r w:rsidRPr="000A62B7">
        <w:rPr>
          <w:b/>
          <w:sz w:val="22"/>
          <w:szCs w:val="22"/>
          <w:lang w:val="id-ID"/>
        </w:rPr>
        <w:t>Metodologi</w:t>
      </w:r>
    </w:p>
    <w:p w:rsidR="00C80BAF" w:rsidRPr="000A62B7" w:rsidRDefault="00C80BAF" w:rsidP="00C266B2">
      <w:pPr>
        <w:spacing w:line="240" w:lineRule="auto"/>
        <w:ind w:firstLine="0"/>
        <w:rPr>
          <w:rFonts w:ascii="Times New Roman" w:hAnsi="Times New Roman" w:cs="Times New Roman"/>
          <w:lang w:val="id-ID"/>
        </w:rPr>
      </w:pPr>
      <w:proofErr w:type="spellStart"/>
      <w:proofErr w:type="gramStart"/>
      <w:r w:rsidRPr="000A62B7">
        <w:rPr>
          <w:rFonts w:ascii="Times New Roman" w:hAnsi="Times New Roman" w:cs="Times New Roman"/>
        </w:rPr>
        <w:t>Pelaksanaan</w:t>
      </w:r>
      <w:proofErr w:type="spellEnd"/>
      <w:r w:rsidRPr="000A62B7">
        <w:rPr>
          <w:rFonts w:ascii="Times New Roman" w:hAnsi="Times New Roman" w:cs="Times New Roman"/>
        </w:rPr>
        <w:t xml:space="preserve"> </w:t>
      </w:r>
      <w:proofErr w:type="spellStart"/>
      <w:r w:rsidRPr="000A62B7">
        <w:rPr>
          <w:rFonts w:ascii="Times New Roman" w:hAnsi="Times New Roman" w:cs="Times New Roman"/>
        </w:rPr>
        <w:t>penelitian</w:t>
      </w:r>
      <w:proofErr w:type="spellEnd"/>
      <w:r w:rsidRPr="000A62B7">
        <w:rPr>
          <w:rFonts w:ascii="Times New Roman" w:hAnsi="Times New Roman" w:cs="Times New Roman"/>
        </w:rPr>
        <w:t xml:space="preserve"> </w:t>
      </w:r>
      <w:proofErr w:type="spellStart"/>
      <w:r w:rsidRPr="000A62B7">
        <w:rPr>
          <w:rFonts w:ascii="Times New Roman" w:hAnsi="Times New Roman" w:cs="Times New Roman"/>
        </w:rPr>
        <w:t>dimulai</w:t>
      </w:r>
      <w:proofErr w:type="spellEnd"/>
      <w:r w:rsidRPr="000A62B7">
        <w:rPr>
          <w:rFonts w:ascii="Times New Roman" w:hAnsi="Times New Roman" w:cs="Times New Roman"/>
        </w:rPr>
        <w:t xml:space="preserve"> </w:t>
      </w:r>
      <w:proofErr w:type="spellStart"/>
      <w:r w:rsidRPr="000A62B7">
        <w:rPr>
          <w:rFonts w:ascii="Times New Roman" w:hAnsi="Times New Roman" w:cs="Times New Roman"/>
        </w:rPr>
        <w:t>pada</w:t>
      </w:r>
      <w:proofErr w:type="spellEnd"/>
      <w:r w:rsidRPr="000A62B7">
        <w:rPr>
          <w:rFonts w:ascii="Times New Roman" w:hAnsi="Times New Roman" w:cs="Times New Roman"/>
        </w:rPr>
        <w:t xml:space="preserve"> </w:t>
      </w:r>
      <w:proofErr w:type="spellStart"/>
      <w:r w:rsidRPr="000A62B7">
        <w:rPr>
          <w:rFonts w:ascii="Times New Roman" w:hAnsi="Times New Roman" w:cs="Times New Roman"/>
        </w:rPr>
        <w:t>bulan</w:t>
      </w:r>
      <w:proofErr w:type="spellEnd"/>
      <w:r w:rsidRPr="000A62B7">
        <w:rPr>
          <w:rFonts w:ascii="Times New Roman" w:hAnsi="Times New Roman" w:cs="Times New Roman"/>
        </w:rPr>
        <w:t xml:space="preserve"> M</w:t>
      </w:r>
      <w:r w:rsidR="00FE5A7C">
        <w:rPr>
          <w:rFonts w:ascii="Times New Roman" w:hAnsi="Times New Roman" w:cs="Times New Roman"/>
          <w:lang w:val="id-ID"/>
        </w:rPr>
        <w:t>ei</w:t>
      </w:r>
      <w:r w:rsidRPr="000A62B7">
        <w:rPr>
          <w:rFonts w:ascii="Times New Roman" w:hAnsi="Times New Roman" w:cs="Times New Roman"/>
        </w:rPr>
        <w:t xml:space="preserve"> </w:t>
      </w:r>
      <w:proofErr w:type="spellStart"/>
      <w:r w:rsidRPr="000A62B7">
        <w:rPr>
          <w:rFonts w:ascii="Times New Roman" w:hAnsi="Times New Roman" w:cs="Times New Roman"/>
        </w:rPr>
        <w:t>sampai</w:t>
      </w:r>
      <w:proofErr w:type="spellEnd"/>
      <w:r w:rsidRPr="000A62B7">
        <w:rPr>
          <w:rFonts w:ascii="Times New Roman" w:hAnsi="Times New Roman" w:cs="Times New Roman"/>
        </w:rPr>
        <w:t xml:space="preserve"> </w:t>
      </w:r>
      <w:r w:rsidR="00FE5A7C">
        <w:rPr>
          <w:rFonts w:ascii="Times New Roman" w:hAnsi="Times New Roman" w:cs="Times New Roman"/>
          <w:lang w:val="id-ID"/>
        </w:rPr>
        <w:t>Juli</w:t>
      </w:r>
      <w:r w:rsidRPr="000A62B7">
        <w:rPr>
          <w:rFonts w:ascii="Times New Roman" w:hAnsi="Times New Roman" w:cs="Times New Roman"/>
        </w:rPr>
        <w:t xml:space="preserve"> 2013.</w:t>
      </w:r>
      <w:proofErr w:type="gramEnd"/>
      <w:r w:rsidRPr="000A62B7">
        <w:rPr>
          <w:rFonts w:ascii="Times New Roman" w:hAnsi="Times New Roman" w:cs="Times New Roman"/>
        </w:rPr>
        <w:t xml:space="preserve"> </w:t>
      </w:r>
      <w:proofErr w:type="spellStart"/>
      <w:proofErr w:type="gramStart"/>
      <w:r w:rsidRPr="000A62B7">
        <w:rPr>
          <w:rFonts w:ascii="Times New Roman" w:hAnsi="Times New Roman" w:cs="Times New Roman"/>
        </w:rPr>
        <w:t>Sedangkan</w:t>
      </w:r>
      <w:proofErr w:type="spellEnd"/>
      <w:r w:rsidRPr="000A62B7">
        <w:rPr>
          <w:rFonts w:ascii="Times New Roman" w:hAnsi="Times New Roman" w:cs="Times New Roman"/>
        </w:rPr>
        <w:t xml:space="preserve"> </w:t>
      </w:r>
      <w:proofErr w:type="spellStart"/>
      <w:r w:rsidRPr="000A62B7">
        <w:rPr>
          <w:rFonts w:ascii="Times New Roman" w:hAnsi="Times New Roman" w:cs="Times New Roman"/>
        </w:rPr>
        <w:t>tempat</w:t>
      </w:r>
      <w:proofErr w:type="spellEnd"/>
      <w:r w:rsidRPr="000A62B7">
        <w:rPr>
          <w:rFonts w:ascii="Times New Roman" w:hAnsi="Times New Roman" w:cs="Times New Roman"/>
          <w:lang w:val="id-ID"/>
        </w:rPr>
        <w:t xml:space="preserve"> </w:t>
      </w:r>
      <w:proofErr w:type="spellStart"/>
      <w:r w:rsidRPr="000A62B7">
        <w:rPr>
          <w:rFonts w:ascii="Times New Roman" w:hAnsi="Times New Roman" w:cs="Times New Roman"/>
        </w:rPr>
        <w:t>penelitian</w:t>
      </w:r>
      <w:proofErr w:type="spellEnd"/>
      <w:r w:rsidRPr="000A62B7">
        <w:rPr>
          <w:rFonts w:ascii="Times New Roman" w:hAnsi="Times New Roman" w:cs="Times New Roman"/>
        </w:rPr>
        <w:t xml:space="preserve"> </w:t>
      </w:r>
      <w:proofErr w:type="spellStart"/>
      <w:r w:rsidRPr="000A62B7">
        <w:rPr>
          <w:rFonts w:ascii="Times New Roman" w:hAnsi="Times New Roman" w:cs="Times New Roman"/>
        </w:rPr>
        <w:t>dilakukan</w:t>
      </w:r>
      <w:proofErr w:type="spellEnd"/>
      <w:r w:rsidRPr="000A62B7">
        <w:rPr>
          <w:rFonts w:ascii="Times New Roman" w:hAnsi="Times New Roman" w:cs="Times New Roman"/>
        </w:rPr>
        <w:t xml:space="preserve"> </w:t>
      </w:r>
      <w:proofErr w:type="spellStart"/>
      <w:r w:rsidRPr="000A62B7">
        <w:rPr>
          <w:rFonts w:ascii="Times New Roman" w:hAnsi="Times New Roman" w:cs="Times New Roman"/>
        </w:rPr>
        <w:t>di</w:t>
      </w:r>
      <w:proofErr w:type="spellEnd"/>
      <w:r w:rsidRPr="000A62B7">
        <w:rPr>
          <w:rFonts w:ascii="Times New Roman" w:hAnsi="Times New Roman" w:cs="Times New Roman"/>
        </w:rPr>
        <w:t xml:space="preserve"> TPA </w:t>
      </w:r>
      <w:proofErr w:type="spellStart"/>
      <w:r w:rsidRPr="000A62B7">
        <w:rPr>
          <w:rFonts w:ascii="Times New Roman" w:hAnsi="Times New Roman" w:cs="Times New Roman"/>
        </w:rPr>
        <w:t>Ngronggo</w:t>
      </w:r>
      <w:proofErr w:type="spellEnd"/>
      <w:r w:rsidRPr="000A62B7">
        <w:rPr>
          <w:rFonts w:ascii="Times New Roman" w:hAnsi="Times New Roman" w:cs="Times New Roman"/>
        </w:rPr>
        <w:t xml:space="preserve">, </w:t>
      </w:r>
      <w:proofErr w:type="spellStart"/>
      <w:r w:rsidRPr="000A62B7">
        <w:rPr>
          <w:rFonts w:ascii="Times New Roman" w:hAnsi="Times New Roman" w:cs="Times New Roman"/>
        </w:rPr>
        <w:t>Salatiga</w:t>
      </w:r>
      <w:proofErr w:type="spellEnd"/>
      <w:r w:rsidRPr="000A62B7">
        <w:rPr>
          <w:rFonts w:ascii="Times New Roman" w:hAnsi="Times New Roman" w:cs="Times New Roman"/>
        </w:rPr>
        <w:t>.</w:t>
      </w:r>
      <w:proofErr w:type="gramEnd"/>
      <w:r w:rsidR="001B4F64" w:rsidRPr="000A62B7">
        <w:rPr>
          <w:rFonts w:ascii="Times New Roman" w:hAnsi="Times New Roman" w:cs="Times New Roman"/>
          <w:lang w:val="id-ID"/>
        </w:rPr>
        <w:t xml:space="preserve"> Sampel yang diambil adalah sampel lindi pada bak pen</w:t>
      </w:r>
      <w:r w:rsidR="00236BDC">
        <w:rPr>
          <w:rFonts w:ascii="Times New Roman" w:hAnsi="Times New Roman" w:cs="Times New Roman"/>
          <w:lang w:val="id-ID"/>
        </w:rPr>
        <w:t>gumpul, sampel air sumur pantau dan</w:t>
      </w:r>
      <w:r w:rsidR="001B4F64" w:rsidRPr="000A62B7">
        <w:rPr>
          <w:rFonts w:ascii="Times New Roman" w:hAnsi="Times New Roman" w:cs="Times New Roman"/>
          <w:lang w:val="id-ID"/>
        </w:rPr>
        <w:t xml:space="preserve"> sampel tanah dengan metode grap sampel. </w:t>
      </w:r>
    </w:p>
    <w:p w:rsidR="00C266B2" w:rsidRDefault="00C266B2" w:rsidP="00C266B2">
      <w:pPr>
        <w:spacing w:line="240" w:lineRule="auto"/>
        <w:ind w:firstLine="0"/>
        <w:rPr>
          <w:rFonts w:ascii="Times New Roman" w:hAnsi="Times New Roman" w:cs="Times New Roman"/>
          <w:lang w:val="id-ID"/>
        </w:rPr>
      </w:pPr>
    </w:p>
    <w:p w:rsidR="001B4F64" w:rsidRDefault="00261E8C" w:rsidP="00C266B2">
      <w:pPr>
        <w:spacing w:line="240" w:lineRule="auto"/>
        <w:ind w:firstLine="0"/>
        <w:rPr>
          <w:rFonts w:ascii="Times New Roman" w:hAnsi="Times New Roman" w:cs="Times New Roman"/>
          <w:lang w:val="id-ID"/>
        </w:rPr>
      </w:pPr>
      <w:r w:rsidRPr="000A62B7">
        <w:rPr>
          <w:rFonts w:ascii="Times New Roman" w:hAnsi="Times New Roman" w:cs="Times New Roman"/>
          <w:lang w:val="id-ID"/>
        </w:rPr>
        <w:t xml:space="preserve">Selanjutnya data-data yang diperoleh dijadikan input dalam </w:t>
      </w:r>
      <w:r w:rsidRPr="000A62B7">
        <w:rPr>
          <w:rFonts w:ascii="Times New Roman" w:hAnsi="Times New Roman" w:cs="Times New Roman"/>
          <w:i/>
          <w:lang w:val="id-ID"/>
        </w:rPr>
        <w:t xml:space="preserve">software </w:t>
      </w:r>
      <w:r w:rsidRPr="000A62B7">
        <w:rPr>
          <w:rFonts w:ascii="Times New Roman" w:hAnsi="Times New Roman" w:cs="Times New Roman"/>
          <w:lang w:val="id-ID"/>
        </w:rPr>
        <w:t xml:space="preserve">Pollute v7. Data yang dibutuhkan adalah susunan pelapis dasar, </w:t>
      </w:r>
      <w:r w:rsidRPr="000A62B7">
        <w:rPr>
          <w:rFonts w:ascii="Times New Roman" w:hAnsi="Times New Roman" w:cs="Times New Roman"/>
          <w:i/>
          <w:lang w:val="id-ID"/>
        </w:rPr>
        <w:t>dry densitas</w:t>
      </w:r>
      <w:r w:rsidRPr="000A62B7">
        <w:rPr>
          <w:rFonts w:ascii="Times New Roman" w:hAnsi="Times New Roman" w:cs="Times New Roman"/>
          <w:lang w:val="id-ID"/>
        </w:rPr>
        <w:t xml:space="preserve">, porositas, koefisien hidrodispersi mekanik dan koefisien distribusi. </w:t>
      </w:r>
      <w:r w:rsidR="00FA3625" w:rsidRPr="000A62B7">
        <w:rPr>
          <w:rFonts w:ascii="Times New Roman" w:hAnsi="Times New Roman" w:cs="Times New Roman"/>
          <w:lang w:val="id-ID"/>
        </w:rPr>
        <w:t xml:space="preserve">Dalam running program diinputkan konsentrasi besi (Fe) dan nikel (Ni) pada sumbernya (bak pengumpul). Setelah didapatkan hasil output Pollute v7, kemudian dilakukan validasi dan kalibrasi untuk mengetahui apakah output tersebut dapat diterima atau tidak. </w:t>
      </w:r>
      <w:r w:rsidR="00C266B2">
        <w:rPr>
          <w:rFonts w:ascii="Times New Roman" w:hAnsi="Times New Roman" w:cs="Times New Roman"/>
          <w:lang w:val="id-ID"/>
        </w:rPr>
        <w:t>Selanjutnya, apabila hasil model dapat diterima maka dapat dilakukan prediksi transport kontaminan besi (Fe) dan nikel (Ni) selama 15 tahun.</w:t>
      </w:r>
    </w:p>
    <w:p w:rsidR="00236BDC" w:rsidRDefault="00236BDC" w:rsidP="00FA3625">
      <w:pPr>
        <w:spacing w:line="240" w:lineRule="auto"/>
        <w:ind w:firstLine="0"/>
        <w:rPr>
          <w:rFonts w:ascii="Times New Roman" w:hAnsi="Times New Roman" w:cs="Times New Roman"/>
          <w:lang w:val="id-ID"/>
        </w:rPr>
      </w:pPr>
    </w:p>
    <w:p w:rsidR="00C266B2" w:rsidRPr="00236BDC" w:rsidRDefault="00C266B2" w:rsidP="00FA3625">
      <w:pPr>
        <w:spacing w:line="240" w:lineRule="auto"/>
        <w:ind w:firstLine="0"/>
        <w:rPr>
          <w:rFonts w:ascii="Times New Roman" w:hAnsi="Times New Roman" w:cs="Times New Roman"/>
          <w:lang w:val="id-ID"/>
        </w:rPr>
      </w:pPr>
    </w:p>
    <w:p w:rsidR="00FA3625" w:rsidRDefault="00FA3625" w:rsidP="00FA3625">
      <w:pPr>
        <w:pStyle w:val="ListParagraph"/>
        <w:numPr>
          <w:ilvl w:val="0"/>
          <w:numId w:val="2"/>
        </w:numPr>
        <w:spacing w:line="240" w:lineRule="auto"/>
        <w:ind w:left="567" w:hanging="436"/>
        <w:rPr>
          <w:rFonts w:ascii="Times New Roman" w:hAnsi="Times New Roman" w:cs="Times New Roman"/>
          <w:b/>
          <w:lang w:val="id-ID"/>
        </w:rPr>
      </w:pPr>
      <w:r w:rsidRPr="000A62B7">
        <w:rPr>
          <w:rFonts w:ascii="Times New Roman" w:hAnsi="Times New Roman" w:cs="Times New Roman"/>
          <w:b/>
          <w:lang w:val="id-ID"/>
        </w:rPr>
        <w:lastRenderedPageBreak/>
        <w:t>Hasil dan Pembahasan</w:t>
      </w:r>
    </w:p>
    <w:p w:rsidR="00236BDC" w:rsidRDefault="00236BDC" w:rsidP="00C266B2">
      <w:pPr>
        <w:spacing w:line="240" w:lineRule="auto"/>
        <w:ind w:firstLine="0"/>
        <w:rPr>
          <w:rFonts w:ascii="Times New Roman" w:hAnsi="Times New Roman" w:cs="Times New Roman"/>
          <w:lang w:val="id-ID"/>
        </w:rPr>
      </w:pPr>
      <w:r w:rsidRPr="00236BDC">
        <w:rPr>
          <w:rFonts w:ascii="Times New Roman" w:hAnsi="Times New Roman" w:cs="Times New Roman"/>
          <w:lang w:val="id-ID"/>
        </w:rPr>
        <w:t xml:space="preserve">TPA Ngronggo Kota Salatiga sudah menggunakan teknik operasional </w:t>
      </w:r>
      <w:r w:rsidRPr="00236BDC">
        <w:rPr>
          <w:rFonts w:ascii="Times New Roman" w:hAnsi="Times New Roman" w:cs="Times New Roman"/>
          <w:i/>
          <w:lang w:val="id-ID"/>
        </w:rPr>
        <w:t>controlled landfill.</w:t>
      </w:r>
      <w:r>
        <w:rPr>
          <w:rFonts w:ascii="Times New Roman" w:hAnsi="Times New Roman" w:cs="Times New Roman"/>
          <w:lang w:val="id-ID"/>
        </w:rPr>
        <w:t xml:space="preserve"> Dengan demikian sudah terdapat lapisan dasar pada zona timbunan sampah untuk mencegah perembesan lindi ke tanah.</w:t>
      </w:r>
    </w:p>
    <w:p w:rsidR="00236BDC" w:rsidRDefault="00236BDC" w:rsidP="00236BDC">
      <w:pPr>
        <w:spacing w:line="240" w:lineRule="auto"/>
        <w:ind w:left="131" w:firstLine="0"/>
        <w:jc w:val="center"/>
        <w:rPr>
          <w:rFonts w:ascii="Times New Roman" w:hAnsi="Times New Roman" w:cs="Times New Roman"/>
          <w:lang w:val="id-ID"/>
        </w:rPr>
      </w:pPr>
      <w:r w:rsidRPr="00236BDC">
        <w:rPr>
          <w:rFonts w:ascii="Times New Roman" w:hAnsi="Times New Roman" w:cs="Times New Roman"/>
          <w:noProof/>
          <w:lang w:val="id-ID" w:eastAsia="id-ID"/>
        </w:rPr>
        <w:drawing>
          <wp:inline distT="0" distB="0" distL="0" distR="0">
            <wp:extent cx="1794734" cy="1866900"/>
            <wp:effectExtent l="190500" t="152400" r="167416" b="133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805384" cy="1877979"/>
                    </a:xfrm>
                    <a:prstGeom prst="rect">
                      <a:avLst/>
                    </a:prstGeom>
                    <a:ln>
                      <a:noFill/>
                    </a:ln>
                    <a:effectLst>
                      <a:outerShdw blurRad="190500" algn="tl" rotWithShape="0">
                        <a:srgbClr val="000000">
                          <a:alpha val="70000"/>
                        </a:srgbClr>
                      </a:outerShdw>
                    </a:effectLst>
                  </pic:spPr>
                </pic:pic>
              </a:graphicData>
            </a:graphic>
          </wp:inline>
        </w:drawing>
      </w:r>
    </w:p>
    <w:p w:rsidR="00236BDC" w:rsidRDefault="00236BDC" w:rsidP="00236BDC">
      <w:pPr>
        <w:spacing w:line="240" w:lineRule="auto"/>
        <w:ind w:left="131" w:firstLine="0"/>
        <w:jc w:val="center"/>
        <w:rPr>
          <w:rFonts w:ascii="Times New Roman" w:hAnsi="Times New Roman" w:cs="Times New Roman"/>
          <w:lang w:val="id-ID"/>
        </w:rPr>
      </w:pPr>
      <w:r>
        <w:rPr>
          <w:rFonts w:ascii="Times New Roman" w:hAnsi="Times New Roman" w:cs="Times New Roman"/>
          <w:lang w:val="id-ID"/>
        </w:rPr>
        <w:t>Gambar 3.</w:t>
      </w:r>
      <w:r w:rsidR="00C266B2">
        <w:rPr>
          <w:rFonts w:ascii="Times New Roman" w:hAnsi="Times New Roman" w:cs="Times New Roman"/>
          <w:lang w:val="id-ID"/>
        </w:rPr>
        <w:t>1</w:t>
      </w:r>
      <w:r>
        <w:rPr>
          <w:rFonts w:ascii="Times New Roman" w:hAnsi="Times New Roman" w:cs="Times New Roman"/>
          <w:lang w:val="id-ID"/>
        </w:rPr>
        <w:t xml:space="preserve"> Susunan Lapisan Dasar</w:t>
      </w:r>
    </w:p>
    <w:p w:rsidR="00236BDC" w:rsidRDefault="00236BDC" w:rsidP="00236BDC">
      <w:pPr>
        <w:spacing w:line="240" w:lineRule="auto"/>
        <w:ind w:left="131" w:firstLine="0"/>
        <w:jc w:val="center"/>
        <w:rPr>
          <w:rFonts w:ascii="Times New Roman" w:hAnsi="Times New Roman" w:cs="Times New Roman"/>
          <w:lang w:val="id-ID"/>
        </w:rPr>
      </w:pPr>
      <w:r>
        <w:rPr>
          <w:rFonts w:ascii="Times New Roman" w:hAnsi="Times New Roman" w:cs="Times New Roman"/>
          <w:lang w:val="id-ID"/>
        </w:rPr>
        <w:t>(</w:t>
      </w:r>
      <w:r w:rsidRPr="00236BDC">
        <w:rPr>
          <w:rFonts w:ascii="Times New Roman" w:hAnsi="Times New Roman" w:cs="Times New Roman"/>
          <w:i/>
          <w:lang w:val="id-ID"/>
        </w:rPr>
        <w:t>Sumber : TPA Ngronggo, Kota Salatiga</w:t>
      </w:r>
      <w:r>
        <w:rPr>
          <w:rFonts w:ascii="Times New Roman" w:hAnsi="Times New Roman" w:cs="Times New Roman"/>
          <w:lang w:val="id-ID"/>
        </w:rPr>
        <w:t xml:space="preserve">) </w:t>
      </w:r>
    </w:p>
    <w:p w:rsidR="00236BDC" w:rsidRPr="00236BDC" w:rsidRDefault="00236BDC" w:rsidP="00236BDC">
      <w:pPr>
        <w:spacing w:line="240" w:lineRule="auto"/>
        <w:ind w:left="131" w:firstLine="0"/>
        <w:rPr>
          <w:rFonts w:ascii="Times New Roman" w:hAnsi="Times New Roman" w:cs="Times New Roman"/>
          <w:lang w:val="id-ID"/>
        </w:rPr>
      </w:pPr>
      <w:r>
        <w:rPr>
          <w:rFonts w:ascii="Times New Roman" w:hAnsi="Times New Roman" w:cs="Times New Roman"/>
          <w:lang w:val="id-ID"/>
        </w:rPr>
        <w:t xml:space="preserve"> </w:t>
      </w:r>
    </w:p>
    <w:p w:rsidR="00785625" w:rsidRDefault="00785625" w:rsidP="00236BDC">
      <w:pPr>
        <w:pStyle w:val="NoSpacing"/>
        <w:numPr>
          <w:ilvl w:val="0"/>
          <w:numId w:val="0"/>
        </w:numPr>
        <w:spacing w:line="240" w:lineRule="auto"/>
        <w:ind w:firstLine="567"/>
        <w:rPr>
          <w:rFonts w:cs="Times New Roman"/>
          <w:b w:val="0"/>
          <w:szCs w:val="22"/>
          <w:lang w:val="id-ID"/>
        </w:rPr>
      </w:pPr>
      <w:r w:rsidRPr="000A62B7">
        <w:rPr>
          <w:b w:val="0"/>
          <w:szCs w:val="22"/>
          <w:lang w:val="id-ID"/>
        </w:rPr>
        <w:t>Dalam permodelan trasnport kontaminan perlu dilakukan simulasi model</w:t>
      </w:r>
      <w:r w:rsidR="00236BDC">
        <w:rPr>
          <w:b w:val="0"/>
          <w:szCs w:val="22"/>
          <w:lang w:val="id-ID"/>
        </w:rPr>
        <w:t xml:space="preserve"> untuk mengetahui tingkat kepastian dari model</w:t>
      </w:r>
      <w:r w:rsidRPr="000A62B7">
        <w:rPr>
          <w:b w:val="0"/>
          <w:szCs w:val="22"/>
          <w:lang w:val="id-ID"/>
        </w:rPr>
        <w:t>. Hasil simulasi tersebut kemudian dilakukan validasi untuk mengetahui parameter sensitifitas dalam model. Hasil simulasi yang telah dilakukan kemudian dicocokan dengan kondisi yang ada di</w:t>
      </w:r>
      <w:r w:rsidR="00236BDC">
        <w:rPr>
          <w:b w:val="0"/>
          <w:szCs w:val="22"/>
          <w:lang w:val="id-ID"/>
        </w:rPr>
        <w:t xml:space="preserve">lapangan dan dilakukan kalibrasi. Dari hasil kalibrasi menggunakan metode Chi Kuadrat diketahui tingkat kepastian model adalah 95 %, metode Relatif Erorr tingkat kepastian model 95 %, dan metode MRE (Mean Relative Erorr) dengan tingkat kepastian 85%-90%. Dengan denikian model dapat diterima dan digunakan memprediksi transport lindi yang terjadi. </w:t>
      </w:r>
      <w:r w:rsidRPr="00236BDC">
        <w:rPr>
          <w:rFonts w:cs="Times New Roman"/>
          <w:b w:val="0"/>
          <w:szCs w:val="22"/>
          <w:lang w:val="id-ID"/>
        </w:rPr>
        <w:t xml:space="preserve">Berikut ini adalah input data pada </w:t>
      </w:r>
      <w:r w:rsidRPr="00236BDC">
        <w:rPr>
          <w:rFonts w:cs="Times New Roman"/>
          <w:b w:val="0"/>
          <w:i/>
          <w:szCs w:val="22"/>
          <w:lang w:val="id-ID"/>
        </w:rPr>
        <w:t xml:space="preserve">software </w:t>
      </w:r>
      <w:r w:rsidRPr="00236BDC">
        <w:rPr>
          <w:rFonts w:cs="Times New Roman"/>
          <w:b w:val="0"/>
          <w:szCs w:val="22"/>
          <w:lang w:val="id-ID"/>
        </w:rPr>
        <w:t xml:space="preserve">Pollute v7 yang sudah dilakukan analisis sensitifitas. </w:t>
      </w:r>
    </w:p>
    <w:p w:rsidR="00C266B2" w:rsidRPr="00236BDC" w:rsidRDefault="00C266B2" w:rsidP="00236BDC">
      <w:pPr>
        <w:pStyle w:val="NoSpacing"/>
        <w:numPr>
          <w:ilvl w:val="0"/>
          <w:numId w:val="0"/>
        </w:numPr>
        <w:spacing w:line="240" w:lineRule="auto"/>
        <w:ind w:firstLine="567"/>
        <w:rPr>
          <w:rFonts w:cs="Times New Roman"/>
          <w:b w:val="0"/>
          <w:szCs w:val="22"/>
          <w:lang w:val="id-ID"/>
        </w:rPr>
      </w:pPr>
    </w:p>
    <w:p w:rsidR="00785625" w:rsidRPr="00C266B2" w:rsidRDefault="00785625" w:rsidP="00785625">
      <w:pPr>
        <w:spacing w:line="240" w:lineRule="auto"/>
        <w:ind w:firstLine="0"/>
        <w:jc w:val="center"/>
        <w:rPr>
          <w:rFonts w:ascii="Times New Roman" w:hAnsi="Times New Roman" w:cs="Times New Roman"/>
          <w:lang w:val="id-ID"/>
        </w:rPr>
      </w:pPr>
      <w:r w:rsidRPr="00C266B2">
        <w:rPr>
          <w:rFonts w:ascii="Times New Roman" w:hAnsi="Times New Roman" w:cs="Times New Roman"/>
          <w:lang w:val="id-ID"/>
        </w:rPr>
        <w:t>Tabel 3.1 Input Data</w:t>
      </w:r>
    </w:p>
    <w:tbl>
      <w:tblPr>
        <w:tblStyle w:val="MediumShading1-Accent6"/>
        <w:tblpPr w:leftFromText="180" w:rightFromText="180" w:vertAnchor="text" w:horzAnchor="margin" w:tblpY="131"/>
        <w:tblW w:w="4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tblPr>
      <w:tblGrid>
        <w:gridCol w:w="315"/>
        <w:gridCol w:w="1018"/>
        <w:gridCol w:w="746"/>
        <w:gridCol w:w="1067"/>
        <w:gridCol w:w="1072"/>
      </w:tblGrid>
      <w:tr w:rsidR="00C266B2" w:rsidRPr="005E202C" w:rsidTr="00722B32">
        <w:trPr>
          <w:cnfStyle w:val="100000000000"/>
        </w:trPr>
        <w:tc>
          <w:tcPr>
            <w:cnfStyle w:val="001000000000"/>
            <w:tcW w:w="315"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rsidR="00C266B2" w:rsidRPr="005E202C" w:rsidRDefault="00C266B2" w:rsidP="00C266B2">
            <w:pPr>
              <w:spacing w:line="240" w:lineRule="auto"/>
              <w:ind w:firstLine="0"/>
              <w:jc w:val="center"/>
              <w:outlineLvl w:val="0"/>
              <w:rPr>
                <w:rFonts w:ascii="Times New Roman" w:hAnsi="Times New Roman" w:cs="Times New Roman"/>
                <w:color w:val="auto"/>
                <w:sz w:val="16"/>
                <w:szCs w:val="16"/>
                <w:lang w:val="id-ID"/>
              </w:rPr>
            </w:pPr>
            <w:r w:rsidRPr="005E202C">
              <w:rPr>
                <w:rFonts w:ascii="Times New Roman" w:hAnsi="Times New Roman" w:cs="Times New Roman"/>
                <w:color w:val="auto"/>
                <w:sz w:val="16"/>
                <w:szCs w:val="16"/>
                <w:lang w:val="id-ID"/>
              </w:rPr>
              <w:t>No</w:t>
            </w:r>
          </w:p>
        </w:tc>
        <w:tc>
          <w:tcPr>
            <w:tcW w:w="1018"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rsidR="00C266B2" w:rsidRPr="005E202C" w:rsidRDefault="00C266B2" w:rsidP="00C266B2">
            <w:pPr>
              <w:spacing w:line="240" w:lineRule="auto"/>
              <w:ind w:firstLine="0"/>
              <w:jc w:val="center"/>
              <w:outlineLvl w:val="0"/>
              <w:cnfStyle w:val="100000000000"/>
              <w:rPr>
                <w:rFonts w:ascii="Times New Roman" w:hAnsi="Times New Roman" w:cs="Times New Roman"/>
                <w:color w:val="auto"/>
                <w:sz w:val="16"/>
                <w:szCs w:val="16"/>
                <w:lang w:val="id-ID"/>
              </w:rPr>
            </w:pPr>
            <w:r w:rsidRPr="005E202C">
              <w:rPr>
                <w:rFonts w:ascii="Times New Roman" w:hAnsi="Times New Roman" w:cs="Times New Roman"/>
                <w:color w:val="auto"/>
                <w:sz w:val="16"/>
                <w:szCs w:val="16"/>
                <w:lang w:val="id-ID"/>
              </w:rPr>
              <w:t>Jenis Lapisan</w:t>
            </w:r>
          </w:p>
        </w:tc>
        <w:tc>
          <w:tcPr>
            <w:tcW w:w="746"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rsidR="00C266B2" w:rsidRPr="005E202C" w:rsidRDefault="00C266B2" w:rsidP="00C266B2">
            <w:pPr>
              <w:spacing w:line="240" w:lineRule="auto"/>
              <w:ind w:firstLine="0"/>
              <w:jc w:val="center"/>
              <w:outlineLvl w:val="0"/>
              <w:cnfStyle w:val="100000000000"/>
              <w:rPr>
                <w:rFonts w:ascii="Times New Roman" w:hAnsi="Times New Roman" w:cs="Times New Roman"/>
                <w:color w:val="auto"/>
                <w:sz w:val="16"/>
                <w:szCs w:val="16"/>
                <w:lang w:val="id-ID"/>
              </w:rPr>
            </w:pPr>
            <w:r w:rsidRPr="005E202C">
              <w:rPr>
                <w:rFonts w:ascii="Times New Roman" w:hAnsi="Times New Roman" w:cs="Times New Roman"/>
                <w:color w:val="auto"/>
                <w:sz w:val="16"/>
                <w:szCs w:val="16"/>
                <w:lang w:val="id-ID"/>
              </w:rPr>
              <w:t>Porositas</w:t>
            </w:r>
          </w:p>
        </w:tc>
        <w:tc>
          <w:tcPr>
            <w:tcW w:w="1067"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rsidR="00C266B2" w:rsidRPr="005E202C" w:rsidRDefault="00C266B2" w:rsidP="00C266B2">
            <w:pPr>
              <w:spacing w:line="240" w:lineRule="auto"/>
              <w:ind w:firstLine="0"/>
              <w:jc w:val="center"/>
              <w:outlineLvl w:val="0"/>
              <w:cnfStyle w:val="100000000000"/>
              <w:rPr>
                <w:rFonts w:ascii="Times New Roman" w:hAnsi="Times New Roman" w:cs="Times New Roman"/>
                <w:color w:val="auto"/>
                <w:sz w:val="16"/>
                <w:szCs w:val="16"/>
                <w:lang w:val="id-ID"/>
              </w:rPr>
            </w:pPr>
            <w:r w:rsidRPr="005E202C">
              <w:rPr>
                <w:rFonts w:ascii="Times New Roman" w:hAnsi="Times New Roman" w:cs="Times New Roman"/>
                <w:color w:val="auto"/>
                <w:sz w:val="16"/>
                <w:szCs w:val="16"/>
                <w:lang w:val="id-ID"/>
              </w:rPr>
              <w:t>Permeabilitas</w:t>
            </w:r>
          </w:p>
          <w:p w:rsidR="00C266B2" w:rsidRPr="005E202C" w:rsidRDefault="00C266B2" w:rsidP="00C266B2">
            <w:pPr>
              <w:spacing w:line="240" w:lineRule="auto"/>
              <w:ind w:firstLine="0"/>
              <w:jc w:val="center"/>
              <w:outlineLvl w:val="0"/>
              <w:cnfStyle w:val="100000000000"/>
              <w:rPr>
                <w:rFonts w:ascii="Times New Roman" w:hAnsi="Times New Roman" w:cs="Times New Roman"/>
                <w:color w:val="auto"/>
                <w:sz w:val="16"/>
                <w:szCs w:val="16"/>
                <w:lang w:val="id-ID"/>
              </w:rPr>
            </w:pPr>
            <w:r w:rsidRPr="005E202C">
              <w:rPr>
                <w:rFonts w:ascii="Times New Roman" w:hAnsi="Times New Roman" w:cs="Times New Roman"/>
                <w:color w:val="auto"/>
                <w:sz w:val="16"/>
                <w:szCs w:val="16"/>
                <w:lang w:val="id-ID"/>
              </w:rPr>
              <w:t>(m/s)</w:t>
            </w:r>
          </w:p>
        </w:tc>
        <w:tc>
          <w:tcPr>
            <w:tcW w:w="1072" w:type="dxa"/>
            <w:tcBorders>
              <w:top w:val="none" w:sz="0" w:space="0" w:color="auto"/>
              <w:left w:val="none" w:sz="0" w:space="0" w:color="auto"/>
              <w:bottom w:val="none" w:sz="0" w:space="0" w:color="auto"/>
              <w:right w:val="none" w:sz="0" w:space="0" w:color="auto"/>
            </w:tcBorders>
            <w:shd w:val="clear" w:color="auto" w:fill="FBD4B4" w:themeFill="accent6" w:themeFillTint="66"/>
            <w:vAlign w:val="center"/>
          </w:tcPr>
          <w:p w:rsidR="00C266B2" w:rsidRPr="00785625" w:rsidRDefault="00C266B2" w:rsidP="00C266B2">
            <w:pPr>
              <w:spacing w:line="240" w:lineRule="auto"/>
              <w:ind w:firstLine="0"/>
              <w:jc w:val="center"/>
              <w:outlineLvl w:val="0"/>
              <w:cnfStyle w:val="100000000000"/>
              <w:rPr>
                <w:rFonts w:ascii="Times New Roman" w:hAnsi="Times New Roman" w:cs="Times New Roman"/>
                <w:color w:val="auto"/>
                <w:sz w:val="16"/>
                <w:szCs w:val="16"/>
                <w:lang w:val="id-ID"/>
              </w:rPr>
            </w:pPr>
            <w:r>
              <w:rPr>
                <w:rFonts w:ascii="Times New Roman" w:hAnsi="Times New Roman" w:cs="Times New Roman"/>
                <w:color w:val="auto"/>
                <w:sz w:val="16"/>
                <w:szCs w:val="16"/>
                <w:lang w:val="id-ID"/>
              </w:rPr>
              <w:t>Koef. Hidrodinamis Dispersi (D) (m</w:t>
            </w:r>
            <w:r>
              <w:rPr>
                <w:rFonts w:ascii="Times New Roman" w:hAnsi="Times New Roman" w:cs="Times New Roman"/>
                <w:color w:val="auto"/>
                <w:sz w:val="16"/>
                <w:szCs w:val="16"/>
                <w:vertAlign w:val="superscript"/>
                <w:lang w:val="id-ID"/>
              </w:rPr>
              <w:t>2</w:t>
            </w:r>
            <w:r>
              <w:rPr>
                <w:rFonts w:ascii="Times New Roman" w:hAnsi="Times New Roman" w:cs="Times New Roman"/>
                <w:color w:val="auto"/>
                <w:sz w:val="16"/>
                <w:szCs w:val="16"/>
                <w:lang w:val="id-ID"/>
              </w:rPr>
              <w:t>/s)</w:t>
            </w:r>
          </w:p>
        </w:tc>
      </w:tr>
      <w:tr w:rsidR="00C266B2" w:rsidRPr="005E202C" w:rsidTr="00C266B2">
        <w:trPr>
          <w:cnfStyle w:val="000000100000"/>
        </w:trPr>
        <w:tc>
          <w:tcPr>
            <w:cnfStyle w:val="001000000000"/>
            <w:tcW w:w="315" w:type="dxa"/>
            <w:tcBorders>
              <w:right w:val="none" w:sz="0" w:space="0" w:color="auto"/>
            </w:tcBorders>
            <w:shd w:val="clear" w:color="auto" w:fill="auto"/>
            <w:vAlign w:val="center"/>
          </w:tcPr>
          <w:p w:rsidR="00C266B2" w:rsidRPr="005E202C" w:rsidRDefault="00C266B2" w:rsidP="00C266B2">
            <w:pPr>
              <w:spacing w:line="240" w:lineRule="auto"/>
              <w:ind w:firstLine="0"/>
              <w:jc w:val="center"/>
              <w:outlineLvl w:val="0"/>
              <w:rPr>
                <w:rFonts w:ascii="Times New Roman" w:hAnsi="Times New Roman" w:cs="Times New Roman"/>
                <w:b w:val="0"/>
                <w:sz w:val="16"/>
                <w:szCs w:val="16"/>
                <w:lang w:val="id-ID"/>
              </w:rPr>
            </w:pPr>
            <w:r w:rsidRPr="005E202C">
              <w:rPr>
                <w:rFonts w:ascii="Times New Roman" w:hAnsi="Times New Roman" w:cs="Times New Roman"/>
                <w:b w:val="0"/>
                <w:sz w:val="16"/>
                <w:szCs w:val="16"/>
                <w:lang w:val="id-ID"/>
              </w:rPr>
              <w:t>1.</w:t>
            </w:r>
          </w:p>
        </w:tc>
        <w:tc>
          <w:tcPr>
            <w:tcW w:w="1018" w:type="dxa"/>
            <w:tcBorders>
              <w:left w:val="none" w:sz="0" w:space="0" w:color="auto"/>
              <w:right w:val="none" w:sz="0" w:space="0" w:color="auto"/>
            </w:tcBorders>
            <w:shd w:val="clear" w:color="auto" w:fill="auto"/>
            <w:vAlign w:val="center"/>
          </w:tcPr>
          <w:p w:rsidR="00C266B2" w:rsidRPr="005E202C" w:rsidRDefault="00C266B2" w:rsidP="00C266B2">
            <w:pPr>
              <w:spacing w:line="240" w:lineRule="auto"/>
              <w:ind w:firstLine="0"/>
              <w:jc w:val="left"/>
              <w:outlineLvl w:val="0"/>
              <w:cnfStyle w:val="000000100000"/>
              <w:rPr>
                <w:rFonts w:ascii="Times New Roman" w:hAnsi="Times New Roman" w:cs="Times New Roman"/>
                <w:sz w:val="16"/>
                <w:szCs w:val="16"/>
                <w:lang w:val="id-ID"/>
              </w:rPr>
            </w:pPr>
            <w:r w:rsidRPr="005E202C">
              <w:rPr>
                <w:rFonts w:ascii="Times New Roman" w:hAnsi="Times New Roman" w:cs="Times New Roman"/>
                <w:sz w:val="16"/>
                <w:szCs w:val="16"/>
                <w:lang w:val="id-ID"/>
              </w:rPr>
              <w:t>Gravel 3/5</w:t>
            </w:r>
          </w:p>
        </w:tc>
        <w:tc>
          <w:tcPr>
            <w:tcW w:w="746"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cnfStyle w:val="000000100000"/>
              <w:rPr>
                <w:rFonts w:ascii="Times New Roman" w:hAnsi="Times New Roman" w:cs="Times New Roman"/>
                <w:color w:val="000000"/>
                <w:sz w:val="18"/>
                <w:szCs w:val="18"/>
                <w:lang w:val="id-ID"/>
              </w:rPr>
            </w:pPr>
            <w:r w:rsidRPr="0011797A">
              <w:rPr>
                <w:rFonts w:ascii="Times New Roman" w:hAnsi="Times New Roman" w:cs="Times New Roman"/>
                <w:color w:val="000000"/>
                <w:sz w:val="18"/>
                <w:szCs w:val="18"/>
                <w:lang w:val="id-ID"/>
              </w:rPr>
              <w:t>0,3</w:t>
            </w:r>
          </w:p>
        </w:tc>
        <w:tc>
          <w:tcPr>
            <w:tcW w:w="1067"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cnfStyle w:val="000000100000"/>
              <w:rPr>
                <w:rFonts w:ascii="Times New Roman" w:hAnsi="Times New Roman" w:cs="Times New Roman"/>
                <w:color w:val="000000"/>
                <w:sz w:val="18"/>
                <w:szCs w:val="18"/>
              </w:rPr>
            </w:pPr>
            <w:r w:rsidRPr="0011797A">
              <w:rPr>
                <w:rFonts w:ascii="Times New Roman" w:hAnsi="Times New Roman" w:cs="Times New Roman"/>
                <w:color w:val="000000"/>
                <w:sz w:val="18"/>
                <w:szCs w:val="18"/>
              </w:rPr>
              <w:t>1,00E+01</w:t>
            </w:r>
          </w:p>
        </w:tc>
        <w:tc>
          <w:tcPr>
            <w:tcW w:w="1072" w:type="dxa"/>
            <w:tcBorders>
              <w:left w:val="none" w:sz="0" w:space="0" w:color="auto"/>
            </w:tcBorders>
            <w:shd w:val="clear" w:color="auto" w:fill="auto"/>
            <w:vAlign w:val="center"/>
          </w:tcPr>
          <w:p w:rsidR="00C266B2" w:rsidRPr="00D46FFE" w:rsidRDefault="00C266B2" w:rsidP="00C266B2">
            <w:pPr>
              <w:ind w:firstLine="0"/>
              <w:jc w:val="center"/>
              <w:cnfStyle w:val="000000100000"/>
              <w:rPr>
                <w:rFonts w:ascii="Times New Roman" w:hAnsi="Times New Roman" w:cs="Times New Roman"/>
                <w:color w:val="000000"/>
                <w:sz w:val="18"/>
                <w:szCs w:val="18"/>
              </w:rPr>
            </w:pPr>
            <w:r w:rsidRPr="00D46FFE">
              <w:rPr>
                <w:rFonts w:ascii="Times New Roman" w:hAnsi="Times New Roman" w:cs="Times New Roman"/>
                <w:color w:val="000000"/>
                <w:sz w:val="18"/>
                <w:szCs w:val="18"/>
              </w:rPr>
              <w:t>51,43497152</w:t>
            </w:r>
          </w:p>
        </w:tc>
      </w:tr>
      <w:tr w:rsidR="00C266B2" w:rsidRPr="005E202C" w:rsidTr="00C266B2">
        <w:trPr>
          <w:cnfStyle w:val="000000010000"/>
        </w:trPr>
        <w:tc>
          <w:tcPr>
            <w:cnfStyle w:val="001000000000"/>
            <w:tcW w:w="315" w:type="dxa"/>
            <w:tcBorders>
              <w:right w:val="none" w:sz="0" w:space="0" w:color="auto"/>
            </w:tcBorders>
            <w:shd w:val="clear" w:color="auto" w:fill="auto"/>
            <w:vAlign w:val="center"/>
          </w:tcPr>
          <w:p w:rsidR="00C266B2" w:rsidRPr="005E202C" w:rsidRDefault="00C266B2" w:rsidP="00C266B2">
            <w:pPr>
              <w:spacing w:line="240" w:lineRule="auto"/>
              <w:ind w:firstLine="0"/>
              <w:jc w:val="center"/>
              <w:outlineLvl w:val="0"/>
              <w:rPr>
                <w:rFonts w:ascii="Times New Roman" w:hAnsi="Times New Roman" w:cs="Times New Roman"/>
                <w:b w:val="0"/>
                <w:sz w:val="16"/>
                <w:szCs w:val="16"/>
                <w:lang w:val="id-ID"/>
              </w:rPr>
            </w:pPr>
            <w:r w:rsidRPr="005E202C">
              <w:rPr>
                <w:rFonts w:ascii="Times New Roman" w:hAnsi="Times New Roman" w:cs="Times New Roman"/>
                <w:b w:val="0"/>
                <w:sz w:val="16"/>
                <w:szCs w:val="16"/>
                <w:lang w:val="id-ID"/>
              </w:rPr>
              <w:t>2.</w:t>
            </w:r>
          </w:p>
        </w:tc>
        <w:tc>
          <w:tcPr>
            <w:tcW w:w="1018" w:type="dxa"/>
            <w:tcBorders>
              <w:left w:val="none" w:sz="0" w:space="0" w:color="auto"/>
              <w:right w:val="none" w:sz="0" w:space="0" w:color="auto"/>
            </w:tcBorders>
            <w:shd w:val="clear" w:color="auto" w:fill="auto"/>
            <w:vAlign w:val="center"/>
          </w:tcPr>
          <w:p w:rsidR="00C266B2" w:rsidRPr="005E202C" w:rsidRDefault="00C266B2" w:rsidP="00C266B2">
            <w:pPr>
              <w:spacing w:line="240" w:lineRule="auto"/>
              <w:ind w:firstLine="0"/>
              <w:jc w:val="left"/>
              <w:outlineLvl w:val="0"/>
              <w:cnfStyle w:val="000000010000"/>
              <w:rPr>
                <w:rFonts w:ascii="Times New Roman" w:hAnsi="Times New Roman" w:cs="Times New Roman"/>
                <w:sz w:val="16"/>
                <w:szCs w:val="16"/>
                <w:lang w:val="id-ID"/>
              </w:rPr>
            </w:pPr>
            <w:r w:rsidRPr="005E202C">
              <w:rPr>
                <w:rFonts w:ascii="Times New Roman" w:hAnsi="Times New Roman" w:cs="Times New Roman"/>
                <w:sz w:val="16"/>
                <w:szCs w:val="16"/>
                <w:lang w:val="id-ID"/>
              </w:rPr>
              <w:t>Geotekstil</w:t>
            </w:r>
          </w:p>
        </w:tc>
        <w:tc>
          <w:tcPr>
            <w:tcW w:w="746"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cnfStyle w:val="000000010000"/>
              <w:rPr>
                <w:rFonts w:ascii="Times New Roman" w:hAnsi="Times New Roman" w:cs="Times New Roman"/>
                <w:color w:val="000000"/>
                <w:sz w:val="18"/>
                <w:szCs w:val="18"/>
                <w:lang w:val="id-ID"/>
              </w:rPr>
            </w:pPr>
            <w:r w:rsidRPr="0011797A">
              <w:rPr>
                <w:rFonts w:ascii="Times New Roman" w:hAnsi="Times New Roman" w:cs="Times New Roman"/>
                <w:color w:val="000000"/>
                <w:sz w:val="18"/>
                <w:szCs w:val="18"/>
                <w:lang w:val="id-ID"/>
              </w:rPr>
              <w:t>0,55</w:t>
            </w:r>
          </w:p>
        </w:tc>
        <w:tc>
          <w:tcPr>
            <w:tcW w:w="1067"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cnfStyle w:val="000000010000"/>
              <w:rPr>
                <w:rFonts w:ascii="Times New Roman" w:hAnsi="Times New Roman" w:cs="Times New Roman"/>
                <w:color w:val="000000"/>
                <w:sz w:val="18"/>
                <w:szCs w:val="18"/>
              </w:rPr>
            </w:pPr>
            <w:r w:rsidRPr="0011797A">
              <w:rPr>
                <w:rFonts w:ascii="Times New Roman" w:hAnsi="Times New Roman" w:cs="Times New Roman"/>
                <w:color w:val="000000"/>
                <w:sz w:val="18"/>
                <w:szCs w:val="18"/>
                <w:lang w:val="id-ID"/>
              </w:rPr>
              <w:t>6</w:t>
            </w:r>
            <w:r w:rsidRPr="0011797A">
              <w:rPr>
                <w:rFonts w:ascii="Times New Roman" w:hAnsi="Times New Roman" w:cs="Times New Roman"/>
                <w:color w:val="000000"/>
                <w:sz w:val="18"/>
                <w:szCs w:val="18"/>
              </w:rPr>
              <w:t>,50E-02</w:t>
            </w:r>
          </w:p>
        </w:tc>
        <w:tc>
          <w:tcPr>
            <w:tcW w:w="1072" w:type="dxa"/>
            <w:tcBorders>
              <w:left w:val="none" w:sz="0" w:space="0" w:color="auto"/>
            </w:tcBorders>
            <w:shd w:val="clear" w:color="auto" w:fill="auto"/>
            <w:vAlign w:val="center"/>
          </w:tcPr>
          <w:p w:rsidR="00C266B2" w:rsidRPr="00D46FFE" w:rsidRDefault="00C266B2" w:rsidP="00C266B2">
            <w:pPr>
              <w:ind w:firstLine="0"/>
              <w:jc w:val="center"/>
              <w:cnfStyle w:val="000000010000"/>
              <w:rPr>
                <w:rFonts w:ascii="Times New Roman" w:hAnsi="Times New Roman" w:cs="Times New Roman"/>
                <w:color w:val="000000"/>
                <w:sz w:val="18"/>
                <w:szCs w:val="18"/>
              </w:rPr>
            </w:pPr>
            <w:r w:rsidRPr="00D46FFE">
              <w:rPr>
                <w:rFonts w:ascii="Times New Roman" w:hAnsi="Times New Roman" w:cs="Times New Roman"/>
                <w:color w:val="000000"/>
                <w:sz w:val="18"/>
                <w:szCs w:val="18"/>
              </w:rPr>
              <w:t>2,630784222</w:t>
            </w:r>
          </w:p>
        </w:tc>
      </w:tr>
      <w:tr w:rsidR="00C266B2" w:rsidRPr="005E202C" w:rsidTr="00C266B2">
        <w:trPr>
          <w:cnfStyle w:val="000000100000"/>
        </w:trPr>
        <w:tc>
          <w:tcPr>
            <w:cnfStyle w:val="001000000000"/>
            <w:tcW w:w="315" w:type="dxa"/>
            <w:tcBorders>
              <w:right w:val="none" w:sz="0" w:space="0" w:color="auto"/>
            </w:tcBorders>
            <w:shd w:val="clear" w:color="auto" w:fill="auto"/>
            <w:vAlign w:val="center"/>
          </w:tcPr>
          <w:p w:rsidR="00C266B2" w:rsidRPr="005E202C" w:rsidRDefault="00C266B2" w:rsidP="00C266B2">
            <w:pPr>
              <w:spacing w:line="240" w:lineRule="auto"/>
              <w:ind w:firstLine="0"/>
              <w:jc w:val="center"/>
              <w:outlineLvl w:val="0"/>
              <w:rPr>
                <w:rFonts w:ascii="Times New Roman" w:hAnsi="Times New Roman" w:cs="Times New Roman"/>
                <w:b w:val="0"/>
                <w:sz w:val="16"/>
                <w:szCs w:val="16"/>
                <w:lang w:val="id-ID"/>
              </w:rPr>
            </w:pPr>
            <w:r w:rsidRPr="005E202C">
              <w:rPr>
                <w:rFonts w:ascii="Times New Roman" w:hAnsi="Times New Roman" w:cs="Times New Roman"/>
                <w:b w:val="0"/>
                <w:sz w:val="16"/>
                <w:szCs w:val="16"/>
                <w:lang w:val="id-ID"/>
              </w:rPr>
              <w:t>3.</w:t>
            </w:r>
          </w:p>
        </w:tc>
        <w:tc>
          <w:tcPr>
            <w:tcW w:w="1018" w:type="dxa"/>
            <w:tcBorders>
              <w:left w:val="none" w:sz="0" w:space="0" w:color="auto"/>
              <w:right w:val="none" w:sz="0" w:space="0" w:color="auto"/>
            </w:tcBorders>
            <w:shd w:val="clear" w:color="auto" w:fill="auto"/>
            <w:vAlign w:val="center"/>
          </w:tcPr>
          <w:p w:rsidR="00C266B2" w:rsidRPr="005E202C" w:rsidRDefault="00C266B2" w:rsidP="00C266B2">
            <w:pPr>
              <w:spacing w:line="240" w:lineRule="auto"/>
              <w:ind w:firstLine="0"/>
              <w:jc w:val="left"/>
              <w:outlineLvl w:val="0"/>
              <w:cnfStyle w:val="000000100000"/>
              <w:rPr>
                <w:rFonts w:ascii="Times New Roman" w:hAnsi="Times New Roman" w:cs="Times New Roman"/>
                <w:sz w:val="16"/>
                <w:szCs w:val="16"/>
                <w:lang w:val="id-ID"/>
              </w:rPr>
            </w:pPr>
            <w:r w:rsidRPr="005E202C">
              <w:rPr>
                <w:rFonts w:ascii="Times New Roman" w:hAnsi="Times New Roman" w:cs="Times New Roman"/>
                <w:sz w:val="16"/>
                <w:szCs w:val="16"/>
                <w:lang w:val="id-ID"/>
              </w:rPr>
              <w:t>Geomembran</w:t>
            </w:r>
          </w:p>
        </w:tc>
        <w:tc>
          <w:tcPr>
            <w:tcW w:w="746"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cnfStyle w:val="000000100000"/>
              <w:rPr>
                <w:rFonts w:ascii="Times New Roman" w:hAnsi="Times New Roman" w:cs="Times New Roman"/>
                <w:color w:val="000000"/>
                <w:sz w:val="18"/>
                <w:szCs w:val="18"/>
                <w:lang w:val="id-ID"/>
              </w:rPr>
            </w:pPr>
            <w:r w:rsidRPr="0011797A">
              <w:rPr>
                <w:rFonts w:ascii="Times New Roman" w:hAnsi="Times New Roman" w:cs="Times New Roman"/>
                <w:color w:val="000000"/>
                <w:sz w:val="18"/>
                <w:szCs w:val="18"/>
                <w:lang w:val="id-ID"/>
              </w:rPr>
              <w:t>0,9</w:t>
            </w:r>
          </w:p>
        </w:tc>
        <w:tc>
          <w:tcPr>
            <w:tcW w:w="1067"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cnfStyle w:val="000000100000"/>
              <w:rPr>
                <w:rFonts w:ascii="Times New Roman" w:hAnsi="Times New Roman" w:cs="Times New Roman"/>
                <w:color w:val="000000"/>
                <w:sz w:val="18"/>
                <w:szCs w:val="18"/>
                <w:lang w:val="id-ID"/>
              </w:rPr>
            </w:pPr>
            <w:r w:rsidRPr="0011797A">
              <w:rPr>
                <w:rFonts w:ascii="Times New Roman" w:hAnsi="Times New Roman" w:cs="Times New Roman"/>
                <w:color w:val="000000"/>
                <w:sz w:val="18"/>
                <w:szCs w:val="18"/>
              </w:rPr>
              <w:t>5,0</w:t>
            </w:r>
            <w:r w:rsidRPr="0011797A">
              <w:rPr>
                <w:rFonts w:ascii="Times New Roman" w:hAnsi="Times New Roman" w:cs="Times New Roman"/>
                <w:color w:val="000000"/>
                <w:sz w:val="18"/>
                <w:szCs w:val="18"/>
                <w:lang w:val="id-ID"/>
              </w:rPr>
              <w:t xml:space="preserve"> </w:t>
            </w:r>
            <w:r w:rsidRPr="0011797A">
              <w:rPr>
                <w:rFonts w:ascii="Times New Roman" w:hAnsi="Times New Roman" w:cs="Times New Roman"/>
                <w:color w:val="000000"/>
                <w:sz w:val="18"/>
                <w:szCs w:val="18"/>
              </w:rPr>
              <w:t>E-1</w:t>
            </w:r>
            <w:r w:rsidRPr="0011797A">
              <w:rPr>
                <w:rFonts w:ascii="Times New Roman" w:hAnsi="Times New Roman" w:cs="Times New Roman"/>
                <w:color w:val="000000"/>
                <w:sz w:val="18"/>
                <w:szCs w:val="18"/>
                <w:lang w:val="id-ID"/>
              </w:rPr>
              <w:t>0</w:t>
            </w:r>
          </w:p>
        </w:tc>
        <w:tc>
          <w:tcPr>
            <w:tcW w:w="1072" w:type="dxa"/>
            <w:tcBorders>
              <w:left w:val="none" w:sz="0" w:space="0" w:color="auto"/>
            </w:tcBorders>
            <w:shd w:val="clear" w:color="auto" w:fill="auto"/>
            <w:vAlign w:val="center"/>
          </w:tcPr>
          <w:p w:rsidR="00C266B2" w:rsidRPr="00D46FFE" w:rsidRDefault="00C266B2" w:rsidP="00C266B2">
            <w:pPr>
              <w:ind w:firstLine="0"/>
              <w:jc w:val="center"/>
              <w:cnfStyle w:val="000000100000"/>
              <w:rPr>
                <w:rFonts w:ascii="Times New Roman" w:hAnsi="Times New Roman" w:cs="Times New Roman"/>
                <w:color w:val="000000"/>
                <w:sz w:val="18"/>
                <w:szCs w:val="18"/>
              </w:rPr>
            </w:pPr>
            <w:r w:rsidRPr="00D46FFE">
              <w:rPr>
                <w:rFonts w:ascii="Times New Roman" w:hAnsi="Times New Roman" w:cs="Times New Roman"/>
                <w:color w:val="000000"/>
                <w:sz w:val="18"/>
                <w:szCs w:val="18"/>
              </w:rPr>
              <w:t>1,3491</w:t>
            </w:r>
            <w:r w:rsidRPr="00D46FFE">
              <w:rPr>
                <w:rFonts w:ascii="Times New Roman" w:hAnsi="Times New Roman" w:cs="Times New Roman"/>
                <w:color w:val="000000"/>
                <w:sz w:val="18"/>
                <w:szCs w:val="18"/>
                <w:lang w:val="id-ID"/>
              </w:rPr>
              <w:t xml:space="preserve"> </w:t>
            </w:r>
            <w:r w:rsidRPr="00D46FFE">
              <w:rPr>
                <w:rFonts w:ascii="Times New Roman" w:hAnsi="Times New Roman" w:cs="Times New Roman"/>
                <w:color w:val="000000"/>
                <w:sz w:val="18"/>
                <w:szCs w:val="18"/>
              </w:rPr>
              <w:t>4</w:t>
            </w:r>
            <w:r w:rsidRPr="00D46FFE">
              <w:rPr>
                <w:rFonts w:ascii="Times New Roman" w:hAnsi="Times New Roman" w:cs="Times New Roman"/>
                <w:color w:val="000000"/>
                <w:sz w:val="18"/>
                <w:szCs w:val="18"/>
                <w:lang w:val="id-ID"/>
              </w:rPr>
              <w:t>e</w:t>
            </w:r>
            <w:r w:rsidRPr="00D46FFE">
              <w:rPr>
                <w:rFonts w:ascii="Times New Roman" w:hAnsi="Times New Roman" w:cs="Times New Roman"/>
                <w:color w:val="000000"/>
                <w:sz w:val="18"/>
                <w:szCs w:val="18"/>
                <w:vertAlign w:val="superscript"/>
              </w:rPr>
              <w:t>-08</w:t>
            </w:r>
          </w:p>
        </w:tc>
      </w:tr>
      <w:tr w:rsidR="00C266B2" w:rsidRPr="005E202C" w:rsidTr="00C266B2">
        <w:trPr>
          <w:cnfStyle w:val="000000010000"/>
        </w:trPr>
        <w:tc>
          <w:tcPr>
            <w:cnfStyle w:val="001000000000"/>
            <w:tcW w:w="315" w:type="dxa"/>
            <w:tcBorders>
              <w:right w:val="none" w:sz="0" w:space="0" w:color="auto"/>
            </w:tcBorders>
            <w:shd w:val="clear" w:color="auto" w:fill="auto"/>
            <w:vAlign w:val="center"/>
          </w:tcPr>
          <w:p w:rsidR="00C266B2" w:rsidRPr="005E202C" w:rsidRDefault="00C266B2" w:rsidP="00C266B2">
            <w:pPr>
              <w:spacing w:line="240" w:lineRule="auto"/>
              <w:ind w:firstLine="0"/>
              <w:jc w:val="center"/>
              <w:outlineLvl w:val="0"/>
              <w:rPr>
                <w:rFonts w:ascii="Times New Roman" w:hAnsi="Times New Roman" w:cs="Times New Roman"/>
                <w:b w:val="0"/>
                <w:sz w:val="16"/>
                <w:szCs w:val="16"/>
                <w:lang w:val="id-ID"/>
              </w:rPr>
            </w:pPr>
            <w:r w:rsidRPr="005E202C">
              <w:rPr>
                <w:rFonts w:ascii="Times New Roman" w:hAnsi="Times New Roman" w:cs="Times New Roman"/>
                <w:b w:val="0"/>
                <w:sz w:val="16"/>
                <w:szCs w:val="16"/>
                <w:lang w:val="id-ID"/>
              </w:rPr>
              <w:t>4.</w:t>
            </w:r>
          </w:p>
        </w:tc>
        <w:tc>
          <w:tcPr>
            <w:tcW w:w="1018" w:type="dxa"/>
            <w:tcBorders>
              <w:left w:val="none" w:sz="0" w:space="0" w:color="auto"/>
              <w:right w:val="none" w:sz="0" w:space="0" w:color="auto"/>
            </w:tcBorders>
            <w:shd w:val="clear" w:color="auto" w:fill="auto"/>
            <w:vAlign w:val="center"/>
          </w:tcPr>
          <w:p w:rsidR="00C266B2" w:rsidRPr="005E202C" w:rsidRDefault="00C266B2" w:rsidP="00C266B2">
            <w:pPr>
              <w:spacing w:line="240" w:lineRule="auto"/>
              <w:ind w:firstLine="0"/>
              <w:jc w:val="left"/>
              <w:outlineLvl w:val="0"/>
              <w:cnfStyle w:val="000000010000"/>
              <w:rPr>
                <w:rFonts w:ascii="Times New Roman" w:hAnsi="Times New Roman" w:cs="Times New Roman"/>
                <w:sz w:val="16"/>
                <w:szCs w:val="16"/>
                <w:lang w:val="id-ID"/>
              </w:rPr>
            </w:pPr>
            <w:r w:rsidRPr="005E202C">
              <w:rPr>
                <w:rFonts w:ascii="Times New Roman" w:hAnsi="Times New Roman" w:cs="Times New Roman"/>
                <w:sz w:val="16"/>
                <w:szCs w:val="16"/>
                <w:lang w:val="id-ID"/>
              </w:rPr>
              <w:t>Tanah dipadatkan</w:t>
            </w:r>
          </w:p>
        </w:tc>
        <w:tc>
          <w:tcPr>
            <w:tcW w:w="746"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outlineLvl w:val="0"/>
              <w:cnfStyle w:val="000000010000"/>
              <w:rPr>
                <w:rFonts w:ascii="Times New Roman" w:hAnsi="Times New Roman" w:cs="Times New Roman"/>
                <w:sz w:val="18"/>
                <w:szCs w:val="18"/>
                <w:lang w:val="id-ID"/>
              </w:rPr>
            </w:pPr>
            <w:r w:rsidRPr="0011797A">
              <w:rPr>
                <w:rFonts w:ascii="Times New Roman" w:hAnsi="Times New Roman" w:cs="Times New Roman"/>
                <w:sz w:val="18"/>
                <w:szCs w:val="18"/>
                <w:lang w:val="id-ID"/>
              </w:rPr>
              <w:t>0,4913</w:t>
            </w:r>
          </w:p>
        </w:tc>
        <w:tc>
          <w:tcPr>
            <w:tcW w:w="1067" w:type="dxa"/>
            <w:tcBorders>
              <w:left w:val="none" w:sz="0" w:space="0" w:color="auto"/>
              <w:right w:val="none" w:sz="0" w:space="0" w:color="auto"/>
            </w:tcBorders>
            <w:shd w:val="clear" w:color="auto" w:fill="auto"/>
            <w:vAlign w:val="center"/>
          </w:tcPr>
          <w:p w:rsidR="00C266B2" w:rsidRPr="00C266B2" w:rsidRDefault="00C266B2" w:rsidP="00C266B2">
            <w:pPr>
              <w:spacing w:line="276" w:lineRule="auto"/>
              <w:ind w:firstLine="0"/>
              <w:jc w:val="center"/>
              <w:outlineLvl w:val="0"/>
              <w:cnfStyle w:val="000000010000"/>
              <w:rPr>
                <w:rFonts w:ascii="Times New Roman" w:hAnsi="Times New Roman" w:cs="Times New Roman"/>
                <w:sz w:val="18"/>
                <w:szCs w:val="18"/>
                <w:lang w:val="id-ID"/>
              </w:rPr>
            </w:pPr>
            <w:r w:rsidRPr="00C266B2">
              <w:rPr>
                <w:rFonts w:ascii="Times New Roman" w:hAnsi="Times New Roman" w:cs="Times New Roman"/>
                <w:sz w:val="18"/>
                <w:szCs w:val="18"/>
              </w:rPr>
              <w:t>1,109 E-0</w:t>
            </w:r>
            <w:r w:rsidRPr="00C266B2">
              <w:rPr>
                <w:rFonts w:ascii="Times New Roman" w:hAnsi="Times New Roman" w:cs="Times New Roman"/>
                <w:sz w:val="18"/>
                <w:szCs w:val="18"/>
                <w:lang w:val="id-ID"/>
              </w:rPr>
              <w:t>7</w:t>
            </w:r>
          </w:p>
        </w:tc>
        <w:tc>
          <w:tcPr>
            <w:tcW w:w="1072" w:type="dxa"/>
            <w:tcBorders>
              <w:left w:val="none" w:sz="0" w:space="0" w:color="auto"/>
            </w:tcBorders>
            <w:shd w:val="clear" w:color="auto" w:fill="auto"/>
            <w:vAlign w:val="center"/>
          </w:tcPr>
          <w:p w:rsidR="00C266B2" w:rsidRPr="00D46FFE" w:rsidRDefault="00C266B2" w:rsidP="00C266B2">
            <w:pPr>
              <w:ind w:firstLine="0"/>
              <w:jc w:val="center"/>
              <w:cnfStyle w:val="000000010000"/>
              <w:rPr>
                <w:rFonts w:ascii="Times New Roman" w:hAnsi="Times New Roman" w:cs="Times New Roman"/>
                <w:color w:val="000000"/>
                <w:sz w:val="18"/>
                <w:szCs w:val="18"/>
              </w:rPr>
            </w:pPr>
            <w:r w:rsidRPr="00D46FFE">
              <w:rPr>
                <w:rFonts w:ascii="Times New Roman" w:hAnsi="Times New Roman" w:cs="Times New Roman"/>
                <w:color w:val="000000"/>
                <w:sz w:val="18"/>
                <w:szCs w:val="18"/>
              </w:rPr>
              <w:t>4,67379</w:t>
            </w:r>
            <w:r w:rsidRPr="00D46FFE">
              <w:rPr>
                <w:rFonts w:ascii="Times New Roman" w:hAnsi="Times New Roman" w:cs="Times New Roman"/>
                <w:color w:val="000000"/>
                <w:sz w:val="18"/>
                <w:szCs w:val="18"/>
                <w:lang w:val="id-ID"/>
              </w:rPr>
              <w:t xml:space="preserve"> e</w:t>
            </w:r>
            <w:r w:rsidRPr="00D46FFE">
              <w:rPr>
                <w:rFonts w:ascii="Times New Roman" w:hAnsi="Times New Roman" w:cs="Times New Roman"/>
                <w:color w:val="000000"/>
                <w:sz w:val="18"/>
                <w:szCs w:val="18"/>
                <w:vertAlign w:val="superscript"/>
              </w:rPr>
              <w:t>-06</w:t>
            </w:r>
          </w:p>
        </w:tc>
      </w:tr>
      <w:tr w:rsidR="00C266B2" w:rsidRPr="005E202C" w:rsidTr="00C266B2">
        <w:trPr>
          <w:cnfStyle w:val="000000100000"/>
        </w:trPr>
        <w:tc>
          <w:tcPr>
            <w:cnfStyle w:val="001000000000"/>
            <w:tcW w:w="315" w:type="dxa"/>
            <w:tcBorders>
              <w:right w:val="none" w:sz="0" w:space="0" w:color="auto"/>
            </w:tcBorders>
            <w:shd w:val="clear" w:color="auto" w:fill="auto"/>
            <w:vAlign w:val="center"/>
          </w:tcPr>
          <w:p w:rsidR="00C266B2" w:rsidRPr="005E202C" w:rsidRDefault="00C266B2" w:rsidP="00C266B2">
            <w:pPr>
              <w:spacing w:line="240" w:lineRule="auto"/>
              <w:ind w:firstLine="0"/>
              <w:jc w:val="center"/>
              <w:outlineLvl w:val="0"/>
              <w:rPr>
                <w:rFonts w:ascii="Times New Roman" w:hAnsi="Times New Roman" w:cs="Times New Roman"/>
                <w:b w:val="0"/>
                <w:sz w:val="16"/>
                <w:szCs w:val="16"/>
                <w:lang w:val="id-ID"/>
              </w:rPr>
            </w:pPr>
            <w:r w:rsidRPr="005E202C">
              <w:rPr>
                <w:rFonts w:ascii="Times New Roman" w:hAnsi="Times New Roman" w:cs="Times New Roman"/>
                <w:b w:val="0"/>
                <w:sz w:val="16"/>
                <w:szCs w:val="16"/>
                <w:lang w:val="id-ID"/>
              </w:rPr>
              <w:t>5.</w:t>
            </w:r>
          </w:p>
        </w:tc>
        <w:tc>
          <w:tcPr>
            <w:tcW w:w="1018" w:type="dxa"/>
            <w:tcBorders>
              <w:left w:val="none" w:sz="0" w:space="0" w:color="auto"/>
              <w:right w:val="none" w:sz="0" w:space="0" w:color="auto"/>
            </w:tcBorders>
            <w:shd w:val="clear" w:color="auto" w:fill="auto"/>
            <w:vAlign w:val="center"/>
          </w:tcPr>
          <w:p w:rsidR="00C266B2" w:rsidRPr="005E202C" w:rsidRDefault="00C266B2" w:rsidP="00C266B2">
            <w:pPr>
              <w:spacing w:line="240" w:lineRule="auto"/>
              <w:ind w:firstLine="0"/>
              <w:jc w:val="left"/>
              <w:outlineLvl w:val="0"/>
              <w:cnfStyle w:val="000000100000"/>
              <w:rPr>
                <w:rFonts w:ascii="Times New Roman" w:hAnsi="Times New Roman" w:cs="Times New Roman"/>
                <w:sz w:val="16"/>
                <w:szCs w:val="16"/>
                <w:lang w:val="id-ID"/>
              </w:rPr>
            </w:pPr>
            <w:r w:rsidRPr="005E202C">
              <w:rPr>
                <w:rFonts w:ascii="Times New Roman" w:hAnsi="Times New Roman" w:cs="Times New Roman"/>
                <w:sz w:val="16"/>
                <w:szCs w:val="16"/>
                <w:lang w:val="id-ID"/>
              </w:rPr>
              <w:t>Tanah Asli</w:t>
            </w:r>
            <w:r>
              <w:rPr>
                <w:rFonts w:ascii="Times New Roman" w:hAnsi="Times New Roman" w:cs="Times New Roman"/>
                <w:sz w:val="16"/>
                <w:szCs w:val="16"/>
                <w:lang w:val="id-ID"/>
              </w:rPr>
              <w:t xml:space="preserve"> 1</w:t>
            </w:r>
          </w:p>
        </w:tc>
        <w:tc>
          <w:tcPr>
            <w:tcW w:w="746"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cnfStyle w:val="000000100000"/>
              <w:rPr>
                <w:rFonts w:ascii="Times New Roman" w:hAnsi="Times New Roman" w:cs="Times New Roman"/>
                <w:sz w:val="18"/>
                <w:szCs w:val="18"/>
                <w:lang w:val="id-ID"/>
              </w:rPr>
            </w:pPr>
            <w:r w:rsidRPr="0011797A">
              <w:rPr>
                <w:rFonts w:ascii="Times New Roman" w:hAnsi="Times New Roman" w:cs="Times New Roman"/>
                <w:sz w:val="18"/>
                <w:szCs w:val="18"/>
                <w:lang w:val="id-ID"/>
              </w:rPr>
              <w:t>0,5233</w:t>
            </w:r>
          </w:p>
        </w:tc>
        <w:tc>
          <w:tcPr>
            <w:tcW w:w="1067" w:type="dxa"/>
            <w:tcBorders>
              <w:left w:val="none" w:sz="0" w:space="0" w:color="auto"/>
              <w:right w:val="none" w:sz="0" w:space="0" w:color="auto"/>
            </w:tcBorders>
            <w:shd w:val="clear" w:color="auto" w:fill="auto"/>
            <w:vAlign w:val="center"/>
          </w:tcPr>
          <w:p w:rsidR="00C266B2" w:rsidRPr="00C266B2" w:rsidRDefault="00C266B2" w:rsidP="00C266B2">
            <w:pPr>
              <w:spacing w:line="276" w:lineRule="auto"/>
              <w:ind w:firstLine="0"/>
              <w:jc w:val="center"/>
              <w:cnfStyle w:val="000000100000"/>
              <w:rPr>
                <w:rFonts w:ascii="Times New Roman" w:hAnsi="Times New Roman" w:cs="Times New Roman"/>
                <w:sz w:val="18"/>
                <w:szCs w:val="18"/>
                <w:lang w:val="id-ID"/>
              </w:rPr>
            </w:pPr>
            <w:r w:rsidRPr="00C266B2">
              <w:rPr>
                <w:rFonts w:ascii="Times New Roman" w:hAnsi="Times New Roman" w:cs="Times New Roman"/>
                <w:sz w:val="18"/>
                <w:szCs w:val="18"/>
              </w:rPr>
              <w:t xml:space="preserve">3,2387 E- </w:t>
            </w:r>
            <w:r w:rsidRPr="00C266B2">
              <w:rPr>
                <w:rFonts w:ascii="Times New Roman" w:hAnsi="Times New Roman" w:cs="Times New Roman"/>
                <w:sz w:val="18"/>
                <w:szCs w:val="18"/>
                <w:lang w:val="id-ID"/>
              </w:rPr>
              <w:t>06</w:t>
            </w:r>
          </w:p>
        </w:tc>
        <w:tc>
          <w:tcPr>
            <w:tcW w:w="1072" w:type="dxa"/>
            <w:tcBorders>
              <w:left w:val="none" w:sz="0" w:space="0" w:color="auto"/>
            </w:tcBorders>
            <w:shd w:val="clear" w:color="auto" w:fill="auto"/>
            <w:vAlign w:val="center"/>
          </w:tcPr>
          <w:p w:rsidR="00C266B2" w:rsidRPr="00D46FFE" w:rsidRDefault="00C266B2" w:rsidP="00C266B2">
            <w:pPr>
              <w:ind w:firstLine="0"/>
              <w:jc w:val="center"/>
              <w:cnfStyle w:val="000000100000"/>
              <w:rPr>
                <w:rFonts w:ascii="Times New Roman" w:hAnsi="Times New Roman" w:cs="Times New Roman"/>
                <w:color w:val="000000"/>
                <w:sz w:val="18"/>
                <w:szCs w:val="18"/>
              </w:rPr>
            </w:pPr>
            <w:r w:rsidRPr="00D46FFE">
              <w:rPr>
                <w:rFonts w:ascii="Times New Roman" w:hAnsi="Times New Roman" w:cs="Times New Roman"/>
                <w:color w:val="000000"/>
                <w:sz w:val="18"/>
                <w:szCs w:val="18"/>
              </w:rPr>
              <w:t>0,000109061</w:t>
            </w:r>
          </w:p>
        </w:tc>
      </w:tr>
      <w:tr w:rsidR="00C266B2" w:rsidRPr="005E202C" w:rsidTr="00C266B2">
        <w:trPr>
          <w:cnfStyle w:val="000000010000"/>
        </w:trPr>
        <w:tc>
          <w:tcPr>
            <w:cnfStyle w:val="001000000000"/>
            <w:tcW w:w="315" w:type="dxa"/>
            <w:tcBorders>
              <w:right w:val="none" w:sz="0" w:space="0" w:color="auto"/>
            </w:tcBorders>
            <w:shd w:val="clear" w:color="auto" w:fill="auto"/>
            <w:vAlign w:val="center"/>
          </w:tcPr>
          <w:p w:rsidR="00C266B2" w:rsidRPr="005E202C" w:rsidRDefault="00C266B2" w:rsidP="00C266B2">
            <w:pPr>
              <w:spacing w:line="240" w:lineRule="auto"/>
              <w:ind w:firstLine="0"/>
              <w:jc w:val="center"/>
              <w:outlineLvl w:val="0"/>
              <w:rPr>
                <w:rFonts w:ascii="Times New Roman" w:hAnsi="Times New Roman" w:cs="Times New Roman"/>
                <w:b w:val="0"/>
                <w:sz w:val="16"/>
                <w:szCs w:val="16"/>
                <w:lang w:val="id-ID"/>
              </w:rPr>
            </w:pPr>
            <w:r w:rsidRPr="005E202C">
              <w:rPr>
                <w:rFonts w:ascii="Times New Roman" w:hAnsi="Times New Roman" w:cs="Times New Roman"/>
                <w:b w:val="0"/>
                <w:sz w:val="16"/>
                <w:szCs w:val="16"/>
                <w:lang w:val="id-ID"/>
              </w:rPr>
              <w:t>6.</w:t>
            </w:r>
          </w:p>
        </w:tc>
        <w:tc>
          <w:tcPr>
            <w:tcW w:w="1018" w:type="dxa"/>
            <w:tcBorders>
              <w:left w:val="none" w:sz="0" w:space="0" w:color="auto"/>
              <w:right w:val="none" w:sz="0" w:space="0" w:color="auto"/>
            </w:tcBorders>
            <w:shd w:val="clear" w:color="auto" w:fill="auto"/>
            <w:vAlign w:val="center"/>
          </w:tcPr>
          <w:p w:rsidR="00C266B2" w:rsidRPr="005E202C" w:rsidRDefault="00C266B2" w:rsidP="00C266B2">
            <w:pPr>
              <w:spacing w:line="240" w:lineRule="auto"/>
              <w:ind w:firstLine="0"/>
              <w:jc w:val="left"/>
              <w:outlineLvl w:val="0"/>
              <w:cnfStyle w:val="000000010000"/>
              <w:rPr>
                <w:rFonts w:ascii="Times New Roman" w:hAnsi="Times New Roman" w:cs="Times New Roman"/>
                <w:sz w:val="16"/>
                <w:szCs w:val="16"/>
                <w:lang w:val="id-ID"/>
              </w:rPr>
            </w:pPr>
            <w:r w:rsidRPr="005E202C">
              <w:rPr>
                <w:rFonts w:ascii="Times New Roman" w:hAnsi="Times New Roman" w:cs="Times New Roman"/>
                <w:sz w:val="16"/>
                <w:szCs w:val="16"/>
                <w:lang w:val="id-ID"/>
              </w:rPr>
              <w:t xml:space="preserve">Tanah Asli </w:t>
            </w:r>
            <w:r>
              <w:rPr>
                <w:rFonts w:ascii="Times New Roman" w:hAnsi="Times New Roman" w:cs="Times New Roman"/>
                <w:sz w:val="16"/>
                <w:szCs w:val="16"/>
                <w:lang w:val="id-ID"/>
              </w:rPr>
              <w:t>2</w:t>
            </w:r>
          </w:p>
        </w:tc>
        <w:tc>
          <w:tcPr>
            <w:tcW w:w="746" w:type="dxa"/>
            <w:tcBorders>
              <w:left w:val="none" w:sz="0" w:space="0" w:color="auto"/>
              <w:right w:val="none" w:sz="0" w:space="0" w:color="auto"/>
            </w:tcBorders>
            <w:shd w:val="clear" w:color="auto" w:fill="auto"/>
            <w:vAlign w:val="center"/>
          </w:tcPr>
          <w:p w:rsidR="00C266B2" w:rsidRPr="0011797A" w:rsidRDefault="00C266B2" w:rsidP="00C266B2">
            <w:pPr>
              <w:spacing w:line="240" w:lineRule="auto"/>
              <w:ind w:firstLine="0"/>
              <w:jc w:val="center"/>
              <w:cnfStyle w:val="000000010000"/>
              <w:rPr>
                <w:rFonts w:ascii="Times New Roman" w:hAnsi="Times New Roman" w:cs="Times New Roman"/>
                <w:sz w:val="18"/>
                <w:szCs w:val="18"/>
                <w:lang w:val="id-ID"/>
              </w:rPr>
            </w:pPr>
            <w:r w:rsidRPr="0011797A">
              <w:rPr>
                <w:rFonts w:ascii="Times New Roman" w:hAnsi="Times New Roman" w:cs="Times New Roman"/>
                <w:sz w:val="18"/>
                <w:szCs w:val="18"/>
                <w:lang w:val="id-ID"/>
              </w:rPr>
              <w:t>0,4895</w:t>
            </w:r>
          </w:p>
        </w:tc>
        <w:tc>
          <w:tcPr>
            <w:tcW w:w="1067" w:type="dxa"/>
            <w:tcBorders>
              <w:left w:val="none" w:sz="0" w:space="0" w:color="auto"/>
              <w:right w:val="none" w:sz="0" w:space="0" w:color="auto"/>
            </w:tcBorders>
            <w:shd w:val="clear" w:color="auto" w:fill="auto"/>
            <w:vAlign w:val="center"/>
          </w:tcPr>
          <w:p w:rsidR="00C266B2" w:rsidRPr="00C266B2" w:rsidRDefault="00C266B2" w:rsidP="00C266B2">
            <w:pPr>
              <w:spacing w:line="276" w:lineRule="auto"/>
              <w:ind w:firstLine="0"/>
              <w:jc w:val="center"/>
              <w:cnfStyle w:val="000000010000"/>
              <w:rPr>
                <w:rFonts w:ascii="Times New Roman" w:hAnsi="Times New Roman" w:cs="Times New Roman"/>
                <w:sz w:val="18"/>
                <w:szCs w:val="18"/>
                <w:lang w:val="id-ID"/>
              </w:rPr>
            </w:pPr>
            <w:r w:rsidRPr="00C266B2">
              <w:rPr>
                <w:rFonts w:ascii="Times New Roman" w:hAnsi="Times New Roman" w:cs="Times New Roman"/>
                <w:sz w:val="18"/>
                <w:szCs w:val="18"/>
              </w:rPr>
              <w:t xml:space="preserve">6,3834E- </w:t>
            </w:r>
            <w:r w:rsidRPr="00C266B2">
              <w:rPr>
                <w:rFonts w:ascii="Times New Roman" w:hAnsi="Times New Roman" w:cs="Times New Roman"/>
                <w:sz w:val="18"/>
                <w:szCs w:val="18"/>
                <w:lang w:val="id-ID"/>
              </w:rPr>
              <w:t>06</w:t>
            </w:r>
          </w:p>
        </w:tc>
        <w:tc>
          <w:tcPr>
            <w:tcW w:w="1072" w:type="dxa"/>
            <w:tcBorders>
              <w:left w:val="none" w:sz="0" w:space="0" w:color="auto"/>
            </w:tcBorders>
            <w:shd w:val="clear" w:color="auto" w:fill="auto"/>
            <w:vAlign w:val="center"/>
          </w:tcPr>
          <w:p w:rsidR="00C266B2" w:rsidRPr="00D46FFE" w:rsidRDefault="00C266B2" w:rsidP="00C266B2">
            <w:pPr>
              <w:ind w:firstLine="0"/>
              <w:jc w:val="center"/>
              <w:cnfStyle w:val="000000010000"/>
              <w:rPr>
                <w:rFonts w:ascii="Times New Roman" w:hAnsi="Times New Roman" w:cs="Times New Roman"/>
                <w:color w:val="000000"/>
                <w:sz w:val="18"/>
                <w:szCs w:val="18"/>
              </w:rPr>
            </w:pPr>
            <w:r w:rsidRPr="00D46FFE">
              <w:rPr>
                <w:rFonts w:ascii="Times New Roman" w:hAnsi="Times New Roman" w:cs="Times New Roman"/>
                <w:color w:val="000000"/>
                <w:sz w:val="18"/>
                <w:szCs w:val="18"/>
              </w:rPr>
              <w:t>0,000122617</w:t>
            </w:r>
          </w:p>
        </w:tc>
      </w:tr>
    </w:tbl>
    <w:p w:rsidR="0011797A" w:rsidRDefault="0011797A" w:rsidP="0011797A">
      <w:pPr>
        <w:pStyle w:val="NoSpacing"/>
        <w:numPr>
          <w:ilvl w:val="0"/>
          <w:numId w:val="0"/>
        </w:numPr>
        <w:spacing w:line="240" w:lineRule="auto"/>
        <w:rPr>
          <w:b w:val="0"/>
          <w:noProof/>
          <w:szCs w:val="22"/>
          <w:lang w:val="id-ID" w:eastAsia="id-ID"/>
        </w:rPr>
      </w:pPr>
    </w:p>
    <w:p w:rsidR="00C266B2" w:rsidRDefault="00C266B2" w:rsidP="0011797A">
      <w:pPr>
        <w:pStyle w:val="NoSpacing"/>
        <w:numPr>
          <w:ilvl w:val="0"/>
          <w:numId w:val="0"/>
        </w:numPr>
        <w:spacing w:line="240" w:lineRule="auto"/>
        <w:rPr>
          <w:b w:val="0"/>
          <w:noProof/>
          <w:szCs w:val="22"/>
          <w:lang w:val="id-ID" w:eastAsia="id-ID"/>
        </w:rPr>
      </w:pPr>
    </w:p>
    <w:p w:rsidR="0011797A" w:rsidRPr="00363E3F" w:rsidRDefault="0011797A" w:rsidP="0011797A">
      <w:pPr>
        <w:pStyle w:val="NoSpacing"/>
        <w:numPr>
          <w:ilvl w:val="0"/>
          <w:numId w:val="0"/>
        </w:numPr>
        <w:spacing w:line="240" w:lineRule="auto"/>
        <w:rPr>
          <w:noProof/>
          <w:szCs w:val="22"/>
          <w:lang w:val="id-ID" w:eastAsia="id-ID"/>
        </w:rPr>
      </w:pPr>
      <w:r w:rsidRPr="00363E3F">
        <w:rPr>
          <w:noProof/>
          <w:szCs w:val="22"/>
          <w:lang w:val="id-ID" w:eastAsia="id-ID"/>
        </w:rPr>
        <w:lastRenderedPageBreak/>
        <w:t>Hasil Prediksi 15 Tahun</w:t>
      </w:r>
      <w:r w:rsidR="007F301C" w:rsidRPr="00363E3F">
        <w:rPr>
          <w:noProof/>
          <w:szCs w:val="22"/>
          <w:lang w:val="id-ID" w:eastAsia="id-ID"/>
        </w:rPr>
        <w:t xml:space="preserve"> Kontaminan Fe</w:t>
      </w:r>
    </w:p>
    <w:p w:rsidR="0011797A" w:rsidRPr="00363E3F" w:rsidRDefault="0011797A" w:rsidP="0011797A">
      <w:pPr>
        <w:pStyle w:val="NoSpacing"/>
        <w:numPr>
          <w:ilvl w:val="0"/>
          <w:numId w:val="0"/>
        </w:numPr>
        <w:spacing w:line="240" w:lineRule="auto"/>
        <w:rPr>
          <w:noProof/>
          <w:szCs w:val="22"/>
          <w:lang w:val="id-ID" w:eastAsia="id-ID"/>
        </w:rPr>
      </w:pPr>
    </w:p>
    <w:p w:rsidR="0011797A" w:rsidRPr="00363E3F" w:rsidRDefault="0011797A" w:rsidP="0011797A">
      <w:pPr>
        <w:pStyle w:val="NoSpacing"/>
        <w:numPr>
          <w:ilvl w:val="0"/>
          <w:numId w:val="0"/>
        </w:numPr>
        <w:jc w:val="center"/>
        <w:rPr>
          <w:szCs w:val="22"/>
          <w:lang w:val="id-ID"/>
        </w:rPr>
      </w:pPr>
      <w:r w:rsidRPr="00363E3F">
        <w:rPr>
          <w:b w:val="0"/>
          <w:bCs w:val="0"/>
          <w:noProof/>
          <w:szCs w:val="22"/>
          <w:lang w:val="id-ID" w:eastAsia="id-ID"/>
        </w:rPr>
        <w:drawing>
          <wp:inline distT="0" distB="0" distL="0" distR="0">
            <wp:extent cx="2471688" cy="1446662"/>
            <wp:effectExtent l="19050" t="0" r="4812" b="0"/>
            <wp:docPr id="3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srcRect/>
                    <a:stretch>
                      <a:fillRect/>
                    </a:stretch>
                  </pic:blipFill>
                  <pic:spPr bwMode="auto">
                    <a:xfrm>
                      <a:off x="0" y="0"/>
                      <a:ext cx="2478162" cy="1450451"/>
                    </a:xfrm>
                    <a:prstGeom prst="rect">
                      <a:avLst/>
                    </a:prstGeom>
                    <a:noFill/>
                    <a:ln w="9525">
                      <a:noFill/>
                      <a:miter lim="800000"/>
                      <a:headEnd/>
                      <a:tailEnd/>
                    </a:ln>
                  </pic:spPr>
                </pic:pic>
              </a:graphicData>
            </a:graphic>
          </wp:inline>
        </w:drawing>
      </w:r>
    </w:p>
    <w:p w:rsidR="00363E3F" w:rsidRPr="009D1CD4" w:rsidRDefault="009D1CD4" w:rsidP="00363E3F">
      <w:pPr>
        <w:pStyle w:val="NoSpacing"/>
        <w:numPr>
          <w:ilvl w:val="0"/>
          <w:numId w:val="0"/>
        </w:numPr>
        <w:spacing w:line="240" w:lineRule="auto"/>
        <w:jc w:val="center"/>
        <w:rPr>
          <w:b w:val="0"/>
          <w:szCs w:val="22"/>
          <w:lang w:val="id-ID"/>
        </w:rPr>
      </w:pPr>
      <w:r>
        <w:rPr>
          <w:b w:val="0"/>
          <w:szCs w:val="22"/>
          <w:lang w:val="id-ID"/>
        </w:rPr>
        <w:t>Gambar 3.</w:t>
      </w:r>
      <w:r w:rsidR="00C266B2">
        <w:rPr>
          <w:b w:val="0"/>
          <w:szCs w:val="22"/>
          <w:lang w:val="id-ID"/>
        </w:rPr>
        <w:t>2</w:t>
      </w:r>
    </w:p>
    <w:p w:rsidR="0011797A" w:rsidRPr="009D1CD4" w:rsidRDefault="0011797A" w:rsidP="0011797A">
      <w:pPr>
        <w:pStyle w:val="NoSpacing"/>
        <w:numPr>
          <w:ilvl w:val="0"/>
          <w:numId w:val="0"/>
        </w:numPr>
        <w:spacing w:line="240" w:lineRule="auto"/>
        <w:jc w:val="center"/>
        <w:rPr>
          <w:b w:val="0"/>
          <w:szCs w:val="22"/>
          <w:lang w:val="id-ID"/>
        </w:rPr>
      </w:pPr>
      <w:r w:rsidRPr="009D1CD4">
        <w:rPr>
          <w:b w:val="0"/>
          <w:szCs w:val="22"/>
          <w:lang w:val="id-ID"/>
        </w:rPr>
        <w:t>Grafik Konsentrasi Terhadap Kedalaman</w:t>
      </w:r>
    </w:p>
    <w:p w:rsidR="0011797A" w:rsidRPr="009D1CD4" w:rsidRDefault="0011797A" w:rsidP="0011797A">
      <w:pPr>
        <w:pStyle w:val="NoSpacing"/>
        <w:numPr>
          <w:ilvl w:val="0"/>
          <w:numId w:val="0"/>
        </w:numPr>
        <w:spacing w:line="240" w:lineRule="auto"/>
        <w:jc w:val="center"/>
        <w:rPr>
          <w:b w:val="0"/>
          <w:szCs w:val="22"/>
          <w:lang w:val="id-ID"/>
        </w:rPr>
      </w:pPr>
      <w:r w:rsidRPr="009D1CD4">
        <w:rPr>
          <w:b w:val="0"/>
          <w:szCs w:val="22"/>
          <w:lang w:val="id-ID"/>
        </w:rPr>
        <w:t xml:space="preserve">Transport Kontaminan Fe dalam Lindi Menggunakan </w:t>
      </w:r>
      <w:r w:rsidRPr="009D1CD4">
        <w:rPr>
          <w:b w:val="0"/>
          <w:i/>
          <w:szCs w:val="22"/>
          <w:lang w:val="id-ID"/>
        </w:rPr>
        <w:t xml:space="preserve">Software </w:t>
      </w:r>
      <w:r w:rsidRPr="009D1CD4">
        <w:rPr>
          <w:b w:val="0"/>
          <w:szCs w:val="22"/>
          <w:lang w:val="id-ID"/>
        </w:rPr>
        <w:t>Pollute v7</w:t>
      </w:r>
    </w:p>
    <w:p w:rsidR="0011797A" w:rsidRPr="00363E3F" w:rsidRDefault="0011797A" w:rsidP="0011797A">
      <w:pPr>
        <w:pStyle w:val="NoSpacing"/>
        <w:numPr>
          <w:ilvl w:val="0"/>
          <w:numId w:val="0"/>
        </w:numPr>
        <w:spacing w:line="240" w:lineRule="auto"/>
        <w:jc w:val="center"/>
        <w:rPr>
          <w:szCs w:val="22"/>
          <w:lang w:val="id-ID"/>
        </w:rPr>
      </w:pPr>
      <w:r w:rsidRPr="009D1CD4">
        <w:rPr>
          <w:b w:val="0"/>
          <w:szCs w:val="22"/>
          <w:lang w:val="id-ID"/>
        </w:rPr>
        <w:t>Prediksi 15 Tahun</w:t>
      </w:r>
    </w:p>
    <w:p w:rsidR="0011797A" w:rsidRPr="00363E3F" w:rsidRDefault="0011797A" w:rsidP="0011797A">
      <w:pPr>
        <w:pStyle w:val="NoSpacing"/>
        <w:numPr>
          <w:ilvl w:val="0"/>
          <w:numId w:val="0"/>
        </w:numPr>
        <w:spacing w:line="240" w:lineRule="auto"/>
        <w:jc w:val="center"/>
        <w:rPr>
          <w:szCs w:val="22"/>
          <w:lang w:val="id-ID"/>
        </w:rPr>
      </w:pPr>
    </w:p>
    <w:p w:rsidR="0011797A" w:rsidRPr="00363E3F" w:rsidRDefault="0011797A" w:rsidP="0011797A">
      <w:pPr>
        <w:pStyle w:val="NoSpacing"/>
        <w:numPr>
          <w:ilvl w:val="0"/>
          <w:numId w:val="0"/>
        </w:numPr>
        <w:spacing w:line="240" w:lineRule="auto"/>
        <w:ind w:firstLine="720"/>
        <w:rPr>
          <w:b w:val="0"/>
          <w:szCs w:val="22"/>
          <w:lang w:val="id-ID"/>
        </w:rPr>
      </w:pPr>
      <w:r w:rsidRPr="00363E3F">
        <w:rPr>
          <w:b w:val="0"/>
          <w:szCs w:val="22"/>
          <w:lang w:val="id-ID"/>
        </w:rPr>
        <w:t xml:space="preserve">Berdasarkan grafik di atas, dapat dilihat bagaimana perubahan konsentrasi kontaminan besi (Fe) pada kedalaman sumur pantau (7,1 meter) yang semakin meningkat dari tahun ke tahun. Pada tahun pertama konsentrasi mencapai 58,38 mg/l. Konsentrasi tersebut cukup tinggi apabila dibandingkan dengan konsentrasi pada sumber yaitu 96,78 mg/l. Pada tahun ke-2 konsentrasi menjadi 68,29 mg/l, tahun ke-3 peningkatan mencapai 73,24 mg/l dan tahun-tahun selanjutnya konsentrasi terus meningkat dengan perubahan yang berbeda-beda. Pada tahun ke-15 konsentrasi sudah mengalami peningkatan sampai 86,81 mg/l. </w:t>
      </w:r>
    </w:p>
    <w:p w:rsidR="0011797A" w:rsidRPr="00363E3F" w:rsidRDefault="0011797A" w:rsidP="0011797A">
      <w:pPr>
        <w:pStyle w:val="NoSpacing"/>
        <w:numPr>
          <w:ilvl w:val="0"/>
          <w:numId w:val="0"/>
        </w:numPr>
        <w:spacing w:line="240" w:lineRule="auto"/>
        <w:ind w:firstLine="720"/>
        <w:rPr>
          <w:rFonts w:cs="Times New Roman"/>
          <w:b w:val="0"/>
          <w:szCs w:val="22"/>
          <w:lang w:val="id-ID"/>
        </w:rPr>
      </w:pPr>
      <w:r w:rsidRPr="00363E3F">
        <w:rPr>
          <w:rFonts w:cs="Times New Roman"/>
          <w:b w:val="0"/>
          <w:szCs w:val="22"/>
          <w:lang w:val="id-ID"/>
        </w:rPr>
        <w:t>Peningkatan konsentrasi kontaminan dipengaruhi oleh terus bertambahnya kontaminan yang masuk serta adanya proses difusi dan dispersi dalam tanah. Hasil tersebut didukung oleh penelitian  Salami, Lukmon. et all. (2013), bahwa area di sekitar TPA memiliki kemungkinan tinggi untuk tercemar karena berada di dekat sumber pencemar yaitu zona timbunan.</w:t>
      </w:r>
    </w:p>
    <w:p w:rsidR="00E73958" w:rsidRPr="00363E3F" w:rsidRDefault="007F301C" w:rsidP="00363E3F">
      <w:pPr>
        <w:pStyle w:val="NoSpacing"/>
        <w:numPr>
          <w:ilvl w:val="0"/>
          <w:numId w:val="0"/>
        </w:numPr>
        <w:spacing w:line="240" w:lineRule="auto"/>
        <w:ind w:firstLine="720"/>
        <w:rPr>
          <w:rFonts w:cs="Times New Roman"/>
          <w:b w:val="0"/>
          <w:szCs w:val="22"/>
          <w:lang w:val="id-ID"/>
        </w:rPr>
      </w:pPr>
      <w:r w:rsidRPr="00363E3F">
        <w:rPr>
          <w:rFonts w:cs="Times New Roman"/>
          <w:b w:val="0"/>
          <w:szCs w:val="22"/>
          <w:lang w:val="id-ID"/>
        </w:rPr>
        <w:t xml:space="preserve">Namun perubahan peningkatan kontaminan besi (Fe) memiliki pola yang menurun dari tahun ke tahun. Hal tersebut dapat dilihat dalam </w:t>
      </w:r>
      <w:r w:rsidR="00E73958" w:rsidRPr="00363E3F">
        <w:rPr>
          <w:rFonts w:cs="Times New Roman"/>
          <w:b w:val="0"/>
          <w:szCs w:val="22"/>
          <w:lang w:val="id-ID"/>
        </w:rPr>
        <w:t xml:space="preserve">tabel dan </w:t>
      </w:r>
      <w:r w:rsidRPr="00363E3F">
        <w:rPr>
          <w:rFonts w:cs="Times New Roman"/>
          <w:b w:val="0"/>
          <w:szCs w:val="22"/>
          <w:lang w:val="id-ID"/>
        </w:rPr>
        <w:t>grafik berikut ini :</w:t>
      </w:r>
    </w:p>
    <w:p w:rsidR="00E73958" w:rsidRDefault="00E73958" w:rsidP="00E73958">
      <w:pPr>
        <w:pStyle w:val="NoSpacing"/>
        <w:numPr>
          <w:ilvl w:val="0"/>
          <w:numId w:val="0"/>
        </w:numPr>
        <w:spacing w:line="240" w:lineRule="auto"/>
        <w:ind w:left="360" w:hanging="360"/>
        <w:rPr>
          <w:rFonts w:cs="Times New Roman"/>
          <w:b w:val="0"/>
          <w:szCs w:val="24"/>
          <w:lang w:val="id-ID"/>
        </w:rPr>
      </w:pPr>
    </w:p>
    <w:p w:rsidR="00C266B2" w:rsidRDefault="00C266B2" w:rsidP="00E73958">
      <w:pPr>
        <w:pStyle w:val="NoSpacing"/>
        <w:numPr>
          <w:ilvl w:val="0"/>
          <w:numId w:val="0"/>
        </w:numPr>
        <w:spacing w:line="240" w:lineRule="auto"/>
        <w:ind w:left="360" w:hanging="360"/>
        <w:rPr>
          <w:rFonts w:cs="Times New Roman"/>
          <w:b w:val="0"/>
          <w:szCs w:val="24"/>
          <w:lang w:val="id-ID"/>
        </w:rPr>
      </w:pPr>
    </w:p>
    <w:p w:rsidR="00C266B2" w:rsidRDefault="00C266B2" w:rsidP="00E73958">
      <w:pPr>
        <w:pStyle w:val="NoSpacing"/>
        <w:numPr>
          <w:ilvl w:val="0"/>
          <w:numId w:val="0"/>
        </w:numPr>
        <w:spacing w:line="240" w:lineRule="auto"/>
        <w:ind w:left="360" w:hanging="360"/>
        <w:rPr>
          <w:rFonts w:cs="Times New Roman"/>
          <w:b w:val="0"/>
          <w:szCs w:val="24"/>
          <w:lang w:val="id-ID"/>
        </w:rPr>
      </w:pPr>
    </w:p>
    <w:p w:rsidR="00C266B2" w:rsidRDefault="00C266B2" w:rsidP="00E73958">
      <w:pPr>
        <w:pStyle w:val="NoSpacing"/>
        <w:numPr>
          <w:ilvl w:val="0"/>
          <w:numId w:val="0"/>
        </w:numPr>
        <w:spacing w:line="240" w:lineRule="auto"/>
        <w:ind w:left="360" w:hanging="360"/>
        <w:rPr>
          <w:rFonts w:cs="Times New Roman"/>
          <w:b w:val="0"/>
          <w:szCs w:val="24"/>
          <w:lang w:val="id-ID"/>
        </w:rPr>
      </w:pPr>
    </w:p>
    <w:p w:rsidR="00C266B2" w:rsidRDefault="00C266B2" w:rsidP="00E73958">
      <w:pPr>
        <w:pStyle w:val="NoSpacing"/>
        <w:numPr>
          <w:ilvl w:val="0"/>
          <w:numId w:val="0"/>
        </w:numPr>
        <w:spacing w:line="240" w:lineRule="auto"/>
        <w:ind w:left="360" w:hanging="360"/>
        <w:rPr>
          <w:rFonts w:cs="Times New Roman"/>
          <w:b w:val="0"/>
          <w:szCs w:val="24"/>
          <w:lang w:val="id-ID"/>
        </w:rPr>
      </w:pPr>
    </w:p>
    <w:p w:rsidR="00C266B2" w:rsidRDefault="00C266B2" w:rsidP="00E73958">
      <w:pPr>
        <w:pStyle w:val="NoSpacing"/>
        <w:numPr>
          <w:ilvl w:val="0"/>
          <w:numId w:val="0"/>
        </w:numPr>
        <w:spacing w:line="240" w:lineRule="auto"/>
        <w:ind w:left="360" w:hanging="360"/>
        <w:rPr>
          <w:rFonts w:cs="Times New Roman"/>
          <w:b w:val="0"/>
          <w:szCs w:val="24"/>
          <w:lang w:val="id-ID"/>
        </w:rPr>
      </w:pPr>
    </w:p>
    <w:p w:rsidR="00C266B2" w:rsidRDefault="00C266B2" w:rsidP="00E73958">
      <w:pPr>
        <w:pStyle w:val="NoSpacing"/>
        <w:numPr>
          <w:ilvl w:val="0"/>
          <w:numId w:val="0"/>
        </w:numPr>
        <w:spacing w:line="240" w:lineRule="auto"/>
        <w:ind w:left="360" w:hanging="360"/>
        <w:rPr>
          <w:rFonts w:cs="Times New Roman"/>
          <w:b w:val="0"/>
          <w:szCs w:val="24"/>
          <w:lang w:val="id-ID"/>
        </w:rPr>
      </w:pPr>
    </w:p>
    <w:p w:rsidR="00C266B2" w:rsidRDefault="00C266B2" w:rsidP="00E73958">
      <w:pPr>
        <w:pStyle w:val="NoSpacing"/>
        <w:numPr>
          <w:ilvl w:val="0"/>
          <w:numId w:val="0"/>
        </w:numPr>
        <w:spacing w:line="240" w:lineRule="auto"/>
        <w:ind w:left="360" w:hanging="360"/>
        <w:rPr>
          <w:rFonts w:cs="Times New Roman"/>
          <w:b w:val="0"/>
          <w:szCs w:val="24"/>
          <w:lang w:val="id-ID"/>
        </w:rPr>
      </w:pPr>
    </w:p>
    <w:p w:rsidR="00C266B2" w:rsidRDefault="00C266B2" w:rsidP="00E73958">
      <w:pPr>
        <w:pStyle w:val="NoSpacing"/>
        <w:numPr>
          <w:ilvl w:val="0"/>
          <w:numId w:val="0"/>
        </w:numPr>
        <w:spacing w:line="240" w:lineRule="auto"/>
        <w:ind w:left="360" w:hanging="360"/>
        <w:rPr>
          <w:rFonts w:cs="Times New Roman"/>
          <w:b w:val="0"/>
          <w:szCs w:val="24"/>
          <w:lang w:val="id-ID"/>
        </w:rPr>
      </w:pPr>
    </w:p>
    <w:p w:rsidR="00E73958" w:rsidRPr="009D1CD4" w:rsidRDefault="00E73958" w:rsidP="00E73958">
      <w:pPr>
        <w:pStyle w:val="NoSpacing"/>
        <w:numPr>
          <w:ilvl w:val="0"/>
          <w:numId w:val="0"/>
        </w:numPr>
        <w:spacing w:line="240" w:lineRule="auto"/>
        <w:jc w:val="center"/>
        <w:rPr>
          <w:b w:val="0"/>
          <w:sz w:val="20"/>
          <w:szCs w:val="20"/>
          <w:lang w:val="id-ID"/>
        </w:rPr>
      </w:pPr>
      <w:r w:rsidRPr="009D1CD4">
        <w:rPr>
          <w:b w:val="0"/>
          <w:sz w:val="20"/>
          <w:szCs w:val="20"/>
          <w:lang w:val="id-ID"/>
        </w:rPr>
        <w:lastRenderedPageBreak/>
        <w:t>Tabel 3.2 Perubahan Peningkatan Konsentrasi Besi (Fe) Prediksi 15 Tahun</w:t>
      </w:r>
    </w:p>
    <w:tbl>
      <w:tblPr>
        <w:tblStyle w:val="MediumShading1-Accent3"/>
        <w:tblW w:w="4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1043"/>
        <w:gridCol w:w="1043"/>
        <w:gridCol w:w="1043"/>
        <w:gridCol w:w="1043"/>
      </w:tblGrid>
      <w:tr w:rsidR="00E73958" w:rsidRPr="00E73958" w:rsidTr="00722B32">
        <w:trPr>
          <w:cnfStyle w:val="100000000000"/>
          <w:trHeight w:val="403"/>
        </w:trPr>
        <w:tc>
          <w:tcPr>
            <w:cnfStyle w:val="001000000000"/>
            <w:tcW w:w="453" w:type="dxa"/>
            <w:vMerge w:val="restart"/>
            <w:tcBorders>
              <w:top w:val="none" w:sz="0" w:space="0" w:color="auto"/>
              <w:left w:val="none" w:sz="0" w:space="0" w:color="auto"/>
              <w:bottom w:val="none" w:sz="0" w:space="0" w:color="auto"/>
              <w:right w:val="none" w:sz="0" w:space="0" w:color="auto"/>
            </w:tcBorders>
            <w:shd w:val="clear" w:color="auto" w:fill="92D050"/>
            <w:vAlign w:val="center"/>
            <w:hideMark/>
          </w:tcPr>
          <w:p w:rsidR="00E73958" w:rsidRPr="00E73958" w:rsidRDefault="00E73958" w:rsidP="009D1CD4">
            <w:pPr>
              <w:spacing w:line="240" w:lineRule="auto"/>
              <w:ind w:firstLine="0"/>
              <w:jc w:val="center"/>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No</w:t>
            </w:r>
          </w:p>
        </w:tc>
        <w:tc>
          <w:tcPr>
            <w:tcW w:w="916" w:type="dxa"/>
            <w:vMerge w:val="restart"/>
            <w:tcBorders>
              <w:top w:val="none" w:sz="0" w:space="0" w:color="auto"/>
              <w:left w:val="none" w:sz="0" w:space="0" w:color="auto"/>
              <w:bottom w:val="none" w:sz="0" w:space="0" w:color="auto"/>
              <w:right w:val="none" w:sz="0" w:space="0" w:color="auto"/>
            </w:tcBorders>
            <w:shd w:val="clear" w:color="auto" w:fill="92D050"/>
            <w:vAlign w:val="center"/>
            <w:hideMark/>
          </w:tcPr>
          <w:p w:rsidR="00E73958" w:rsidRPr="00E73958" w:rsidRDefault="00E73958" w:rsidP="009D1CD4">
            <w:pPr>
              <w:spacing w:line="240" w:lineRule="auto"/>
              <w:ind w:firstLine="0"/>
              <w:jc w:val="center"/>
              <w:cnfStyle w:val="1000000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Output Konsentrasi</w:t>
            </w:r>
          </w:p>
        </w:tc>
        <w:tc>
          <w:tcPr>
            <w:tcW w:w="899" w:type="dxa"/>
            <w:vMerge w:val="restart"/>
            <w:tcBorders>
              <w:top w:val="none" w:sz="0" w:space="0" w:color="auto"/>
              <w:left w:val="none" w:sz="0" w:space="0" w:color="auto"/>
              <w:bottom w:val="none" w:sz="0" w:space="0" w:color="auto"/>
              <w:right w:val="none" w:sz="0" w:space="0" w:color="auto"/>
            </w:tcBorders>
            <w:shd w:val="clear" w:color="auto" w:fill="92D050"/>
            <w:vAlign w:val="center"/>
            <w:hideMark/>
          </w:tcPr>
          <w:p w:rsidR="00E73958" w:rsidRPr="00E73958" w:rsidRDefault="00E73958" w:rsidP="009D1CD4">
            <w:pPr>
              <w:spacing w:line="240" w:lineRule="auto"/>
              <w:ind w:firstLine="0"/>
              <w:jc w:val="center"/>
              <w:cnfStyle w:val="1000000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Konsentrasi (mg/l)</w:t>
            </w:r>
          </w:p>
        </w:tc>
        <w:tc>
          <w:tcPr>
            <w:tcW w:w="899" w:type="dxa"/>
            <w:vMerge w:val="restart"/>
            <w:tcBorders>
              <w:top w:val="none" w:sz="0" w:space="0" w:color="auto"/>
              <w:left w:val="none" w:sz="0" w:space="0" w:color="auto"/>
              <w:bottom w:val="none" w:sz="0" w:space="0" w:color="auto"/>
              <w:right w:val="none" w:sz="0" w:space="0" w:color="auto"/>
            </w:tcBorders>
            <w:shd w:val="clear" w:color="auto" w:fill="92D050"/>
            <w:vAlign w:val="center"/>
            <w:hideMark/>
          </w:tcPr>
          <w:p w:rsidR="00E73958" w:rsidRPr="00E73958" w:rsidRDefault="00E73958" w:rsidP="009D1CD4">
            <w:pPr>
              <w:spacing w:line="240" w:lineRule="auto"/>
              <w:ind w:firstLine="0"/>
              <w:jc w:val="center"/>
              <w:cnfStyle w:val="1000000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Selisih Konsentrasi (mg/l)</w:t>
            </w:r>
          </w:p>
        </w:tc>
        <w:tc>
          <w:tcPr>
            <w:tcW w:w="899" w:type="dxa"/>
            <w:vMerge w:val="restart"/>
            <w:tcBorders>
              <w:top w:val="none" w:sz="0" w:space="0" w:color="auto"/>
              <w:left w:val="none" w:sz="0" w:space="0" w:color="auto"/>
              <w:bottom w:val="none" w:sz="0" w:space="0" w:color="auto"/>
              <w:right w:val="none" w:sz="0" w:space="0" w:color="auto"/>
            </w:tcBorders>
            <w:shd w:val="clear" w:color="auto" w:fill="92D050"/>
            <w:vAlign w:val="center"/>
            <w:hideMark/>
          </w:tcPr>
          <w:p w:rsidR="00E73958" w:rsidRPr="00E73958" w:rsidRDefault="00E73958" w:rsidP="009D1CD4">
            <w:pPr>
              <w:spacing w:line="240" w:lineRule="auto"/>
              <w:ind w:firstLine="0"/>
              <w:jc w:val="center"/>
              <w:cnfStyle w:val="1000000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Persentase Perubahan Konsentrasi</w:t>
            </w:r>
          </w:p>
        </w:tc>
      </w:tr>
      <w:tr w:rsidR="00E73958" w:rsidRPr="00E73958" w:rsidTr="00722B32">
        <w:trPr>
          <w:cnfStyle w:val="000000100000"/>
          <w:trHeight w:val="250"/>
        </w:trPr>
        <w:tc>
          <w:tcPr>
            <w:cnfStyle w:val="001000000000"/>
            <w:tcW w:w="453" w:type="dxa"/>
            <w:vMerge/>
            <w:tcBorders>
              <w:right w:val="none" w:sz="0" w:space="0" w:color="auto"/>
            </w:tcBorders>
            <w:shd w:val="clear" w:color="auto" w:fill="92D050"/>
            <w:vAlign w:val="center"/>
            <w:hideMark/>
          </w:tcPr>
          <w:p w:rsidR="00E73958" w:rsidRPr="00E73958" w:rsidRDefault="00E73958" w:rsidP="009D1CD4">
            <w:pPr>
              <w:spacing w:line="240" w:lineRule="auto"/>
              <w:ind w:firstLine="0"/>
              <w:jc w:val="center"/>
              <w:rPr>
                <w:rFonts w:ascii="Times New Roman" w:eastAsia="Times New Roman" w:hAnsi="Times New Roman" w:cs="Times New Roman"/>
                <w:color w:val="000000"/>
                <w:sz w:val="16"/>
                <w:szCs w:val="16"/>
                <w:lang w:val="id-ID" w:eastAsia="id-ID"/>
              </w:rPr>
            </w:pPr>
          </w:p>
        </w:tc>
        <w:tc>
          <w:tcPr>
            <w:tcW w:w="916" w:type="dxa"/>
            <w:vMerge/>
            <w:tcBorders>
              <w:left w:val="none" w:sz="0" w:space="0" w:color="auto"/>
              <w:right w:val="none" w:sz="0" w:space="0" w:color="auto"/>
            </w:tcBorders>
            <w:shd w:val="clear" w:color="auto" w:fill="92D050"/>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p>
        </w:tc>
        <w:tc>
          <w:tcPr>
            <w:tcW w:w="899" w:type="dxa"/>
            <w:vMerge/>
            <w:tcBorders>
              <w:left w:val="none" w:sz="0" w:space="0" w:color="auto"/>
              <w:right w:val="none" w:sz="0" w:space="0" w:color="auto"/>
            </w:tcBorders>
            <w:shd w:val="clear" w:color="auto" w:fill="92D050"/>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p>
        </w:tc>
        <w:tc>
          <w:tcPr>
            <w:tcW w:w="899" w:type="dxa"/>
            <w:vMerge/>
            <w:tcBorders>
              <w:left w:val="none" w:sz="0" w:space="0" w:color="auto"/>
              <w:right w:val="none" w:sz="0" w:space="0" w:color="auto"/>
            </w:tcBorders>
            <w:shd w:val="clear" w:color="auto" w:fill="92D050"/>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p>
        </w:tc>
        <w:tc>
          <w:tcPr>
            <w:tcW w:w="899" w:type="dxa"/>
            <w:vMerge/>
            <w:tcBorders>
              <w:left w:val="none" w:sz="0" w:space="0" w:color="auto"/>
            </w:tcBorders>
            <w:shd w:val="clear" w:color="auto" w:fill="92D050"/>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p>
        </w:tc>
      </w:tr>
      <w:tr w:rsidR="00E73958" w:rsidRPr="00E73958" w:rsidTr="00D46FFE">
        <w:trPr>
          <w:cnfStyle w:val="00000001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1.</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ke-1</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58,38</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w:t>
            </w:r>
          </w:p>
        </w:tc>
      </w:tr>
      <w:tr w:rsidR="00E73958" w:rsidRPr="00E73958" w:rsidTr="00D46FFE">
        <w:trPr>
          <w:cnfStyle w:val="00000010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2.</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ke-2</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68,29</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9,91</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10,24%</w:t>
            </w:r>
          </w:p>
        </w:tc>
      </w:tr>
      <w:tr w:rsidR="00E73958" w:rsidRPr="00E73958" w:rsidTr="00D46FFE">
        <w:trPr>
          <w:cnfStyle w:val="00000001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3.</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ke-3</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73,24</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4,95</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5,11%</w:t>
            </w:r>
          </w:p>
        </w:tc>
      </w:tr>
      <w:tr w:rsidR="00E73958" w:rsidRPr="00E73958" w:rsidTr="00D46FFE">
        <w:trPr>
          <w:cnfStyle w:val="00000010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4.</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ke-4</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76,36</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3,12</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3,22%</w:t>
            </w:r>
          </w:p>
        </w:tc>
      </w:tr>
      <w:tr w:rsidR="00E73958" w:rsidRPr="00E73958" w:rsidTr="00D46FFE">
        <w:trPr>
          <w:cnfStyle w:val="00000001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5.</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ke-5</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78,55</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2,19</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2,26%</w:t>
            </w:r>
          </w:p>
        </w:tc>
      </w:tr>
      <w:tr w:rsidR="00E73958" w:rsidRPr="00E73958" w:rsidTr="00D46FFE">
        <w:trPr>
          <w:cnfStyle w:val="00000010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6.</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ke-6</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80,21</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1,66</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1,72%</w:t>
            </w:r>
          </w:p>
        </w:tc>
      </w:tr>
      <w:tr w:rsidR="00E73958" w:rsidRPr="00E73958" w:rsidTr="00D46FFE">
        <w:trPr>
          <w:cnfStyle w:val="00000001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7.</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ke-7</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81,51</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1,3</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1,34%</w:t>
            </w:r>
          </w:p>
        </w:tc>
      </w:tr>
      <w:tr w:rsidR="00E73958" w:rsidRPr="00E73958" w:rsidTr="00D46FFE">
        <w:trPr>
          <w:cnfStyle w:val="00000010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8.</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ke-8</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82,57</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1,06</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1,10%</w:t>
            </w:r>
          </w:p>
        </w:tc>
      </w:tr>
      <w:tr w:rsidR="00E73958" w:rsidRPr="00E73958" w:rsidTr="00D46FFE">
        <w:trPr>
          <w:cnfStyle w:val="00000001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9.</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ke-9</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83,46</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0,89</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0,92%</w:t>
            </w:r>
          </w:p>
        </w:tc>
      </w:tr>
      <w:tr w:rsidR="00E73958" w:rsidRPr="00E73958" w:rsidTr="00D46FFE">
        <w:trPr>
          <w:cnfStyle w:val="00000010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10.</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ke-10</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84,22</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0,76</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0,79%</w:t>
            </w:r>
          </w:p>
        </w:tc>
      </w:tr>
      <w:tr w:rsidR="00E73958" w:rsidRPr="00E73958" w:rsidTr="00D46FFE">
        <w:trPr>
          <w:cnfStyle w:val="00000001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11.</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ke-11</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84,87</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0,65</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0,67%</w:t>
            </w:r>
          </w:p>
        </w:tc>
      </w:tr>
      <w:tr w:rsidR="00E73958" w:rsidRPr="00E73958" w:rsidTr="00D46FFE">
        <w:trPr>
          <w:cnfStyle w:val="00000010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12.</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ke-12</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85,44</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0,57</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0,59%</w:t>
            </w:r>
          </w:p>
        </w:tc>
      </w:tr>
      <w:tr w:rsidR="00E73958" w:rsidRPr="00E73958" w:rsidTr="00D46FFE">
        <w:trPr>
          <w:cnfStyle w:val="00000001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13.</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ke-13</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85,95</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0,51</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0,53%</w:t>
            </w:r>
          </w:p>
        </w:tc>
      </w:tr>
      <w:tr w:rsidR="00E73958" w:rsidRPr="00E73958" w:rsidTr="00D46FFE">
        <w:trPr>
          <w:cnfStyle w:val="00000010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14.</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ke-14</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86,4</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0,45</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0,46%</w:t>
            </w:r>
          </w:p>
        </w:tc>
      </w:tr>
      <w:tr w:rsidR="00E73958" w:rsidRPr="00E73958" w:rsidTr="00D46FFE">
        <w:trPr>
          <w:cnfStyle w:val="000000010000"/>
          <w:trHeight w:val="330"/>
        </w:trPr>
        <w:tc>
          <w:tcPr>
            <w:cnfStyle w:val="001000000000"/>
            <w:tcW w:w="453" w:type="dxa"/>
            <w:tcBorders>
              <w:right w:val="none" w:sz="0" w:space="0" w:color="auto"/>
            </w:tcBorders>
            <w:shd w:val="clear" w:color="auto" w:fill="auto"/>
            <w:vAlign w:val="center"/>
            <w:hideMark/>
          </w:tcPr>
          <w:p w:rsidR="00E73958" w:rsidRPr="00E73958" w:rsidRDefault="00E73958" w:rsidP="009D1CD4">
            <w:pPr>
              <w:spacing w:line="240" w:lineRule="auto"/>
              <w:ind w:firstLine="0"/>
              <w:jc w:val="center"/>
              <w:rPr>
                <w:rFonts w:ascii="Times New Roman" w:eastAsia="Times New Roman" w:hAnsi="Times New Roman" w:cs="Times New Roman"/>
                <w:b w:val="0"/>
                <w:color w:val="000000"/>
                <w:sz w:val="16"/>
                <w:szCs w:val="16"/>
                <w:lang w:val="id-ID" w:eastAsia="id-ID"/>
              </w:rPr>
            </w:pPr>
            <w:r w:rsidRPr="00E73958">
              <w:rPr>
                <w:rFonts w:ascii="Times New Roman" w:eastAsia="Times New Roman" w:hAnsi="Times New Roman" w:cs="Times New Roman"/>
                <w:b w:val="0"/>
                <w:color w:val="000000"/>
                <w:sz w:val="16"/>
                <w:szCs w:val="16"/>
                <w:lang w:val="id-ID" w:eastAsia="id-ID"/>
              </w:rPr>
              <w:t>15.</w:t>
            </w:r>
          </w:p>
        </w:tc>
        <w:tc>
          <w:tcPr>
            <w:tcW w:w="916"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Tahun ke-15</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86,81</w:t>
            </w:r>
          </w:p>
        </w:tc>
        <w:tc>
          <w:tcPr>
            <w:tcW w:w="899" w:type="dxa"/>
            <w:tcBorders>
              <w:left w:val="none" w:sz="0" w:space="0" w:color="auto"/>
              <w:righ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0,41</w:t>
            </w:r>
          </w:p>
        </w:tc>
        <w:tc>
          <w:tcPr>
            <w:tcW w:w="899" w:type="dxa"/>
            <w:tcBorders>
              <w:left w:val="none" w:sz="0" w:space="0" w:color="auto"/>
            </w:tcBorders>
            <w:shd w:val="clear" w:color="auto" w:fill="auto"/>
            <w:vAlign w:val="center"/>
            <w:hideMark/>
          </w:tcPr>
          <w:p w:rsidR="00E73958" w:rsidRPr="00E73958" w:rsidRDefault="00E73958" w:rsidP="009D1CD4">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E73958">
              <w:rPr>
                <w:rFonts w:ascii="Times New Roman" w:eastAsia="Times New Roman" w:hAnsi="Times New Roman" w:cs="Times New Roman"/>
                <w:color w:val="000000"/>
                <w:sz w:val="16"/>
                <w:szCs w:val="16"/>
                <w:lang w:val="id-ID" w:eastAsia="id-ID"/>
              </w:rPr>
              <w:t>0,42%</w:t>
            </w:r>
          </w:p>
        </w:tc>
      </w:tr>
    </w:tbl>
    <w:p w:rsidR="00E73958" w:rsidRDefault="00E73958" w:rsidP="00E73958">
      <w:pPr>
        <w:pStyle w:val="NoSpacing"/>
        <w:numPr>
          <w:ilvl w:val="0"/>
          <w:numId w:val="0"/>
        </w:numPr>
        <w:ind w:firstLine="720"/>
        <w:rPr>
          <w:b w:val="0"/>
          <w:lang w:val="id-ID"/>
        </w:rPr>
      </w:pPr>
      <w:r>
        <w:rPr>
          <w:b w:val="0"/>
          <w:lang w:val="id-ID"/>
        </w:rPr>
        <w:t>(</w:t>
      </w:r>
      <w:r>
        <w:rPr>
          <w:b w:val="0"/>
          <w:i/>
          <w:lang w:val="id-ID"/>
        </w:rPr>
        <w:t>Sumber : Pollute v7, 2013</w:t>
      </w:r>
      <w:r>
        <w:rPr>
          <w:b w:val="0"/>
          <w:lang w:val="id-ID"/>
        </w:rPr>
        <w:t>)</w:t>
      </w:r>
    </w:p>
    <w:p w:rsidR="00E73958" w:rsidRPr="0011797A" w:rsidRDefault="00E73958" w:rsidP="00E73958">
      <w:pPr>
        <w:pStyle w:val="NoSpacing"/>
        <w:numPr>
          <w:ilvl w:val="0"/>
          <w:numId w:val="0"/>
        </w:numPr>
        <w:spacing w:line="240" w:lineRule="auto"/>
        <w:ind w:left="360" w:hanging="360"/>
        <w:rPr>
          <w:lang w:val="id-ID"/>
        </w:rPr>
      </w:pPr>
    </w:p>
    <w:p w:rsidR="007F301C" w:rsidRDefault="007F301C" w:rsidP="007F301C">
      <w:pPr>
        <w:pStyle w:val="NoSpacing"/>
        <w:numPr>
          <w:ilvl w:val="0"/>
          <w:numId w:val="0"/>
        </w:numPr>
        <w:jc w:val="center"/>
        <w:rPr>
          <w:b w:val="0"/>
          <w:lang w:val="id-ID"/>
        </w:rPr>
      </w:pPr>
      <w:r w:rsidRPr="0007710F">
        <w:rPr>
          <w:b w:val="0"/>
          <w:noProof/>
          <w:lang w:val="id-ID" w:eastAsia="id-ID"/>
        </w:rPr>
        <w:drawing>
          <wp:inline distT="0" distB="0" distL="0" distR="0">
            <wp:extent cx="2096353" cy="1501254"/>
            <wp:effectExtent l="19050" t="0" r="18197" b="3696"/>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Gambar 3.</w:t>
      </w:r>
      <w:r w:rsidR="00C266B2">
        <w:rPr>
          <w:b w:val="0"/>
          <w:szCs w:val="22"/>
          <w:lang w:val="id-ID"/>
        </w:rPr>
        <w:t>3</w:t>
      </w:r>
      <w:r w:rsidRPr="009D1CD4">
        <w:rPr>
          <w:b w:val="0"/>
          <w:szCs w:val="22"/>
          <w:lang w:val="id-ID"/>
        </w:rPr>
        <w:t xml:space="preserve"> </w:t>
      </w:r>
      <w:r w:rsidR="009D1CD4">
        <w:rPr>
          <w:b w:val="0"/>
          <w:szCs w:val="22"/>
          <w:lang w:val="id-ID"/>
        </w:rPr>
        <w:t xml:space="preserve">Grafik </w:t>
      </w:r>
      <w:r w:rsidRPr="009D1CD4">
        <w:rPr>
          <w:b w:val="0"/>
          <w:szCs w:val="22"/>
          <w:lang w:val="id-ID"/>
        </w:rPr>
        <w:t>Penurunan Perubahan Konsentrasi Fe</w:t>
      </w:r>
    </w:p>
    <w:p w:rsidR="007F301C" w:rsidRPr="00363E3F" w:rsidRDefault="007F301C" w:rsidP="007F301C">
      <w:pPr>
        <w:pStyle w:val="NoSpacing"/>
        <w:numPr>
          <w:ilvl w:val="0"/>
          <w:numId w:val="0"/>
        </w:numPr>
        <w:spacing w:line="240" w:lineRule="auto"/>
        <w:jc w:val="center"/>
        <w:rPr>
          <w:b w:val="0"/>
          <w:szCs w:val="22"/>
          <w:lang w:val="id-ID"/>
        </w:rPr>
      </w:pPr>
      <w:r w:rsidRPr="00363E3F">
        <w:rPr>
          <w:b w:val="0"/>
          <w:szCs w:val="22"/>
          <w:lang w:val="id-ID"/>
        </w:rPr>
        <w:t>(</w:t>
      </w:r>
      <w:r w:rsidRPr="00363E3F">
        <w:rPr>
          <w:b w:val="0"/>
          <w:i/>
          <w:szCs w:val="22"/>
          <w:lang w:val="id-ID"/>
        </w:rPr>
        <w:t>Sumber : Analisis, 2013</w:t>
      </w:r>
      <w:r w:rsidRPr="00363E3F">
        <w:rPr>
          <w:b w:val="0"/>
          <w:szCs w:val="22"/>
          <w:lang w:val="id-ID"/>
        </w:rPr>
        <w:t>)</w:t>
      </w:r>
    </w:p>
    <w:p w:rsidR="007F301C" w:rsidRPr="00363E3F" w:rsidRDefault="007F301C" w:rsidP="007F301C">
      <w:pPr>
        <w:pStyle w:val="NoSpacing"/>
        <w:numPr>
          <w:ilvl w:val="0"/>
          <w:numId w:val="0"/>
        </w:numPr>
        <w:spacing w:line="240" w:lineRule="auto"/>
        <w:rPr>
          <w:b w:val="0"/>
          <w:szCs w:val="22"/>
          <w:lang w:val="id-ID"/>
        </w:rPr>
      </w:pPr>
    </w:p>
    <w:p w:rsidR="007F301C" w:rsidRPr="00363E3F" w:rsidRDefault="007F301C" w:rsidP="007F301C">
      <w:pPr>
        <w:pStyle w:val="NoSpacing"/>
        <w:numPr>
          <w:ilvl w:val="0"/>
          <w:numId w:val="0"/>
        </w:numPr>
        <w:spacing w:line="240" w:lineRule="auto"/>
        <w:ind w:firstLine="720"/>
        <w:rPr>
          <w:b w:val="0"/>
          <w:szCs w:val="22"/>
          <w:lang w:val="id-ID"/>
        </w:rPr>
      </w:pPr>
      <w:r w:rsidRPr="00363E3F">
        <w:rPr>
          <w:b w:val="0"/>
          <w:szCs w:val="22"/>
          <w:lang w:val="id-ID"/>
        </w:rPr>
        <w:t>Perubahan konsentrasi yang cukup tinggi di tahun pertama dipengaruhi oleh adanya kemampuan adsorpsi suatu senyawa oleh tanah. Kemudian seiring dengan pertambahan waktu konsentrasi tersebut akan semakin jenuh dalam tanah dan tidak dapat tersorpsi lagi. Dalam Notodarmojo (2005) disebutkan bila suatu kontaminan anorganik dengan konsentrasi di atas konsentrasi jenuh (</w:t>
      </w:r>
      <w:r w:rsidRPr="00363E3F">
        <w:rPr>
          <w:b w:val="0"/>
          <w:i/>
          <w:szCs w:val="22"/>
          <w:lang w:val="id-ID"/>
        </w:rPr>
        <w:t>super-saturated</w:t>
      </w:r>
      <w:r w:rsidRPr="00363E3F">
        <w:rPr>
          <w:b w:val="0"/>
          <w:szCs w:val="22"/>
          <w:lang w:val="id-ID"/>
        </w:rPr>
        <w:t>) masuk ke dalam tanah dan selanjutnya begabung dengan air tanah atau larutan tanah, maka akan terjadi proses presipitasi sampai konsentrasi keseimbangan (</w:t>
      </w:r>
      <w:r w:rsidRPr="00363E3F">
        <w:rPr>
          <w:b w:val="0"/>
          <w:i/>
          <w:szCs w:val="22"/>
          <w:lang w:val="id-ID"/>
        </w:rPr>
        <w:t>equilibrium</w:t>
      </w:r>
      <w:r w:rsidRPr="00363E3F">
        <w:rPr>
          <w:b w:val="0"/>
          <w:szCs w:val="22"/>
          <w:lang w:val="id-ID"/>
        </w:rPr>
        <w:t xml:space="preserve">) terjadi. Disamping itu koefisien dispersi hidrodinamis juga sangat  </w:t>
      </w:r>
      <w:r w:rsidRPr="00363E3F">
        <w:rPr>
          <w:b w:val="0"/>
          <w:szCs w:val="22"/>
          <w:lang w:val="id-ID"/>
        </w:rPr>
        <w:lastRenderedPageBreak/>
        <w:t>mempengaruhi suatu molekul untuk menyamakan konsentrasi dalam sistem, sehingga akan bergerak dari daerah yang berkonsentrasi tinggi menuju ke daerah berkonsentrasi rendah.</w:t>
      </w:r>
    </w:p>
    <w:p w:rsidR="0011797A" w:rsidRPr="00363E3F" w:rsidRDefault="0011797A" w:rsidP="00785625">
      <w:pPr>
        <w:spacing w:line="240" w:lineRule="auto"/>
        <w:ind w:firstLine="0"/>
        <w:rPr>
          <w:rFonts w:ascii="Times New Roman" w:hAnsi="Times New Roman" w:cs="Times New Roman"/>
          <w:lang w:val="id-ID"/>
        </w:rPr>
      </w:pPr>
    </w:p>
    <w:p w:rsidR="007F301C" w:rsidRPr="00363E3F" w:rsidRDefault="007F301C" w:rsidP="007F301C">
      <w:pPr>
        <w:pStyle w:val="NoSpacing"/>
        <w:numPr>
          <w:ilvl w:val="0"/>
          <w:numId w:val="0"/>
        </w:numPr>
        <w:rPr>
          <w:b w:val="0"/>
          <w:szCs w:val="22"/>
          <w:lang w:val="id-ID"/>
        </w:rPr>
      </w:pPr>
      <w:r w:rsidRPr="00363E3F">
        <w:rPr>
          <w:bCs w:val="0"/>
          <w:noProof/>
          <w:szCs w:val="22"/>
          <w:lang w:val="id-ID" w:eastAsia="id-ID"/>
        </w:rPr>
        <w:drawing>
          <wp:inline distT="0" distB="0" distL="0" distR="0">
            <wp:extent cx="2833332" cy="1524810"/>
            <wp:effectExtent l="19050" t="0" r="511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835572" cy="1526015"/>
                    </a:xfrm>
                    <a:prstGeom prst="rect">
                      <a:avLst/>
                    </a:prstGeom>
                    <a:noFill/>
                    <a:ln w="9525">
                      <a:noFill/>
                      <a:miter lim="800000"/>
                      <a:headEnd/>
                      <a:tailEnd/>
                    </a:ln>
                  </pic:spPr>
                </pic:pic>
              </a:graphicData>
            </a:graphic>
          </wp:inline>
        </w:drawing>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Gambar 3.</w:t>
      </w:r>
      <w:r w:rsidR="00C266B2">
        <w:rPr>
          <w:b w:val="0"/>
          <w:szCs w:val="22"/>
          <w:lang w:val="id-ID"/>
        </w:rPr>
        <w:t>4</w:t>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 xml:space="preserve"> Grafik Waktu Terhadap Konsentrasi</w:t>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 xml:space="preserve">Transport Kontaminan Fe dalam Lindi Menggunakan </w:t>
      </w:r>
      <w:r w:rsidRPr="009D1CD4">
        <w:rPr>
          <w:b w:val="0"/>
          <w:i/>
          <w:szCs w:val="22"/>
          <w:lang w:val="id-ID"/>
        </w:rPr>
        <w:t xml:space="preserve">Software </w:t>
      </w:r>
      <w:r w:rsidRPr="009D1CD4">
        <w:rPr>
          <w:b w:val="0"/>
          <w:szCs w:val="22"/>
          <w:lang w:val="id-ID"/>
        </w:rPr>
        <w:t>Pollute v7</w:t>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Prediksi 15 Tahun</w:t>
      </w:r>
    </w:p>
    <w:p w:rsidR="007F301C" w:rsidRPr="009D1CD4" w:rsidRDefault="007F301C" w:rsidP="009D1CD4">
      <w:pPr>
        <w:pStyle w:val="NoSpacing"/>
        <w:numPr>
          <w:ilvl w:val="0"/>
          <w:numId w:val="0"/>
        </w:numPr>
        <w:spacing w:line="240" w:lineRule="auto"/>
        <w:jc w:val="center"/>
        <w:rPr>
          <w:b w:val="0"/>
          <w:szCs w:val="22"/>
          <w:lang w:val="id-ID"/>
        </w:rPr>
      </w:pPr>
      <w:r w:rsidRPr="00363E3F">
        <w:rPr>
          <w:b w:val="0"/>
          <w:szCs w:val="22"/>
          <w:lang w:val="id-ID"/>
        </w:rPr>
        <w:t xml:space="preserve"> </w:t>
      </w:r>
    </w:p>
    <w:p w:rsidR="007F301C" w:rsidRPr="00363E3F" w:rsidRDefault="007F301C" w:rsidP="007F301C">
      <w:pPr>
        <w:pStyle w:val="NoSpacing"/>
        <w:numPr>
          <w:ilvl w:val="0"/>
          <w:numId w:val="0"/>
        </w:numPr>
        <w:spacing w:line="240" w:lineRule="auto"/>
        <w:ind w:firstLine="720"/>
        <w:rPr>
          <w:rFonts w:cs="Times New Roman"/>
          <w:b w:val="0"/>
          <w:szCs w:val="22"/>
          <w:lang w:val="id-ID"/>
        </w:rPr>
      </w:pPr>
      <w:r w:rsidRPr="00363E3F">
        <w:rPr>
          <w:b w:val="0"/>
          <w:szCs w:val="22"/>
          <w:lang w:val="id-ID"/>
        </w:rPr>
        <w:t xml:space="preserve">Grafik pada gambar 3.6 merupakan output kedua </w:t>
      </w:r>
      <w:r w:rsidRPr="00363E3F">
        <w:rPr>
          <w:b w:val="0"/>
          <w:i/>
          <w:szCs w:val="22"/>
          <w:lang w:val="id-ID"/>
        </w:rPr>
        <w:t xml:space="preserve">software </w:t>
      </w:r>
      <w:r w:rsidRPr="00363E3F">
        <w:rPr>
          <w:b w:val="0"/>
          <w:szCs w:val="22"/>
          <w:lang w:val="id-ID"/>
        </w:rPr>
        <w:t xml:space="preserve">Pollute v7. Dengan melihat grafik tersebut dapat diketahui penurunan konsentrasi kontaminan besi (Fe) melalui lapsan-lapisan dasar yang digunakan TPA Ngronggo. </w:t>
      </w:r>
      <w:r w:rsidRPr="00363E3F">
        <w:rPr>
          <w:rFonts w:cs="Times New Roman"/>
          <w:b w:val="0"/>
          <w:szCs w:val="22"/>
          <w:lang w:val="id-ID"/>
        </w:rPr>
        <w:t xml:space="preserve">Penurunan  konsentrasi kontaminan besi (Fe) dimulai dari lapisan geomembran  kemudian kelapisan tanah dibawahnya. </w:t>
      </w:r>
    </w:p>
    <w:p w:rsidR="007F301C" w:rsidRPr="00363E3F" w:rsidRDefault="007F301C" w:rsidP="007F301C">
      <w:pPr>
        <w:pStyle w:val="NoSpacing"/>
        <w:numPr>
          <w:ilvl w:val="0"/>
          <w:numId w:val="0"/>
        </w:numPr>
        <w:spacing w:line="240" w:lineRule="auto"/>
        <w:ind w:firstLine="720"/>
        <w:rPr>
          <w:b w:val="0"/>
          <w:szCs w:val="22"/>
          <w:lang w:val="id-ID"/>
        </w:rPr>
      </w:pPr>
      <w:r w:rsidRPr="00363E3F">
        <w:rPr>
          <w:rFonts w:cs="Times New Roman"/>
          <w:b w:val="0"/>
          <w:szCs w:val="22"/>
          <w:lang w:val="id-ID"/>
        </w:rPr>
        <w:t xml:space="preserve">Penurunan konsentrasi ini disebabkan adanya proses difusi, dispersi dan adsorpsi oleh tanah. Jika diamati </w:t>
      </w:r>
      <w:r w:rsidRPr="00363E3F">
        <w:rPr>
          <w:b w:val="0"/>
          <w:szCs w:val="22"/>
          <w:lang w:val="id-ID"/>
        </w:rPr>
        <w:t>pada lapisan dasar atas, yaitu gravel dan geotekstil belum terjadi penurunan konsentrasi kontaminan besi (Fe). Hal tersebut dikarenakan lapisan gravel memiliki nilai permeabilitas 10 m/s dan geotekstil 0,065 m/s, nilai tersebut dianggap masih cukup tinggi untuk dapat meloloskan air (Bear, et all. 1968). Sedangkan  lapisan geomembran memiliki nilai permeabilitas 0,5 x 10</w:t>
      </w:r>
      <w:r w:rsidRPr="00363E3F">
        <w:rPr>
          <w:b w:val="0"/>
          <w:szCs w:val="22"/>
          <w:lang w:val="id-ID"/>
        </w:rPr>
        <w:softHyphen/>
      </w:r>
      <w:r w:rsidRPr="00363E3F">
        <w:rPr>
          <w:b w:val="0"/>
          <w:szCs w:val="22"/>
          <w:vertAlign w:val="superscript"/>
          <w:lang w:val="id-ID"/>
        </w:rPr>
        <w:t xml:space="preserve">-10 </w:t>
      </w:r>
      <w:r w:rsidRPr="00363E3F">
        <w:rPr>
          <w:b w:val="0"/>
          <w:szCs w:val="22"/>
          <w:lang w:val="id-ID"/>
        </w:rPr>
        <w:t xml:space="preserve">m/s, dimana nilai tersebut dianggap sangat kedap terhadap air (Shukla dan Yin, 2006) sehingga dapat menghambat difusi suatu fluida. Tanah padat yang digunakan sebagai pelapis dasar memiliki permeabilitas </w:t>
      </w:r>
      <w:r w:rsidRPr="00363E3F">
        <w:rPr>
          <w:rFonts w:cs="Times New Roman"/>
          <w:b w:val="0"/>
          <w:szCs w:val="22"/>
        </w:rPr>
        <w:t>1,109</w:t>
      </w:r>
      <w:r w:rsidRPr="00363E3F">
        <w:rPr>
          <w:rFonts w:cs="Times New Roman"/>
          <w:b w:val="0"/>
          <w:szCs w:val="22"/>
          <w:lang w:val="id-ID"/>
        </w:rPr>
        <w:t xml:space="preserve"> x 10</w:t>
      </w:r>
      <w:r w:rsidRPr="00363E3F">
        <w:rPr>
          <w:rFonts w:cs="Times New Roman"/>
          <w:b w:val="0"/>
          <w:szCs w:val="22"/>
          <w:vertAlign w:val="superscript"/>
        </w:rPr>
        <w:t>-</w:t>
      </w:r>
      <w:r w:rsidRPr="00363E3F">
        <w:rPr>
          <w:rFonts w:cs="Times New Roman"/>
          <w:b w:val="0"/>
          <w:szCs w:val="22"/>
          <w:vertAlign w:val="superscript"/>
          <w:lang w:val="id-ID"/>
        </w:rPr>
        <w:t>5</w:t>
      </w:r>
      <w:r w:rsidRPr="00363E3F">
        <w:rPr>
          <w:b w:val="0"/>
          <w:szCs w:val="22"/>
          <w:lang w:val="id-ID"/>
        </w:rPr>
        <w:t xml:space="preserve"> m/s. Walaupun permeabilitas geomembran lebih kedap (</w:t>
      </w:r>
      <w:r w:rsidRPr="00363E3F">
        <w:rPr>
          <w:b w:val="0"/>
          <w:i/>
          <w:szCs w:val="22"/>
          <w:lang w:val="id-ID"/>
        </w:rPr>
        <w:t>impermeable</w:t>
      </w:r>
      <w:r w:rsidRPr="00363E3F">
        <w:rPr>
          <w:b w:val="0"/>
          <w:szCs w:val="22"/>
          <w:lang w:val="id-ID"/>
        </w:rPr>
        <w:t xml:space="preserve">) dibandingkan dengan tanah padat, namun berdasarkan grafik 5.21 penurunan konsentrasi yang lebih tinggi terjadi pada lapisan tanah padat. Keadaan tersebut dikarenakan tanah memiliki kemampuan mengadsorpsi kontaminan yang masuk. Perbedaan nilai permeabilitas yang mempengaruhi nilai koefisien hidrodinamis dispersi (D) serta adanya adsorpsi pada tanah </w:t>
      </w:r>
      <w:r w:rsidRPr="00363E3F">
        <w:rPr>
          <w:b w:val="0"/>
          <w:szCs w:val="22"/>
          <w:lang w:val="id-ID"/>
        </w:rPr>
        <w:lastRenderedPageBreak/>
        <w:t>inilah yang dapat mempengaruhi tingkat penurunan konsentrasi (Notodarmojo, 2005).</w:t>
      </w:r>
    </w:p>
    <w:p w:rsidR="007F301C" w:rsidRPr="00363E3F" w:rsidRDefault="007F301C" w:rsidP="00785625">
      <w:pPr>
        <w:spacing w:line="240" w:lineRule="auto"/>
        <w:ind w:firstLine="0"/>
        <w:rPr>
          <w:rFonts w:ascii="Times New Roman" w:hAnsi="Times New Roman" w:cs="Times New Roman"/>
          <w:lang w:val="id-ID"/>
        </w:rPr>
      </w:pPr>
    </w:p>
    <w:p w:rsidR="007F301C" w:rsidRPr="00363E3F" w:rsidRDefault="007F301C" w:rsidP="00785625">
      <w:pPr>
        <w:spacing w:line="240" w:lineRule="auto"/>
        <w:ind w:firstLine="0"/>
        <w:rPr>
          <w:rFonts w:ascii="Times New Roman" w:hAnsi="Times New Roman" w:cs="Times New Roman"/>
          <w:b/>
          <w:lang w:val="id-ID"/>
        </w:rPr>
      </w:pPr>
      <w:r w:rsidRPr="00363E3F">
        <w:rPr>
          <w:rFonts w:ascii="Times New Roman" w:hAnsi="Times New Roman" w:cs="Times New Roman"/>
          <w:b/>
          <w:lang w:val="id-ID"/>
        </w:rPr>
        <w:t>Hasil Prediksi 15 Tahun Kontaminan Ni</w:t>
      </w:r>
    </w:p>
    <w:p w:rsidR="007F301C" w:rsidRPr="00363E3F" w:rsidRDefault="007F301C" w:rsidP="00785625">
      <w:pPr>
        <w:spacing w:line="240" w:lineRule="auto"/>
        <w:ind w:firstLine="0"/>
        <w:rPr>
          <w:rFonts w:ascii="Times New Roman" w:hAnsi="Times New Roman" w:cs="Times New Roman"/>
          <w:b/>
          <w:lang w:val="id-ID"/>
        </w:rPr>
      </w:pPr>
    </w:p>
    <w:p w:rsidR="007F301C" w:rsidRPr="00363E3F" w:rsidRDefault="007F301C" w:rsidP="007F301C">
      <w:pPr>
        <w:pStyle w:val="NoSpacing"/>
        <w:numPr>
          <w:ilvl w:val="0"/>
          <w:numId w:val="0"/>
        </w:numPr>
        <w:spacing w:line="240" w:lineRule="auto"/>
        <w:ind w:firstLine="720"/>
        <w:rPr>
          <w:b w:val="0"/>
          <w:szCs w:val="22"/>
          <w:lang w:val="id-ID"/>
        </w:rPr>
      </w:pPr>
      <w:r w:rsidRPr="00363E3F">
        <w:rPr>
          <w:b w:val="0"/>
          <w:szCs w:val="22"/>
          <w:lang w:val="id-ID"/>
        </w:rPr>
        <w:t xml:space="preserve">Selain permodelan simulasi prediksi transport kontaminan besi (Fe), berikut hasil prediksi transport kontaminan nikel (Ni) selama 15 tahun ke depan. Permodelan dilakukan menggunakan </w:t>
      </w:r>
      <w:r w:rsidRPr="00363E3F">
        <w:rPr>
          <w:b w:val="0"/>
          <w:i/>
          <w:szCs w:val="22"/>
          <w:lang w:val="id-ID"/>
        </w:rPr>
        <w:t xml:space="preserve">software </w:t>
      </w:r>
      <w:r w:rsidRPr="00363E3F">
        <w:rPr>
          <w:b w:val="0"/>
          <w:szCs w:val="22"/>
          <w:lang w:val="id-ID"/>
        </w:rPr>
        <w:t>Pollute v7.</w:t>
      </w:r>
    </w:p>
    <w:p w:rsidR="007F301C" w:rsidRDefault="007F301C" w:rsidP="007F301C">
      <w:pPr>
        <w:pStyle w:val="NoSpacing"/>
        <w:numPr>
          <w:ilvl w:val="0"/>
          <w:numId w:val="0"/>
        </w:numPr>
        <w:spacing w:line="240" w:lineRule="auto"/>
        <w:jc w:val="center"/>
        <w:rPr>
          <w:b w:val="0"/>
          <w:lang w:val="id-ID"/>
        </w:rPr>
      </w:pPr>
      <w:r>
        <w:rPr>
          <w:bCs w:val="0"/>
          <w:noProof/>
          <w:lang w:val="id-ID" w:eastAsia="id-ID"/>
        </w:rPr>
        <w:drawing>
          <wp:inline distT="0" distB="0" distL="0" distR="0">
            <wp:extent cx="2673084" cy="152854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677766" cy="1531227"/>
                    </a:xfrm>
                    <a:prstGeom prst="rect">
                      <a:avLst/>
                    </a:prstGeom>
                    <a:noFill/>
                    <a:ln w="9525">
                      <a:noFill/>
                      <a:miter lim="800000"/>
                      <a:headEnd/>
                      <a:tailEnd/>
                    </a:ln>
                  </pic:spPr>
                </pic:pic>
              </a:graphicData>
            </a:graphic>
          </wp:inline>
        </w:drawing>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Gambar 3.</w:t>
      </w:r>
      <w:r w:rsidR="00C266B2">
        <w:rPr>
          <w:b w:val="0"/>
          <w:szCs w:val="22"/>
          <w:lang w:val="id-ID"/>
        </w:rPr>
        <w:t>5</w:t>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 xml:space="preserve"> Grafik Konsentrasi Terhadap Kedalaman</w:t>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 xml:space="preserve">Transport Kontaminan Ni dalam Lindi Menggunakan </w:t>
      </w:r>
      <w:r w:rsidRPr="009D1CD4">
        <w:rPr>
          <w:b w:val="0"/>
          <w:i/>
          <w:szCs w:val="22"/>
          <w:lang w:val="id-ID"/>
        </w:rPr>
        <w:t xml:space="preserve">Software </w:t>
      </w:r>
      <w:r w:rsidRPr="009D1CD4">
        <w:rPr>
          <w:b w:val="0"/>
          <w:szCs w:val="22"/>
          <w:lang w:val="id-ID"/>
        </w:rPr>
        <w:t>Pollute v7</w:t>
      </w:r>
    </w:p>
    <w:p w:rsidR="007F301C" w:rsidRP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Prediksi 15 Tahun</w:t>
      </w:r>
    </w:p>
    <w:p w:rsidR="007F301C" w:rsidRPr="009D1CD4" w:rsidRDefault="007F301C" w:rsidP="007F301C">
      <w:pPr>
        <w:pStyle w:val="NoSpacing"/>
        <w:numPr>
          <w:ilvl w:val="0"/>
          <w:numId w:val="0"/>
        </w:numPr>
        <w:spacing w:line="240" w:lineRule="auto"/>
        <w:rPr>
          <w:b w:val="0"/>
          <w:szCs w:val="22"/>
          <w:lang w:val="id-ID"/>
        </w:rPr>
      </w:pPr>
    </w:p>
    <w:p w:rsidR="007F301C" w:rsidRDefault="007F301C" w:rsidP="007F301C">
      <w:pPr>
        <w:pStyle w:val="NoSpacing"/>
        <w:numPr>
          <w:ilvl w:val="0"/>
          <w:numId w:val="0"/>
        </w:numPr>
        <w:spacing w:line="240" w:lineRule="auto"/>
        <w:ind w:firstLine="720"/>
        <w:rPr>
          <w:b w:val="0"/>
          <w:szCs w:val="22"/>
          <w:lang w:val="id-ID"/>
        </w:rPr>
      </w:pPr>
      <w:r w:rsidRPr="00363E3F">
        <w:rPr>
          <w:b w:val="0"/>
          <w:szCs w:val="22"/>
          <w:lang w:val="id-ID"/>
        </w:rPr>
        <w:t>Permodelan prediksi transport kontaminan nikel (Ni) selama 15 tahun ke depan juga memiliki hasil yang serupa dengan prediksi transport kontaminan besi (Fe). Dari hasil permodelan tersebut, diketahui bahwa konsentrasi pencemaran kontaminan nikel (Ni) semakin meningkat dari tahun ke-1 sampai dengan tahun ke-15. Dari hasil uji laboratorium, konsentrasi kontaminan nikel (Ni) di bak pengumpul (</w:t>
      </w:r>
      <w:r w:rsidRPr="00363E3F">
        <w:rPr>
          <w:b w:val="0"/>
          <w:i/>
          <w:szCs w:val="22"/>
          <w:lang w:val="id-ID"/>
        </w:rPr>
        <w:t>inlet</w:t>
      </w:r>
      <w:r w:rsidRPr="00363E3F">
        <w:rPr>
          <w:b w:val="0"/>
          <w:szCs w:val="22"/>
          <w:lang w:val="id-ID"/>
        </w:rPr>
        <w:t xml:space="preserve">) adalah 0,56 mg/l. Prediksi pada tahun pertama konsentrasi nikel (Ni) adalah 0,35 mg/l. Kemudian meningkat menjadi 0,4106 mg/l di tahun ke-2, dan kembali meningkat di tahun-tahun selanjutnya hingga di tahun ke-15 mencapai 0,5071 mg/l. Penambahan konsentrasi diakibatkan karena penambahan sumber pencemaran secara terus menerus dan terjadinya proses difusi dan dispersi dalam tanah (Xie, Haijian et all. 2012). Pola peningkatan konsentrasi kontaminan ini juga selaras dengan penelitian Robinson dan Luo tahun 1991 mengenai komposisi lindi dari TPA yang luas dengan mengambil contoh di TPA Hongkong. Disebutkan bahwa komposisi kontaminan lindi terus meningkat sesuai dengan penambahan masa pakai TPA tersebut. Perubahan peningkatan konsentrasi nikel (Ni) dapat dilihat pada </w:t>
      </w:r>
      <w:r w:rsidR="00E73958" w:rsidRPr="00363E3F">
        <w:rPr>
          <w:b w:val="0"/>
          <w:szCs w:val="22"/>
          <w:lang w:val="id-ID"/>
        </w:rPr>
        <w:t xml:space="preserve">tabel dan </w:t>
      </w:r>
      <w:r w:rsidRPr="00363E3F">
        <w:rPr>
          <w:b w:val="0"/>
          <w:szCs w:val="22"/>
          <w:lang w:val="id-ID"/>
        </w:rPr>
        <w:t>grafik berikut ini :</w:t>
      </w:r>
    </w:p>
    <w:p w:rsidR="009D1CD4" w:rsidRPr="00363E3F" w:rsidRDefault="009D1CD4" w:rsidP="007F301C">
      <w:pPr>
        <w:pStyle w:val="NoSpacing"/>
        <w:numPr>
          <w:ilvl w:val="0"/>
          <w:numId w:val="0"/>
        </w:numPr>
        <w:spacing w:line="240" w:lineRule="auto"/>
        <w:ind w:firstLine="720"/>
        <w:rPr>
          <w:b w:val="0"/>
          <w:szCs w:val="22"/>
          <w:lang w:val="id-ID"/>
        </w:rPr>
      </w:pPr>
    </w:p>
    <w:p w:rsidR="00E73958" w:rsidRPr="009D1CD4" w:rsidRDefault="00E73958" w:rsidP="009D1CD4">
      <w:pPr>
        <w:pStyle w:val="NoSpacing"/>
        <w:numPr>
          <w:ilvl w:val="0"/>
          <w:numId w:val="0"/>
        </w:numPr>
        <w:spacing w:line="240" w:lineRule="auto"/>
        <w:jc w:val="center"/>
        <w:rPr>
          <w:b w:val="0"/>
          <w:szCs w:val="22"/>
          <w:lang w:val="id-ID"/>
        </w:rPr>
      </w:pPr>
      <w:r w:rsidRPr="009D1CD4">
        <w:rPr>
          <w:b w:val="0"/>
          <w:szCs w:val="22"/>
          <w:lang w:val="id-ID"/>
        </w:rPr>
        <w:lastRenderedPageBreak/>
        <w:t xml:space="preserve">Tabel </w:t>
      </w:r>
      <w:r w:rsidR="008A5594" w:rsidRPr="009D1CD4">
        <w:rPr>
          <w:b w:val="0"/>
          <w:szCs w:val="22"/>
          <w:lang w:val="id-ID"/>
        </w:rPr>
        <w:t>3.</w:t>
      </w:r>
      <w:r w:rsidR="009D1CD4">
        <w:rPr>
          <w:b w:val="0"/>
          <w:szCs w:val="22"/>
          <w:lang w:val="id-ID"/>
        </w:rPr>
        <w:t>3</w:t>
      </w:r>
      <w:r w:rsidRPr="009D1CD4">
        <w:rPr>
          <w:b w:val="0"/>
          <w:szCs w:val="22"/>
          <w:lang w:val="id-ID"/>
        </w:rPr>
        <w:t xml:space="preserve"> Perubahan Peningkatan Konsentrasi Nikel (Ni) Prediksi 15 Tahun</w:t>
      </w:r>
    </w:p>
    <w:tbl>
      <w:tblPr>
        <w:tblStyle w:val="MediumShading1-Accent3"/>
        <w:tblW w:w="4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right w:w="28" w:type="dxa"/>
        </w:tblCellMar>
        <w:tblLook w:val="04A0"/>
      </w:tblPr>
      <w:tblGrid>
        <w:gridCol w:w="355"/>
        <w:gridCol w:w="924"/>
        <w:gridCol w:w="916"/>
        <w:gridCol w:w="921"/>
        <w:gridCol w:w="944"/>
      </w:tblGrid>
      <w:tr w:rsidR="00E73958" w:rsidRPr="008A5594" w:rsidTr="008A5594">
        <w:trPr>
          <w:cnfStyle w:val="100000000000"/>
          <w:trHeight w:val="403"/>
          <w:jc w:val="center"/>
        </w:trPr>
        <w:tc>
          <w:tcPr>
            <w:cnfStyle w:val="001000000000"/>
            <w:tcW w:w="355" w:type="dxa"/>
            <w:vMerge w:val="restart"/>
            <w:tcBorders>
              <w:top w:val="none" w:sz="0" w:space="0" w:color="auto"/>
              <w:left w:val="none" w:sz="0" w:space="0" w:color="auto"/>
              <w:bottom w:val="none" w:sz="0" w:space="0" w:color="auto"/>
              <w:right w:val="none" w:sz="0" w:space="0" w:color="auto"/>
            </w:tcBorders>
            <w:shd w:val="clear" w:color="auto" w:fill="A3E232"/>
            <w:vAlign w:val="center"/>
            <w:hideMark/>
          </w:tcPr>
          <w:p w:rsidR="00E73958" w:rsidRPr="008A5594" w:rsidRDefault="00E73958" w:rsidP="00E73958">
            <w:pPr>
              <w:spacing w:line="240" w:lineRule="auto"/>
              <w:ind w:firstLine="0"/>
              <w:jc w:val="center"/>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No</w:t>
            </w:r>
          </w:p>
        </w:tc>
        <w:tc>
          <w:tcPr>
            <w:tcW w:w="924" w:type="dxa"/>
            <w:vMerge w:val="restart"/>
            <w:tcBorders>
              <w:top w:val="none" w:sz="0" w:space="0" w:color="auto"/>
              <w:left w:val="none" w:sz="0" w:space="0" w:color="auto"/>
              <w:bottom w:val="none" w:sz="0" w:space="0" w:color="auto"/>
              <w:right w:val="none" w:sz="0" w:space="0" w:color="auto"/>
            </w:tcBorders>
            <w:shd w:val="clear" w:color="auto" w:fill="A3E232"/>
            <w:vAlign w:val="center"/>
            <w:hideMark/>
          </w:tcPr>
          <w:p w:rsidR="00E73958" w:rsidRPr="008A5594" w:rsidRDefault="00E73958" w:rsidP="00E73958">
            <w:pPr>
              <w:spacing w:line="240" w:lineRule="auto"/>
              <w:ind w:firstLine="0"/>
              <w:jc w:val="center"/>
              <w:cnfStyle w:val="1000000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Output</w:t>
            </w:r>
          </w:p>
        </w:tc>
        <w:tc>
          <w:tcPr>
            <w:tcW w:w="916" w:type="dxa"/>
            <w:vMerge w:val="restart"/>
            <w:tcBorders>
              <w:top w:val="none" w:sz="0" w:space="0" w:color="auto"/>
              <w:left w:val="none" w:sz="0" w:space="0" w:color="auto"/>
              <w:bottom w:val="none" w:sz="0" w:space="0" w:color="auto"/>
              <w:right w:val="none" w:sz="0" w:space="0" w:color="auto"/>
            </w:tcBorders>
            <w:shd w:val="clear" w:color="auto" w:fill="A3E232"/>
            <w:vAlign w:val="center"/>
            <w:hideMark/>
          </w:tcPr>
          <w:p w:rsidR="00E73958" w:rsidRPr="008A5594" w:rsidRDefault="00E73958" w:rsidP="00E73958">
            <w:pPr>
              <w:spacing w:line="240" w:lineRule="auto"/>
              <w:ind w:firstLine="0"/>
              <w:jc w:val="center"/>
              <w:cnfStyle w:val="1000000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Konsentrasi (mg/l)</w:t>
            </w:r>
          </w:p>
        </w:tc>
        <w:tc>
          <w:tcPr>
            <w:tcW w:w="921" w:type="dxa"/>
            <w:vMerge w:val="restart"/>
            <w:tcBorders>
              <w:top w:val="none" w:sz="0" w:space="0" w:color="auto"/>
              <w:left w:val="none" w:sz="0" w:space="0" w:color="auto"/>
              <w:bottom w:val="none" w:sz="0" w:space="0" w:color="auto"/>
              <w:right w:val="none" w:sz="0" w:space="0" w:color="auto"/>
            </w:tcBorders>
            <w:shd w:val="clear" w:color="auto" w:fill="A3E232"/>
            <w:vAlign w:val="center"/>
            <w:hideMark/>
          </w:tcPr>
          <w:p w:rsidR="00E73958" w:rsidRPr="008A5594" w:rsidRDefault="00E73958" w:rsidP="00E73958">
            <w:pPr>
              <w:spacing w:line="240" w:lineRule="auto"/>
              <w:ind w:firstLine="0"/>
              <w:jc w:val="center"/>
              <w:cnfStyle w:val="1000000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Selisih Konsentrasi</w:t>
            </w:r>
          </w:p>
        </w:tc>
        <w:tc>
          <w:tcPr>
            <w:tcW w:w="944" w:type="dxa"/>
            <w:vMerge w:val="restart"/>
            <w:tcBorders>
              <w:top w:val="none" w:sz="0" w:space="0" w:color="auto"/>
              <w:left w:val="none" w:sz="0" w:space="0" w:color="auto"/>
              <w:bottom w:val="none" w:sz="0" w:space="0" w:color="auto"/>
              <w:right w:val="none" w:sz="0" w:space="0" w:color="auto"/>
            </w:tcBorders>
            <w:shd w:val="clear" w:color="auto" w:fill="A3E232"/>
            <w:vAlign w:val="center"/>
            <w:hideMark/>
          </w:tcPr>
          <w:p w:rsidR="00E73958" w:rsidRPr="008A5594" w:rsidRDefault="00E73958" w:rsidP="00E73958">
            <w:pPr>
              <w:spacing w:line="240" w:lineRule="auto"/>
              <w:ind w:firstLine="0"/>
              <w:jc w:val="center"/>
              <w:cnfStyle w:val="1000000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Persentase Perubahan Konsentrasi</w:t>
            </w:r>
          </w:p>
        </w:tc>
      </w:tr>
      <w:tr w:rsidR="00E73958" w:rsidRPr="008A5594" w:rsidTr="008A5594">
        <w:trPr>
          <w:cnfStyle w:val="000000100000"/>
          <w:trHeight w:val="184"/>
          <w:jc w:val="center"/>
        </w:trPr>
        <w:tc>
          <w:tcPr>
            <w:cnfStyle w:val="001000000000"/>
            <w:tcW w:w="355" w:type="dxa"/>
            <w:vMerge/>
            <w:tcBorders>
              <w:right w:val="none" w:sz="0" w:space="0" w:color="auto"/>
            </w:tcBorders>
            <w:shd w:val="clear" w:color="auto" w:fill="A3E232"/>
            <w:hideMark/>
          </w:tcPr>
          <w:p w:rsidR="00E73958" w:rsidRPr="008A5594" w:rsidRDefault="00E73958" w:rsidP="00E73958">
            <w:pPr>
              <w:spacing w:line="240" w:lineRule="auto"/>
              <w:ind w:firstLine="0"/>
              <w:jc w:val="left"/>
              <w:rPr>
                <w:rFonts w:ascii="Times New Roman" w:eastAsia="Times New Roman" w:hAnsi="Times New Roman" w:cs="Times New Roman"/>
                <w:color w:val="000000"/>
                <w:sz w:val="16"/>
                <w:szCs w:val="16"/>
                <w:lang w:val="id-ID" w:eastAsia="id-ID"/>
              </w:rPr>
            </w:pPr>
          </w:p>
        </w:tc>
        <w:tc>
          <w:tcPr>
            <w:tcW w:w="924" w:type="dxa"/>
            <w:vMerge/>
            <w:tcBorders>
              <w:left w:val="none" w:sz="0" w:space="0" w:color="auto"/>
              <w:right w:val="none" w:sz="0" w:space="0" w:color="auto"/>
            </w:tcBorders>
            <w:shd w:val="clear" w:color="auto" w:fill="A3E232"/>
            <w:hideMark/>
          </w:tcPr>
          <w:p w:rsidR="00E73958" w:rsidRPr="008A5594" w:rsidRDefault="00E73958" w:rsidP="00E73958">
            <w:pPr>
              <w:spacing w:line="240" w:lineRule="auto"/>
              <w:ind w:firstLine="0"/>
              <w:jc w:val="left"/>
              <w:cnfStyle w:val="000000100000"/>
              <w:rPr>
                <w:rFonts w:ascii="Times New Roman" w:eastAsia="Times New Roman" w:hAnsi="Times New Roman" w:cs="Times New Roman"/>
                <w:color w:val="000000"/>
                <w:sz w:val="16"/>
                <w:szCs w:val="16"/>
                <w:lang w:val="id-ID" w:eastAsia="id-ID"/>
              </w:rPr>
            </w:pPr>
          </w:p>
        </w:tc>
        <w:tc>
          <w:tcPr>
            <w:tcW w:w="916" w:type="dxa"/>
            <w:vMerge/>
            <w:tcBorders>
              <w:left w:val="none" w:sz="0" w:space="0" w:color="auto"/>
              <w:right w:val="none" w:sz="0" w:space="0" w:color="auto"/>
            </w:tcBorders>
            <w:shd w:val="clear" w:color="auto" w:fill="A3E232"/>
            <w:hideMark/>
          </w:tcPr>
          <w:p w:rsidR="00E73958" w:rsidRPr="008A5594" w:rsidRDefault="00E73958" w:rsidP="00E73958">
            <w:pPr>
              <w:spacing w:line="240" w:lineRule="auto"/>
              <w:ind w:firstLine="0"/>
              <w:jc w:val="left"/>
              <w:cnfStyle w:val="000000100000"/>
              <w:rPr>
                <w:rFonts w:ascii="Times New Roman" w:eastAsia="Times New Roman" w:hAnsi="Times New Roman" w:cs="Times New Roman"/>
                <w:color w:val="000000"/>
                <w:sz w:val="16"/>
                <w:szCs w:val="16"/>
                <w:lang w:val="id-ID" w:eastAsia="id-ID"/>
              </w:rPr>
            </w:pPr>
          </w:p>
        </w:tc>
        <w:tc>
          <w:tcPr>
            <w:tcW w:w="921" w:type="dxa"/>
            <w:vMerge/>
            <w:tcBorders>
              <w:left w:val="none" w:sz="0" w:space="0" w:color="auto"/>
              <w:right w:val="none" w:sz="0" w:space="0" w:color="auto"/>
            </w:tcBorders>
            <w:shd w:val="clear" w:color="auto" w:fill="A3E232"/>
            <w:hideMark/>
          </w:tcPr>
          <w:p w:rsidR="00E73958" w:rsidRPr="008A5594" w:rsidRDefault="00E73958" w:rsidP="00E73958">
            <w:pPr>
              <w:spacing w:line="240" w:lineRule="auto"/>
              <w:ind w:firstLine="0"/>
              <w:jc w:val="left"/>
              <w:cnfStyle w:val="000000100000"/>
              <w:rPr>
                <w:rFonts w:ascii="Times New Roman" w:eastAsia="Times New Roman" w:hAnsi="Times New Roman" w:cs="Times New Roman"/>
                <w:color w:val="000000"/>
                <w:sz w:val="16"/>
                <w:szCs w:val="16"/>
                <w:lang w:val="id-ID" w:eastAsia="id-ID"/>
              </w:rPr>
            </w:pPr>
          </w:p>
        </w:tc>
        <w:tc>
          <w:tcPr>
            <w:tcW w:w="944" w:type="dxa"/>
            <w:vMerge/>
            <w:tcBorders>
              <w:left w:val="none" w:sz="0" w:space="0" w:color="auto"/>
            </w:tcBorders>
            <w:shd w:val="clear" w:color="auto" w:fill="A3E232"/>
            <w:hideMark/>
          </w:tcPr>
          <w:p w:rsidR="00E73958" w:rsidRPr="008A5594" w:rsidRDefault="00E73958" w:rsidP="00E73958">
            <w:pPr>
              <w:spacing w:line="240" w:lineRule="auto"/>
              <w:ind w:firstLine="0"/>
              <w:jc w:val="left"/>
              <w:cnfStyle w:val="000000100000"/>
              <w:rPr>
                <w:rFonts w:ascii="Times New Roman" w:eastAsia="Times New Roman" w:hAnsi="Times New Roman" w:cs="Times New Roman"/>
                <w:color w:val="000000"/>
                <w:sz w:val="16"/>
                <w:szCs w:val="16"/>
                <w:lang w:val="id-ID" w:eastAsia="id-ID"/>
              </w:rPr>
            </w:pPr>
          </w:p>
        </w:tc>
      </w:tr>
      <w:tr w:rsidR="00E73958" w:rsidRPr="008A5594" w:rsidTr="00D46FFE">
        <w:trPr>
          <w:cnfStyle w:val="00000001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1.</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bCs/>
                <w:color w:val="000000"/>
                <w:sz w:val="16"/>
                <w:szCs w:val="16"/>
                <w:lang w:val="id-ID" w:eastAsia="id-ID"/>
              </w:rPr>
              <w:t>Tahun ke-1</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0,3573</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w:t>
            </w:r>
          </w:p>
        </w:tc>
      </w:tr>
      <w:tr w:rsidR="00E73958" w:rsidRPr="008A5594" w:rsidTr="00D46FFE">
        <w:trPr>
          <w:cnfStyle w:val="00000010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2.</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bCs/>
                <w:color w:val="000000"/>
                <w:sz w:val="16"/>
                <w:szCs w:val="16"/>
                <w:lang w:val="id-ID" w:eastAsia="id-ID"/>
              </w:rPr>
              <w:t>Tahun ke-2</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0,4106</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0,0533</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9,52%</w:t>
            </w:r>
          </w:p>
        </w:tc>
      </w:tr>
      <w:tr w:rsidR="00E73958" w:rsidRPr="008A5594" w:rsidTr="00D46FFE">
        <w:trPr>
          <w:cnfStyle w:val="00000001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3.</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bCs/>
                <w:color w:val="000000"/>
                <w:sz w:val="16"/>
                <w:szCs w:val="16"/>
                <w:lang w:val="id-ID" w:eastAsia="id-ID"/>
              </w:rPr>
              <w:t>Tahun ke-3</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0,4368</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0,0262</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4,68%</w:t>
            </w:r>
          </w:p>
        </w:tc>
      </w:tr>
      <w:tr w:rsidR="00E73958" w:rsidRPr="008A5594" w:rsidTr="00D46FFE">
        <w:trPr>
          <w:cnfStyle w:val="00000010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4.</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ke-4</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0,4531</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0,0163</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2,91%</w:t>
            </w:r>
          </w:p>
        </w:tc>
      </w:tr>
      <w:tr w:rsidR="00E73958" w:rsidRPr="008A5594" w:rsidTr="00D46FFE">
        <w:trPr>
          <w:cnfStyle w:val="00000001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5.</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ke-5</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0,4645</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0,0114</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2,04%</w:t>
            </w:r>
          </w:p>
        </w:tc>
      </w:tr>
      <w:tr w:rsidR="00E73958" w:rsidRPr="008A5594" w:rsidTr="00D46FFE">
        <w:trPr>
          <w:cnfStyle w:val="00000010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6.</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ke-6</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0,4731</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0,0086</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1,54%</w:t>
            </w:r>
          </w:p>
        </w:tc>
      </w:tr>
      <w:tr w:rsidR="00E73958" w:rsidRPr="008A5594" w:rsidTr="00D46FFE">
        <w:trPr>
          <w:cnfStyle w:val="00000001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7.</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ke-7</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0,4799</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0,0068</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1,21%</w:t>
            </w:r>
          </w:p>
        </w:tc>
      </w:tr>
      <w:tr w:rsidR="00E73958" w:rsidRPr="008A5594" w:rsidTr="00D46FFE">
        <w:trPr>
          <w:cnfStyle w:val="00000010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8.</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ke-8</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0,4854</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0,0055</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0,98%</w:t>
            </w:r>
          </w:p>
        </w:tc>
      </w:tr>
      <w:tr w:rsidR="00E73958" w:rsidRPr="008A5594" w:rsidTr="00D46FFE">
        <w:trPr>
          <w:cnfStyle w:val="00000001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9.</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ke-9</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0,4899</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0,0045</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0,80%</w:t>
            </w:r>
          </w:p>
        </w:tc>
      </w:tr>
      <w:tr w:rsidR="00E73958" w:rsidRPr="008A5594" w:rsidTr="00D46FFE">
        <w:trPr>
          <w:cnfStyle w:val="00000010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10.</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ke-10</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0,4938</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0,0039</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0,70%</w:t>
            </w:r>
          </w:p>
        </w:tc>
      </w:tr>
      <w:tr w:rsidR="00E73958" w:rsidRPr="008A5594" w:rsidTr="00D46FFE">
        <w:trPr>
          <w:cnfStyle w:val="00000001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11.</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ke-11</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0,4972</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0,0034</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0,61%</w:t>
            </w:r>
          </w:p>
        </w:tc>
      </w:tr>
      <w:tr w:rsidR="00E73958" w:rsidRPr="008A5594" w:rsidTr="00D46FFE">
        <w:trPr>
          <w:cnfStyle w:val="00000010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12.</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ke-12</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0,5001</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0,0029</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0,52%</w:t>
            </w:r>
          </w:p>
        </w:tc>
      </w:tr>
      <w:tr w:rsidR="00E73958" w:rsidRPr="008A5594" w:rsidTr="00D46FFE">
        <w:trPr>
          <w:cnfStyle w:val="00000001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13.</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ke-13</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0,5027</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0,0026</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0,46%</w:t>
            </w:r>
          </w:p>
        </w:tc>
      </w:tr>
      <w:tr w:rsidR="00E73958" w:rsidRPr="008A5594" w:rsidTr="00D46FFE">
        <w:trPr>
          <w:cnfStyle w:val="00000010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14.</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ke-14</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Chars="100" w:firstLine="160"/>
              <w:jc w:val="left"/>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0,5050</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0,0023</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10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0,41%</w:t>
            </w:r>
          </w:p>
        </w:tc>
      </w:tr>
      <w:tr w:rsidR="00E73958" w:rsidRPr="008A5594" w:rsidTr="00D46FFE">
        <w:trPr>
          <w:cnfStyle w:val="000000010000"/>
          <w:trHeight w:val="283"/>
          <w:jc w:val="center"/>
        </w:trPr>
        <w:tc>
          <w:tcPr>
            <w:cnfStyle w:val="001000000000"/>
            <w:tcW w:w="355" w:type="dxa"/>
            <w:tcBorders>
              <w:right w:val="none" w:sz="0" w:space="0" w:color="auto"/>
            </w:tcBorders>
            <w:shd w:val="clear" w:color="auto" w:fill="auto"/>
            <w:vAlign w:val="center"/>
            <w:hideMark/>
          </w:tcPr>
          <w:p w:rsidR="00E73958" w:rsidRPr="008A5594" w:rsidRDefault="00E73958" w:rsidP="00E73958">
            <w:pPr>
              <w:spacing w:line="240" w:lineRule="auto"/>
              <w:ind w:firstLine="0"/>
              <w:jc w:val="center"/>
              <w:rPr>
                <w:rFonts w:ascii="Times New Roman" w:eastAsia="Times New Roman" w:hAnsi="Times New Roman" w:cs="Times New Roman"/>
                <w:b w:val="0"/>
                <w:color w:val="000000"/>
                <w:sz w:val="16"/>
                <w:szCs w:val="16"/>
                <w:lang w:val="id-ID" w:eastAsia="id-ID"/>
              </w:rPr>
            </w:pPr>
            <w:r w:rsidRPr="008A5594">
              <w:rPr>
                <w:rFonts w:ascii="Times New Roman" w:eastAsia="Times New Roman" w:hAnsi="Times New Roman" w:cs="Times New Roman"/>
                <w:b w:val="0"/>
                <w:color w:val="000000"/>
                <w:sz w:val="16"/>
                <w:szCs w:val="16"/>
                <w:lang w:val="id-ID" w:eastAsia="id-ID"/>
              </w:rPr>
              <w:t>15.</w:t>
            </w:r>
          </w:p>
        </w:tc>
        <w:tc>
          <w:tcPr>
            <w:tcW w:w="924"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Tahun ke-15</w:t>
            </w:r>
          </w:p>
        </w:tc>
        <w:tc>
          <w:tcPr>
            <w:tcW w:w="916"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0,5071</w:t>
            </w:r>
          </w:p>
        </w:tc>
        <w:tc>
          <w:tcPr>
            <w:tcW w:w="921" w:type="dxa"/>
            <w:tcBorders>
              <w:left w:val="none" w:sz="0" w:space="0" w:color="auto"/>
              <w:righ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0,0021</w:t>
            </w:r>
          </w:p>
        </w:tc>
        <w:tc>
          <w:tcPr>
            <w:tcW w:w="944" w:type="dxa"/>
            <w:tcBorders>
              <w:left w:val="none" w:sz="0" w:space="0" w:color="auto"/>
            </w:tcBorders>
            <w:shd w:val="clear" w:color="auto" w:fill="auto"/>
            <w:vAlign w:val="center"/>
            <w:hideMark/>
          </w:tcPr>
          <w:p w:rsidR="00E73958" w:rsidRPr="008A5594" w:rsidRDefault="00E73958" w:rsidP="00E73958">
            <w:pPr>
              <w:spacing w:line="240" w:lineRule="auto"/>
              <w:ind w:firstLine="0"/>
              <w:jc w:val="center"/>
              <w:cnfStyle w:val="000000010000"/>
              <w:rPr>
                <w:rFonts w:ascii="Times New Roman" w:eastAsia="Times New Roman" w:hAnsi="Times New Roman" w:cs="Times New Roman"/>
                <w:color w:val="000000"/>
                <w:sz w:val="16"/>
                <w:szCs w:val="16"/>
                <w:lang w:val="id-ID" w:eastAsia="id-ID"/>
              </w:rPr>
            </w:pPr>
            <w:r w:rsidRPr="008A5594">
              <w:rPr>
                <w:rFonts w:ascii="Times New Roman" w:eastAsia="Times New Roman" w:hAnsi="Times New Roman" w:cs="Times New Roman"/>
                <w:color w:val="000000"/>
                <w:sz w:val="16"/>
                <w:szCs w:val="16"/>
                <w:lang w:val="id-ID" w:eastAsia="id-ID"/>
              </w:rPr>
              <w:t>0,37%</w:t>
            </w:r>
          </w:p>
        </w:tc>
      </w:tr>
    </w:tbl>
    <w:p w:rsidR="00E73958" w:rsidRPr="009D1CD4" w:rsidRDefault="00E73958" w:rsidP="009D1CD4">
      <w:pPr>
        <w:pStyle w:val="NoSpacing"/>
        <w:numPr>
          <w:ilvl w:val="0"/>
          <w:numId w:val="0"/>
        </w:numPr>
        <w:rPr>
          <w:b w:val="0"/>
          <w:szCs w:val="22"/>
          <w:lang w:val="id-ID"/>
        </w:rPr>
      </w:pPr>
      <w:r w:rsidRPr="00363E3F">
        <w:rPr>
          <w:b w:val="0"/>
          <w:szCs w:val="22"/>
          <w:lang w:val="id-ID"/>
        </w:rPr>
        <w:t>(</w:t>
      </w:r>
      <w:r w:rsidRPr="00363E3F">
        <w:rPr>
          <w:b w:val="0"/>
          <w:i/>
          <w:szCs w:val="22"/>
          <w:lang w:val="id-ID"/>
        </w:rPr>
        <w:t>Sumber : Pollute v7, 2013</w:t>
      </w:r>
      <w:r w:rsidRPr="00363E3F">
        <w:rPr>
          <w:b w:val="0"/>
          <w:szCs w:val="22"/>
          <w:lang w:val="id-ID"/>
        </w:rPr>
        <w:t>)</w:t>
      </w:r>
    </w:p>
    <w:p w:rsidR="007F301C" w:rsidRPr="00363E3F" w:rsidRDefault="007F301C" w:rsidP="007F301C">
      <w:pPr>
        <w:spacing w:line="240" w:lineRule="auto"/>
        <w:ind w:firstLine="0"/>
        <w:rPr>
          <w:rFonts w:ascii="Times New Roman" w:hAnsi="Times New Roman" w:cs="Times New Roman"/>
          <w:b/>
          <w:lang w:val="id-ID"/>
        </w:rPr>
      </w:pPr>
    </w:p>
    <w:p w:rsidR="007F301C" w:rsidRPr="00363E3F" w:rsidRDefault="007F301C" w:rsidP="007F301C">
      <w:pPr>
        <w:pStyle w:val="NoSpacing"/>
        <w:numPr>
          <w:ilvl w:val="0"/>
          <w:numId w:val="0"/>
        </w:numPr>
        <w:jc w:val="center"/>
        <w:rPr>
          <w:szCs w:val="22"/>
          <w:lang w:val="id-ID"/>
        </w:rPr>
      </w:pPr>
      <w:r w:rsidRPr="00363E3F">
        <w:rPr>
          <w:noProof/>
          <w:szCs w:val="22"/>
          <w:lang w:val="id-ID" w:eastAsia="id-ID"/>
        </w:rPr>
        <w:drawing>
          <wp:inline distT="0" distB="0" distL="0" distR="0">
            <wp:extent cx="2095500" cy="1600200"/>
            <wp:effectExtent l="19050" t="0" r="19050" b="0"/>
            <wp:docPr id="3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1CD4" w:rsidRDefault="007F301C" w:rsidP="007F301C">
      <w:pPr>
        <w:pStyle w:val="NoSpacing"/>
        <w:numPr>
          <w:ilvl w:val="0"/>
          <w:numId w:val="0"/>
        </w:numPr>
        <w:spacing w:line="240" w:lineRule="auto"/>
        <w:jc w:val="center"/>
        <w:rPr>
          <w:b w:val="0"/>
          <w:szCs w:val="22"/>
          <w:lang w:val="id-ID"/>
        </w:rPr>
      </w:pPr>
      <w:r w:rsidRPr="009D1CD4">
        <w:rPr>
          <w:b w:val="0"/>
          <w:szCs w:val="22"/>
          <w:lang w:val="id-ID"/>
        </w:rPr>
        <w:t>Gambar 3.</w:t>
      </w:r>
      <w:r w:rsidR="00C266B2">
        <w:rPr>
          <w:b w:val="0"/>
          <w:szCs w:val="22"/>
          <w:lang w:val="id-ID"/>
        </w:rPr>
        <w:t>6</w:t>
      </w:r>
      <w:r w:rsidRPr="009D1CD4">
        <w:rPr>
          <w:b w:val="0"/>
          <w:szCs w:val="22"/>
          <w:lang w:val="id-ID"/>
        </w:rPr>
        <w:t xml:space="preserve"> </w:t>
      </w:r>
      <w:r w:rsidR="009D1CD4" w:rsidRPr="009D1CD4">
        <w:rPr>
          <w:b w:val="0"/>
          <w:szCs w:val="22"/>
          <w:lang w:val="id-ID"/>
        </w:rPr>
        <w:t xml:space="preserve">Grafik </w:t>
      </w:r>
      <w:r w:rsidRPr="009D1CD4">
        <w:rPr>
          <w:b w:val="0"/>
          <w:szCs w:val="22"/>
          <w:lang w:val="id-ID"/>
        </w:rPr>
        <w:t>Penurunan</w:t>
      </w:r>
      <w:r w:rsidR="009D1CD4">
        <w:rPr>
          <w:b w:val="0"/>
          <w:szCs w:val="22"/>
          <w:lang w:val="id-ID"/>
        </w:rPr>
        <w:t xml:space="preserve"> </w:t>
      </w:r>
    </w:p>
    <w:p w:rsidR="007F301C" w:rsidRPr="009D1CD4" w:rsidRDefault="009D1CD4" w:rsidP="007F301C">
      <w:pPr>
        <w:pStyle w:val="NoSpacing"/>
        <w:numPr>
          <w:ilvl w:val="0"/>
          <w:numId w:val="0"/>
        </w:numPr>
        <w:spacing w:line="240" w:lineRule="auto"/>
        <w:jc w:val="center"/>
        <w:rPr>
          <w:b w:val="0"/>
          <w:szCs w:val="22"/>
          <w:lang w:val="id-ID"/>
        </w:rPr>
      </w:pPr>
      <w:r>
        <w:rPr>
          <w:b w:val="0"/>
          <w:szCs w:val="22"/>
          <w:lang w:val="id-ID"/>
        </w:rPr>
        <w:t xml:space="preserve">Perubahan </w:t>
      </w:r>
      <w:r w:rsidR="007F301C" w:rsidRPr="009D1CD4">
        <w:rPr>
          <w:b w:val="0"/>
          <w:szCs w:val="22"/>
          <w:lang w:val="id-ID"/>
        </w:rPr>
        <w:t xml:space="preserve">Konsentrasi </w:t>
      </w:r>
      <w:r>
        <w:rPr>
          <w:b w:val="0"/>
          <w:szCs w:val="22"/>
          <w:lang w:val="id-ID"/>
        </w:rPr>
        <w:t>Ni</w:t>
      </w:r>
    </w:p>
    <w:p w:rsidR="007F301C" w:rsidRPr="009D1CD4" w:rsidRDefault="007F301C" w:rsidP="007F301C">
      <w:pPr>
        <w:pStyle w:val="NoSpacing"/>
        <w:numPr>
          <w:ilvl w:val="0"/>
          <w:numId w:val="0"/>
        </w:numPr>
        <w:jc w:val="center"/>
        <w:rPr>
          <w:b w:val="0"/>
          <w:szCs w:val="22"/>
          <w:lang w:val="id-ID"/>
        </w:rPr>
      </w:pPr>
      <w:r w:rsidRPr="009D1CD4">
        <w:rPr>
          <w:b w:val="0"/>
          <w:szCs w:val="22"/>
          <w:lang w:val="id-ID"/>
        </w:rPr>
        <w:t>(</w:t>
      </w:r>
      <w:r w:rsidRPr="009D1CD4">
        <w:rPr>
          <w:b w:val="0"/>
          <w:i/>
          <w:szCs w:val="22"/>
          <w:lang w:val="id-ID"/>
        </w:rPr>
        <w:t>Sumber : Analisis, 2013</w:t>
      </w:r>
      <w:r w:rsidRPr="009D1CD4">
        <w:rPr>
          <w:b w:val="0"/>
          <w:szCs w:val="22"/>
          <w:lang w:val="id-ID"/>
        </w:rPr>
        <w:t>)</w:t>
      </w:r>
    </w:p>
    <w:p w:rsidR="007F301C" w:rsidRPr="00363E3F" w:rsidRDefault="007F301C" w:rsidP="007F301C">
      <w:pPr>
        <w:pStyle w:val="NoSpacing"/>
        <w:numPr>
          <w:ilvl w:val="0"/>
          <w:numId w:val="0"/>
        </w:numPr>
        <w:jc w:val="center"/>
        <w:rPr>
          <w:b w:val="0"/>
          <w:szCs w:val="22"/>
          <w:lang w:val="id-ID"/>
        </w:rPr>
      </w:pPr>
    </w:p>
    <w:p w:rsidR="007F301C" w:rsidRPr="00363E3F" w:rsidRDefault="007F301C" w:rsidP="007F301C">
      <w:pPr>
        <w:pStyle w:val="NoSpacing"/>
        <w:numPr>
          <w:ilvl w:val="0"/>
          <w:numId w:val="0"/>
        </w:numPr>
        <w:spacing w:line="240" w:lineRule="auto"/>
        <w:ind w:firstLine="720"/>
        <w:rPr>
          <w:b w:val="0"/>
          <w:szCs w:val="22"/>
          <w:lang w:val="id-ID"/>
        </w:rPr>
      </w:pPr>
      <w:r w:rsidRPr="00363E3F">
        <w:rPr>
          <w:b w:val="0"/>
          <w:szCs w:val="22"/>
          <w:lang w:val="id-ID"/>
        </w:rPr>
        <w:t xml:space="preserve">Penurunan perubahan konsentrasi kontaminan nikel (Ni) diakibatkan adanya kemampuan adsorpsi pada tanah. Sehingga pada tahun pertama peningkatan akan terjadi cukup tinggi, kemudian menurun diakibatkan konsentrasi kontaminan dalam tanah semakin jenuh (Notodarmojo, 2005). Selain itu kecepatan Darcy dan koefisien hidrodinamis dispersi (D) juga mempengaruhi perubahan konsentrasi karena pergerakan lindi akan berubah sesuai dengan kemampuan pergerakan fluida melalui </w:t>
      </w:r>
      <w:r w:rsidRPr="00363E3F">
        <w:rPr>
          <w:b w:val="0"/>
          <w:szCs w:val="22"/>
          <w:lang w:val="id-ID"/>
        </w:rPr>
        <w:lastRenderedPageBreak/>
        <w:t xml:space="preserve">lapisan dasar. Teori tersebut sesuai dengan penelitian yang dilakukan Anwar F. Al Yaqout dan Mohamed F. Hamoda (2004), disebutkan bahwa dalam permodelan perpindahan kontaminan, kecepatan Darcy dapat memberikan pengaruh yang besar pada sifat pergerakan kontaminan. </w:t>
      </w:r>
    </w:p>
    <w:p w:rsidR="007F301C" w:rsidRPr="00363E3F" w:rsidRDefault="007F301C" w:rsidP="007F301C">
      <w:pPr>
        <w:spacing w:line="240" w:lineRule="auto"/>
        <w:ind w:firstLine="0"/>
        <w:rPr>
          <w:rFonts w:ascii="Times New Roman" w:hAnsi="Times New Roman" w:cs="Times New Roman"/>
          <w:b/>
          <w:lang w:val="id-ID"/>
        </w:rPr>
      </w:pPr>
    </w:p>
    <w:p w:rsidR="00554C0D" w:rsidRPr="00363E3F" w:rsidRDefault="00554C0D" w:rsidP="00554C0D">
      <w:pPr>
        <w:pStyle w:val="NoSpacing"/>
        <w:numPr>
          <w:ilvl w:val="0"/>
          <w:numId w:val="0"/>
        </w:numPr>
        <w:rPr>
          <w:b w:val="0"/>
          <w:szCs w:val="22"/>
          <w:lang w:val="id-ID"/>
        </w:rPr>
      </w:pPr>
      <w:r w:rsidRPr="00363E3F">
        <w:rPr>
          <w:bCs w:val="0"/>
          <w:noProof/>
          <w:szCs w:val="22"/>
          <w:lang w:val="id-ID" w:eastAsia="id-ID"/>
        </w:rPr>
        <w:drawing>
          <wp:inline distT="0" distB="0" distL="0" distR="0">
            <wp:extent cx="2829857" cy="1514902"/>
            <wp:effectExtent l="19050" t="0" r="8593" b="0"/>
            <wp:docPr id="3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832094" cy="1516099"/>
                    </a:xfrm>
                    <a:prstGeom prst="rect">
                      <a:avLst/>
                    </a:prstGeom>
                    <a:noFill/>
                    <a:ln w="9525">
                      <a:noFill/>
                      <a:miter lim="800000"/>
                      <a:headEnd/>
                      <a:tailEnd/>
                    </a:ln>
                  </pic:spPr>
                </pic:pic>
              </a:graphicData>
            </a:graphic>
          </wp:inline>
        </w:drawing>
      </w:r>
    </w:p>
    <w:p w:rsidR="00554C0D" w:rsidRPr="009D1CD4" w:rsidRDefault="00554C0D" w:rsidP="00554C0D">
      <w:pPr>
        <w:pStyle w:val="NoSpacing"/>
        <w:numPr>
          <w:ilvl w:val="0"/>
          <w:numId w:val="0"/>
        </w:numPr>
        <w:spacing w:line="240" w:lineRule="auto"/>
        <w:jc w:val="center"/>
        <w:rPr>
          <w:b w:val="0"/>
          <w:szCs w:val="22"/>
          <w:lang w:val="id-ID"/>
        </w:rPr>
      </w:pPr>
      <w:r w:rsidRPr="009D1CD4">
        <w:rPr>
          <w:b w:val="0"/>
          <w:szCs w:val="22"/>
          <w:lang w:val="id-ID"/>
        </w:rPr>
        <w:t>Gambar 3.</w:t>
      </w:r>
      <w:r w:rsidR="00C266B2">
        <w:rPr>
          <w:b w:val="0"/>
          <w:szCs w:val="22"/>
          <w:lang w:val="id-ID"/>
        </w:rPr>
        <w:t>7</w:t>
      </w:r>
      <w:r w:rsidRPr="009D1CD4">
        <w:rPr>
          <w:b w:val="0"/>
          <w:szCs w:val="22"/>
          <w:lang w:val="id-ID"/>
        </w:rPr>
        <w:t xml:space="preserve"> </w:t>
      </w:r>
    </w:p>
    <w:p w:rsidR="00554C0D" w:rsidRPr="009D1CD4" w:rsidRDefault="00554C0D" w:rsidP="00554C0D">
      <w:pPr>
        <w:pStyle w:val="NoSpacing"/>
        <w:numPr>
          <w:ilvl w:val="0"/>
          <w:numId w:val="0"/>
        </w:numPr>
        <w:spacing w:line="240" w:lineRule="auto"/>
        <w:jc w:val="center"/>
        <w:rPr>
          <w:b w:val="0"/>
          <w:szCs w:val="22"/>
          <w:lang w:val="id-ID"/>
        </w:rPr>
      </w:pPr>
      <w:r w:rsidRPr="009D1CD4">
        <w:rPr>
          <w:b w:val="0"/>
          <w:szCs w:val="22"/>
          <w:lang w:val="id-ID"/>
        </w:rPr>
        <w:t>Grafik Waktu Terhadap Konsentrasi</w:t>
      </w:r>
    </w:p>
    <w:p w:rsidR="00554C0D" w:rsidRPr="009D1CD4" w:rsidRDefault="00554C0D" w:rsidP="00554C0D">
      <w:pPr>
        <w:pStyle w:val="NoSpacing"/>
        <w:numPr>
          <w:ilvl w:val="0"/>
          <w:numId w:val="0"/>
        </w:numPr>
        <w:spacing w:line="240" w:lineRule="auto"/>
        <w:jc w:val="center"/>
        <w:rPr>
          <w:b w:val="0"/>
          <w:szCs w:val="22"/>
          <w:lang w:val="id-ID"/>
        </w:rPr>
      </w:pPr>
      <w:r w:rsidRPr="009D1CD4">
        <w:rPr>
          <w:b w:val="0"/>
          <w:szCs w:val="22"/>
          <w:lang w:val="id-ID"/>
        </w:rPr>
        <w:t xml:space="preserve">Transport Kontaminan Ni dalam Lindi Menggunakan </w:t>
      </w:r>
      <w:r w:rsidRPr="009D1CD4">
        <w:rPr>
          <w:b w:val="0"/>
          <w:i/>
          <w:szCs w:val="22"/>
          <w:lang w:val="id-ID"/>
        </w:rPr>
        <w:t xml:space="preserve">Software </w:t>
      </w:r>
      <w:r w:rsidRPr="009D1CD4">
        <w:rPr>
          <w:b w:val="0"/>
          <w:szCs w:val="22"/>
          <w:lang w:val="id-ID"/>
        </w:rPr>
        <w:t>Pollute v7</w:t>
      </w:r>
    </w:p>
    <w:p w:rsidR="00554C0D" w:rsidRPr="009D1CD4" w:rsidRDefault="00554C0D" w:rsidP="00554C0D">
      <w:pPr>
        <w:pStyle w:val="NoSpacing"/>
        <w:numPr>
          <w:ilvl w:val="0"/>
          <w:numId w:val="0"/>
        </w:numPr>
        <w:spacing w:line="240" w:lineRule="auto"/>
        <w:jc w:val="center"/>
        <w:rPr>
          <w:b w:val="0"/>
          <w:szCs w:val="22"/>
          <w:lang w:val="id-ID"/>
        </w:rPr>
      </w:pPr>
      <w:r w:rsidRPr="009D1CD4">
        <w:rPr>
          <w:b w:val="0"/>
          <w:szCs w:val="22"/>
          <w:lang w:val="id-ID"/>
        </w:rPr>
        <w:t>Prediksi 15 Tahun</w:t>
      </w:r>
    </w:p>
    <w:p w:rsidR="00554C0D" w:rsidRPr="00363E3F" w:rsidRDefault="00554C0D" w:rsidP="007F301C">
      <w:pPr>
        <w:spacing w:line="240" w:lineRule="auto"/>
        <w:ind w:firstLine="0"/>
        <w:rPr>
          <w:rFonts w:ascii="Times New Roman" w:hAnsi="Times New Roman" w:cs="Times New Roman"/>
          <w:b/>
          <w:lang w:val="id-ID"/>
        </w:rPr>
      </w:pPr>
    </w:p>
    <w:p w:rsidR="00554C0D" w:rsidRPr="00363E3F" w:rsidRDefault="00554C0D" w:rsidP="007F301C">
      <w:pPr>
        <w:spacing w:line="240" w:lineRule="auto"/>
        <w:ind w:firstLine="0"/>
        <w:rPr>
          <w:rFonts w:ascii="Times New Roman" w:hAnsi="Times New Roman" w:cs="Times New Roman"/>
          <w:b/>
          <w:lang w:val="id-ID"/>
        </w:rPr>
      </w:pPr>
    </w:p>
    <w:p w:rsidR="00554C0D" w:rsidRPr="00363E3F" w:rsidRDefault="00554C0D" w:rsidP="00554C0D">
      <w:pPr>
        <w:pStyle w:val="NoSpacing"/>
        <w:numPr>
          <w:ilvl w:val="0"/>
          <w:numId w:val="0"/>
        </w:numPr>
        <w:spacing w:line="240" w:lineRule="auto"/>
        <w:ind w:firstLine="720"/>
        <w:rPr>
          <w:b w:val="0"/>
          <w:szCs w:val="22"/>
          <w:lang w:val="id-ID"/>
        </w:rPr>
      </w:pPr>
      <w:r w:rsidRPr="00363E3F">
        <w:rPr>
          <w:b w:val="0"/>
          <w:szCs w:val="22"/>
          <w:lang w:val="id-ID"/>
        </w:rPr>
        <w:t xml:space="preserve">Di TPA Ngronggo, lapisan gravel difungsikan sebagai zona drainase lindi, sehingga permeabilitas yang dimiliki gravel cukup besar. Dengan nilai permeabilitas 10 m/s, dimungkinkan gravel dapat mengalirkan lindi masuk ke dalam pipa pengumpul. Sedangkan untuk lapisan geotekstil digunakan jenis </w:t>
      </w:r>
      <w:r w:rsidRPr="00363E3F">
        <w:rPr>
          <w:b w:val="0"/>
          <w:i/>
          <w:szCs w:val="22"/>
          <w:lang w:val="id-ID"/>
        </w:rPr>
        <w:t xml:space="preserve">non-woven </w:t>
      </w:r>
      <w:r w:rsidRPr="00363E3F">
        <w:rPr>
          <w:b w:val="0"/>
          <w:szCs w:val="22"/>
          <w:lang w:val="id-ID"/>
        </w:rPr>
        <w:t>yang memiliki sifat mudah meloloskan air. Oleh karena itu, konsentrasi nikel masih stabil setelah melalui gravel dan geotekstil. Penurunan pencemaran terjadi setelah kontaminan melewati lapisan geomembran. Ini terjadi karena geomembran memiliki sifat kedap dengan permeabilitas 0,5 x 10</w:t>
      </w:r>
      <w:r w:rsidRPr="00363E3F">
        <w:rPr>
          <w:b w:val="0"/>
          <w:szCs w:val="22"/>
          <w:lang w:val="id-ID"/>
        </w:rPr>
        <w:softHyphen/>
      </w:r>
      <w:r w:rsidRPr="00363E3F">
        <w:rPr>
          <w:b w:val="0"/>
          <w:szCs w:val="22"/>
          <w:vertAlign w:val="superscript"/>
          <w:lang w:val="id-ID"/>
        </w:rPr>
        <w:t xml:space="preserve">-10 </w:t>
      </w:r>
      <w:r w:rsidRPr="00363E3F">
        <w:rPr>
          <w:b w:val="0"/>
          <w:szCs w:val="22"/>
          <w:lang w:val="id-ID"/>
        </w:rPr>
        <w:t>m/s. Hal tersebut didukung dengan penelitian Anne dan Fred (1993) dalam Salami, dkk (2013) bahwa resiko dari pencemaran dapat dikurangi dengan menggunakan lapisan kedap (</w:t>
      </w:r>
      <w:r w:rsidRPr="00363E3F">
        <w:rPr>
          <w:b w:val="0"/>
          <w:i/>
          <w:szCs w:val="22"/>
          <w:lang w:val="id-ID"/>
        </w:rPr>
        <w:t>impermeable</w:t>
      </w:r>
      <w:r w:rsidRPr="00363E3F">
        <w:rPr>
          <w:b w:val="0"/>
          <w:szCs w:val="22"/>
          <w:lang w:val="id-ID"/>
        </w:rPr>
        <w:t xml:space="preserve">) pada perancangan TPA. </w:t>
      </w:r>
    </w:p>
    <w:p w:rsidR="00554C0D" w:rsidRPr="00363E3F" w:rsidRDefault="00554C0D" w:rsidP="00554C0D">
      <w:pPr>
        <w:pStyle w:val="NoSpacing"/>
        <w:numPr>
          <w:ilvl w:val="0"/>
          <w:numId w:val="0"/>
        </w:numPr>
        <w:spacing w:line="240" w:lineRule="auto"/>
        <w:rPr>
          <w:b w:val="0"/>
          <w:szCs w:val="22"/>
          <w:lang w:val="id-ID"/>
        </w:rPr>
      </w:pPr>
      <w:r w:rsidRPr="00363E3F">
        <w:rPr>
          <w:b w:val="0"/>
          <w:szCs w:val="22"/>
          <w:lang w:val="id-ID"/>
        </w:rPr>
        <w:tab/>
        <w:t>Kemudian penurunan konsentrasi juga terjadi pada tanah padat dan tanah asli yang menjadi pelapis dasar TPA Ngronggo. Penurunan konsentrasi pada tanah disebabkan oleh permeabilitas tanah dengan sifat semi-kedap dan adanya kemampuan adsorpsi pada tanah.</w:t>
      </w:r>
      <w:r w:rsidR="002440C4">
        <w:rPr>
          <w:b w:val="0"/>
          <w:szCs w:val="22"/>
          <w:lang w:val="id-ID"/>
        </w:rPr>
        <w:t xml:space="preserve"> Dalam Notodarmojo (2005) dise</w:t>
      </w:r>
      <w:r w:rsidRPr="00363E3F">
        <w:rPr>
          <w:b w:val="0"/>
          <w:szCs w:val="22"/>
          <w:lang w:val="id-ID"/>
        </w:rPr>
        <w:t xml:space="preserve">butkan bila kontaminan yang terlarut dalam air tanah kontak dengan tanah, maka kemungkinan konsentrasinya akan berkurang karena kontaminan tersebut akan bereaksi atau terikat </w:t>
      </w:r>
      <w:r w:rsidRPr="00363E3F">
        <w:rPr>
          <w:b w:val="0"/>
          <w:szCs w:val="22"/>
          <w:lang w:val="id-ID"/>
        </w:rPr>
        <w:lastRenderedPageBreak/>
        <w:t>pada permukaan tanah melalui suatu fenomena yang disebut sorpsi.</w:t>
      </w:r>
    </w:p>
    <w:p w:rsidR="00554C0D" w:rsidRPr="00363E3F" w:rsidRDefault="00554C0D" w:rsidP="00554C0D">
      <w:pPr>
        <w:pStyle w:val="NoSpacing"/>
        <w:numPr>
          <w:ilvl w:val="0"/>
          <w:numId w:val="0"/>
        </w:numPr>
        <w:spacing w:line="240" w:lineRule="auto"/>
        <w:ind w:firstLine="720"/>
        <w:rPr>
          <w:b w:val="0"/>
          <w:szCs w:val="22"/>
          <w:lang w:val="id-ID"/>
        </w:rPr>
      </w:pPr>
      <w:r w:rsidRPr="00363E3F">
        <w:rPr>
          <w:b w:val="0"/>
          <w:szCs w:val="22"/>
          <w:lang w:val="id-ID"/>
        </w:rPr>
        <w:t xml:space="preserve">Konsentrasi kontaminan besi (Fe) dan nikel (Ni) di kedalaman sumur pantau pada tahun ke-15 cukup tinggi. Untuk Fe yaitu 86,81 mg/l dengan baku mutu 5mg/l dan nikel sebesar 0,5071 mg/l dengan baku mutu 0,2 mg/l (Perda Jateng No.5/2012). Prediksi konsentrasi kontaminan logam berat yang terdapat di TPA Ngronggo Kota Salatiga pada 15 tahun mendatang sesuai apabila dibandingkan penelitian yang dilakukan oleh Robinson (2004) mengenai kandungan dari lindi pada TPA yang sangat luas (Tinjaun Internasional). Dalam jurnalnya, Robinson menyebutkan bahwa pada TPA lama di Hongkong konsentrasi kontaminan besi mencapai 5500-8400 </w:t>
      </w:r>
      <w:r w:rsidRPr="00363E3F">
        <w:rPr>
          <w:rFonts w:cs="Times New Roman"/>
          <w:b w:val="0"/>
          <w:szCs w:val="22"/>
          <w:lang w:val="id-ID"/>
        </w:rPr>
        <w:t>µ</w:t>
      </w:r>
      <w:r w:rsidRPr="00363E3F">
        <w:rPr>
          <w:b w:val="0"/>
          <w:szCs w:val="22"/>
          <w:lang w:val="id-ID"/>
        </w:rPr>
        <w:t xml:space="preserve">g/l (1991-1995), sedangkan TPA lama di Inggris (2001-2003) memiliki konsentrasi kontaminan besi 3000-72100 </w:t>
      </w:r>
      <w:r w:rsidRPr="00363E3F">
        <w:rPr>
          <w:rFonts w:cs="Times New Roman"/>
          <w:b w:val="0"/>
          <w:szCs w:val="22"/>
          <w:lang w:val="id-ID"/>
        </w:rPr>
        <w:t>µ</w:t>
      </w:r>
      <w:r w:rsidRPr="00363E3F">
        <w:rPr>
          <w:b w:val="0"/>
          <w:szCs w:val="22"/>
          <w:lang w:val="id-ID"/>
        </w:rPr>
        <w:t xml:space="preserve">g/l dan konsentrasi kontaminan nikel 140-2810 </w:t>
      </w:r>
      <w:r w:rsidRPr="00363E3F">
        <w:rPr>
          <w:rFonts w:cs="Times New Roman"/>
          <w:b w:val="0"/>
          <w:szCs w:val="22"/>
          <w:lang w:val="id-ID"/>
        </w:rPr>
        <w:t>µ</w:t>
      </w:r>
      <w:r w:rsidRPr="00363E3F">
        <w:rPr>
          <w:b w:val="0"/>
          <w:szCs w:val="22"/>
          <w:lang w:val="id-ID"/>
        </w:rPr>
        <w:t xml:space="preserve">g/l. Selain itu terdapat pula penelitian di TPA lama Afrika Selatan (1999) yang diketahui memiliki konsentrasi kontaminan besi 2290-18600 </w:t>
      </w:r>
      <w:r w:rsidRPr="00363E3F">
        <w:rPr>
          <w:rFonts w:cs="Times New Roman"/>
          <w:b w:val="0"/>
          <w:szCs w:val="22"/>
          <w:lang w:val="id-ID"/>
        </w:rPr>
        <w:t>µ</w:t>
      </w:r>
      <w:r w:rsidRPr="00363E3F">
        <w:rPr>
          <w:b w:val="0"/>
          <w:szCs w:val="22"/>
          <w:lang w:val="id-ID"/>
        </w:rPr>
        <w:t xml:space="preserve">g/l dan konsentrasi kontaminan nikel sebesar 80-90 </w:t>
      </w:r>
      <w:r w:rsidRPr="00363E3F">
        <w:rPr>
          <w:rFonts w:cs="Times New Roman"/>
          <w:b w:val="0"/>
          <w:szCs w:val="22"/>
          <w:lang w:val="id-ID"/>
        </w:rPr>
        <w:t>µ</w:t>
      </w:r>
      <w:r w:rsidRPr="00363E3F">
        <w:rPr>
          <w:b w:val="0"/>
          <w:szCs w:val="22"/>
          <w:lang w:val="id-ID"/>
        </w:rPr>
        <w:t>g/l.</w:t>
      </w:r>
    </w:p>
    <w:p w:rsidR="00554C0D" w:rsidRPr="00363E3F" w:rsidRDefault="00554C0D" w:rsidP="007F301C">
      <w:pPr>
        <w:spacing w:line="240" w:lineRule="auto"/>
        <w:ind w:firstLine="0"/>
        <w:rPr>
          <w:rFonts w:ascii="Times New Roman" w:hAnsi="Times New Roman" w:cs="Times New Roman"/>
          <w:b/>
          <w:lang w:val="id-ID"/>
        </w:rPr>
      </w:pPr>
    </w:p>
    <w:p w:rsidR="00554C0D" w:rsidRPr="00363E3F" w:rsidRDefault="00554C0D" w:rsidP="00554C0D">
      <w:pPr>
        <w:pStyle w:val="ListParagraph"/>
        <w:numPr>
          <w:ilvl w:val="0"/>
          <w:numId w:val="2"/>
        </w:numPr>
        <w:spacing w:line="240" w:lineRule="auto"/>
        <w:ind w:left="426" w:hanging="437"/>
        <w:rPr>
          <w:rFonts w:ascii="Times New Roman" w:hAnsi="Times New Roman" w:cs="Times New Roman"/>
          <w:b/>
          <w:lang w:val="id-ID"/>
        </w:rPr>
      </w:pPr>
      <w:r w:rsidRPr="00363E3F">
        <w:rPr>
          <w:rFonts w:ascii="Times New Roman" w:hAnsi="Times New Roman" w:cs="Times New Roman"/>
          <w:b/>
          <w:lang w:val="id-ID"/>
        </w:rPr>
        <w:t xml:space="preserve">Kesimpulan </w:t>
      </w:r>
    </w:p>
    <w:p w:rsidR="009D1CD4" w:rsidRPr="009D1CD4" w:rsidRDefault="009D1CD4" w:rsidP="009D1CD4">
      <w:pPr>
        <w:spacing w:line="240" w:lineRule="auto"/>
        <w:ind w:firstLine="0"/>
        <w:rPr>
          <w:rFonts w:ascii="Times New Roman" w:hAnsi="Times New Roman" w:cs="Times New Roman"/>
          <w:lang w:val="id-ID"/>
        </w:rPr>
      </w:pPr>
      <w:r w:rsidRPr="009D1CD4">
        <w:rPr>
          <w:rFonts w:ascii="Times New Roman" w:hAnsi="Times New Roman" w:cs="Times New Roman"/>
          <w:lang w:val="id-ID"/>
        </w:rPr>
        <w:t>Dari penelitian yang telah dilakukan, didapatkan kesimpulan sebagai berikut :</w:t>
      </w:r>
    </w:p>
    <w:p w:rsidR="009D1CD4" w:rsidRPr="009D1CD4" w:rsidRDefault="009D1CD4" w:rsidP="009D1CD4">
      <w:pPr>
        <w:pStyle w:val="ListParagraph"/>
        <w:numPr>
          <w:ilvl w:val="0"/>
          <w:numId w:val="6"/>
        </w:numPr>
        <w:spacing w:line="240" w:lineRule="auto"/>
        <w:rPr>
          <w:rFonts w:ascii="Times New Roman" w:hAnsi="Times New Roman" w:cs="Times New Roman"/>
          <w:lang w:val="id-ID"/>
        </w:rPr>
      </w:pPr>
      <w:r w:rsidRPr="009D1CD4">
        <w:rPr>
          <w:rFonts w:ascii="Times New Roman" w:hAnsi="Times New Roman" w:cs="Times New Roman"/>
          <w:lang w:val="id-ID"/>
        </w:rPr>
        <w:t xml:space="preserve">Permodelan transport kontaminan besi (Fe) dan nikel (Ni) dalam lindi menggunakan </w:t>
      </w:r>
      <w:r w:rsidRPr="009D1CD4">
        <w:rPr>
          <w:rFonts w:ascii="Times New Roman" w:hAnsi="Times New Roman" w:cs="Times New Roman"/>
          <w:i/>
          <w:lang w:val="id-ID"/>
        </w:rPr>
        <w:t xml:space="preserve">software </w:t>
      </w:r>
      <w:r w:rsidRPr="009D1CD4">
        <w:rPr>
          <w:rFonts w:ascii="Times New Roman" w:hAnsi="Times New Roman" w:cs="Times New Roman"/>
          <w:lang w:val="id-ID"/>
        </w:rPr>
        <w:t xml:space="preserve">Pollute v7 dapat diterima. </w:t>
      </w:r>
    </w:p>
    <w:p w:rsidR="009D1CD4" w:rsidRPr="009D1CD4" w:rsidRDefault="009D1CD4" w:rsidP="009D1CD4">
      <w:pPr>
        <w:pStyle w:val="ListParagraph"/>
        <w:numPr>
          <w:ilvl w:val="0"/>
          <w:numId w:val="6"/>
        </w:numPr>
        <w:spacing w:line="240" w:lineRule="auto"/>
        <w:rPr>
          <w:rFonts w:ascii="Times New Roman" w:hAnsi="Times New Roman" w:cs="Times New Roman"/>
          <w:lang w:val="id-ID"/>
        </w:rPr>
      </w:pPr>
      <w:r w:rsidRPr="009D1CD4">
        <w:rPr>
          <w:rFonts w:ascii="Times New Roman" w:hAnsi="Times New Roman" w:cs="Times New Roman"/>
          <w:lang w:val="id-ID"/>
        </w:rPr>
        <w:t>Berdasarkan hasil permodelan yang diperoleh, diketahui konsentrasi besi (Fe) dan nikel (Ni) mengalami peningkatan dari tahun ke tahun. Pada tahun ke-15 kontaminan besi (Fe) mencapai 86,81 mg/l dan nikel (Ni) 0,5071 mg/l, model yang dihasilkan melebihi baku mutu.</w:t>
      </w:r>
    </w:p>
    <w:p w:rsidR="00554C0D" w:rsidRPr="00363E3F" w:rsidRDefault="00554C0D" w:rsidP="009D1CD4">
      <w:pPr>
        <w:spacing w:line="240" w:lineRule="auto"/>
        <w:ind w:firstLine="0"/>
        <w:rPr>
          <w:rFonts w:ascii="Times New Roman" w:hAnsi="Times New Roman" w:cs="Times New Roman"/>
          <w:lang w:val="id-ID"/>
        </w:rPr>
      </w:pPr>
      <w:r w:rsidRPr="00363E3F">
        <w:rPr>
          <w:rFonts w:ascii="Times New Roman" w:hAnsi="Times New Roman" w:cs="Times New Roman"/>
          <w:b/>
          <w:lang w:val="id-ID"/>
        </w:rPr>
        <w:tab/>
      </w:r>
    </w:p>
    <w:p w:rsidR="00554C0D" w:rsidRDefault="00554C0D" w:rsidP="00BC35AA">
      <w:pPr>
        <w:spacing w:line="240" w:lineRule="auto"/>
        <w:ind w:firstLine="0"/>
        <w:rPr>
          <w:rFonts w:ascii="Times New Roman" w:hAnsi="Times New Roman" w:cs="Times New Roman"/>
          <w:b/>
          <w:lang w:val="id-ID"/>
        </w:rPr>
      </w:pPr>
    </w:p>
    <w:p w:rsidR="009D1CD4" w:rsidRPr="00363E3F" w:rsidRDefault="009D1CD4" w:rsidP="00554C0D">
      <w:pPr>
        <w:spacing w:line="240" w:lineRule="auto"/>
        <w:ind w:left="-11" w:firstLine="0"/>
        <w:rPr>
          <w:rFonts w:ascii="Times New Roman" w:hAnsi="Times New Roman" w:cs="Times New Roman"/>
          <w:b/>
          <w:lang w:val="id-ID"/>
        </w:rPr>
      </w:pPr>
    </w:p>
    <w:p w:rsidR="0018686B" w:rsidRPr="00363E3F" w:rsidRDefault="0018686B" w:rsidP="0018686B">
      <w:pPr>
        <w:spacing w:line="240" w:lineRule="auto"/>
        <w:ind w:firstLine="0"/>
        <w:jc w:val="center"/>
        <w:rPr>
          <w:rFonts w:ascii="Times New Roman" w:hAnsi="Times New Roman" w:cs="Times New Roman"/>
          <w:b/>
        </w:rPr>
      </w:pPr>
      <w:r w:rsidRPr="00363E3F">
        <w:rPr>
          <w:rFonts w:ascii="Times New Roman" w:hAnsi="Times New Roman" w:cs="Times New Roman"/>
          <w:b/>
        </w:rPr>
        <w:t>DAFTAR PUSTAKA</w:t>
      </w:r>
    </w:p>
    <w:p w:rsidR="0018686B" w:rsidRPr="00BC35AA" w:rsidRDefault="0018686B" w:rsidP="00BC35AA">
      <w:pPr>
        <w:spacing w:line="240" w:lineRule="auto"/>
        <w:ind w:firstLine="0"/>
        <w:rPr>
          <w:rFonts w:ascii="Times New Roman" w:hAnsi="Times New Roman" w:cs="Times New Roman"/>
          <w:i/>
          <w:lang w:val="id-ID"/>
        </w:rPr>
      </w:pPr>
    </w:p>
    <w:p w:rsidR="0018686B" w:rsidRPr="00363E3F" w:rsidRDefault="0018686B" w:rsidP="0018686B">
      <w:pPr>
        <w:spacing w:line="240" w:lineRule="auto"/>
        <w:ind w:left="720" w:hanging="720"/>
        <w:rPr>
          <w:rFonts w:ascii="Times New Roman" w:hAnsi="Times New Roman" w:cs="Times New Roman"/>
        </w:rPr>
      </w:pPr>
      <w:proofErr w:type="spellStart"/>
      <w:r w:rsidRPr="00363E3F">
        <w:rPr>
          <w:rFonts w:ascii="Times New Roman" w:hAnsi="Times New Roman" w:cs="Times New Roman"/>
        </w:rPr>
        <w:t>Notodarmojo</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Suprihanto</w:t>
      </w:r>
      <w:proofErr w:type="spellEnd"/>
      <w:r w:rsidRPr="00363E3F">
        <w:rPr>
          <w:rFonts w:ascii="Times New Roman" w:hAnsi="Times New Roman" w:cs="Times New Roman"/>
        </w:rPr>
        <w:t xml:space="preserve">. </w:t>
      </w:r>
      <w:proofErr w:type="gramStart"/>
      <w:r w:rsidRPr="00363E3F">
        <w:rPr>
          <w:rFonts w:ascii="Times New Roman" w:hAnsi="Times New Roman" w:cs="Times New Roman"/>
        </w:rPr>
        <w:t>200</w:t>
      </w:r>
      <w:r w:rsidR="00BC35AA">
        <w:rPr>
          <w:rFonts w:ascii="Times New Roman" w:hAnsi="Times New Roman" w:cs="Times New Roman"/>
          <w:lang w:val="id-ID"/>
        </w:rPr>
        <w:t>5</w:t>
      </w:r>
      <w:r w:rsidRPr="00363E3F">
        <w:rPr>
          <w:rFonts w:ascii="Times New Roman" w:hAnsi="Times New Roman" w:cs="Times New Roman"/>
        </w:rPr>
        <w:t xml:space="preserve">. </w:t>
      </w:r>
      <w:proofErr w:type="spellStart"/>
      <w:r w:rsidRPr="00363E3F">
        <w:rPr>
          <w:rFonts w:ascii="Times New Roman" w:hAnsi="Times New Roman" w:cs="Times New Roman"/>
          <w:i/>
        </w:rPr>
        <w:t>Pencemaran</w:t>
      </w:r>
      <w:proofErr w:type="spellEnd"/>
      <w:r w:rsidRPr="00363E3F">
        <w:rPr>
          <w:rFonts w:ascii="Times New Roman" w:hAnsi="Times New Roman" w:cs="Times New Roman"/>
          <w:i/>
        </w:rPr>
        <w:t xml:space="preserve"> Tanah </w:t>
      </w:r>
      <w:proofErr w:type="spellStart"/>
      <w:r w:rsidRPr="00363E3F">
        <w:rPr>
          <w:rFonts w:ascii="Times New Roman" w:hAnsi="Times New Roman" w:cs="Times New Roman"/>
          <w:i/>
        </w:rPr>
        <w:t>dan</w:t>
      </w:r>
      <w:proofErr w:type="spellEnd"/>
      <w:r w:rsidRPr="00363E3F">
        <w:rPr>
          <w:rFonts w:ascii="Times New Roman" w:hAnsi="Times New Roman" w:cs="Times New Roman"/>
          <w:i/>
        </w:rPr>
        <w:t xml:space="preserve"> Air Tanah.</w:t>
      </w:r>
      <w:proofErr w:type="gramEnd"/>
      <w:r w:rsidRPr="00363E3F">
        <w:rPr>
          <w:rFonts w:ascii="Times New Roman" w:hAnsi="Times New Roman" w:cs="Times New Roman"/>
          <w:i/>
        </w:rPr>
        <w:t xml:space="preserve"> </w:t>
      </w:r>
      <w:r w:rsidRPr="00363E3F">
        <w:rPr>
          <w:rFonts w:ascii="Times New Roman" w:hAnsi="Times New Roman" w:cs="Times New Roman"/>
        </w:rPr>
        <w:t>ITB, Bandung.</w:t>
      </w:r>
    </w:p>
    <w:p w:rsidR="0018686B" w:rsidRPr="00363E3F" w:rsidRDefault="0018686B" w:rsidP="0018686B">
      <w:pPr>
        <w:spacing w:line="240" w:lineRule="auto"/>
        <w:ind w:left="720" w:hanging="720"/>
        <w:rPr>
          <w:rFonts w:ascii="Times New Roman" w:hAnsi="Times New Roman" w:cs="Times New Roman"/>
        </w:rPr>
      </w:pPr>
      <w:proofErr w:type="gramStart"/>
      <w:r w:rsidRPr="00363E3F">
        <w:rPr>
          <w:rFonts w:ascii="Times New Roman" w:hAnsi="Times New Roman" w:cs="Times New Roman"/>
        </w:rPr>
        <w:t xml:space="preserve">Rowe, R. K. </w:t>
      </w:r>
      <w:proofErr w:type="spellStart"/>
      <w:r w:rsidRPr="00363E3F">
        <w:rPr>
          <w:rFonts w:ascii="Times New Roman" w:hAnsi="Times New Roman" w:cs="Times New Roman"/>
        </w:rPr>
        <w:t>dan</w:t>
      </w:r>
      <w:proofErr w:type="spellEnd"/>
      <w:r w:rsidRPr="00363E3F">
        <w:rPr>
          <w:rFonts w:ascii="Times New Roman" w:hAnsi="Times New Roman" w:cs="Times New Roman"/>
        </w:rPr>
        <w:t xml:space="preserve"> J. R. Booker.</w:t>
      </w:r>
      <w:proofErr w:type="gramEnd"/>
      <w:r w:rsidRPr="00363E3F">
        <w:rPr>
          <w:rFonts w:ascii="Times New Roman" w:hAnsi="Times New Roman" w:cs="Times New Roman"/>
        </w:rPr>
        <w:t xml:space="preserve"> 2004. </w:t>
      </w:r>
      <w:r w:rsidRPr="00363E3F">
        <w:rPr>
          <w:rFonts w:ascii="Times New Roman" w:hAnsi="Times New Roman" w:cs="Times New Roman"/>
          <w:i/>
        </w:rPr>
        <w:t>Pollute v7 Reference Guide.</w:t>
      </w:r>
      <w:r w:rsidRPr="00363E3F">
        <w:rPr>
          <w:rFonts w:ascii="Times New Roman" w:hAnsi="Times New Roman" w:cs="Times New Roman"/>
        </w:rPr>
        <w:t xml:space="preserve"> GAEA. </w:t>
      </w:r>
      <w:proofErr w:type="gramStart"/>
      <w:r w:rsidRPr="00363E3F">
        <w:rPr>
          <w:rFonts w:ascii="Times New Roman" w:hAnsi="Times New Roman" w:cs="Times New Roman"/>
        </w:rPr>
        <w:t>Printed in Canada.</w:t>
      </w:r>
      <w:proofErr w:type="gramEnd"/>
    </w:p>
    <w:p w:rsidR="0018686B" w:rsidRPr="00363E3F" w:rsidRDefault="0018686B" w:rsidP="0018686B">
      <w:pPr>
        <w:spacing w:line="240" w:lineRule="auto"/>
        <w:ind w:left="720" w:hanging="720"/>
        <w:rPr>
          <w:rFonts w:ascii="Times New Roman" w:hAnsi="Times New Roman" w:cs="Times New Roman"/>
        </w:rPr>
      </w:pPr>
      <w:proofErr w:type="spellStart"/>
      <w:proofErr w:type="gramStart"/>
      <w:r w:rsidRPr="00363E3F">
        <w:rPr>
          <w:rFonts w:ascii="Times New Roman" w:hAnsi="Times New Roman" w:cs="Times New Roman"/>
        </w:rPr>
        <w:t>Tchobanoglous</w:t>
      </w:r>
      <w:proofErr w:type="spellEnd"/>
      <w:r w:rsidRPr="00363E3F">
        <w:rPr>
          <w:rFonts w:ascii="Times New Roman" w:hAnsi="Times New Roman" w:cs="Times New Roman"/>
        </w:rPr>
        <w:t xml:space="preserve">, George and </w:t>
      </w:r>
      <w:proofErr w:type="spellStart"/>
      <w:r w:rsidRPr="00363E3F">
        <w:rPr>
          <w:rFonts w:ascii="Times New Roman" w:hAnsi="Times New Roman" w:cs="Times New Roman"/>
        </w:rPr>
        <w:t>Theisen</w:t>
      </w:r>
      <w:proofErr w:type="spellEnd"/>
      <w:r w:rsidRPr="00363E3F">
        <w:rPr>
          <w:rFonts w:ascii="Times New Roman" w:hAnsi="Times New Roman" w:cs="Times New Roman"/>
        </w:rPr>
        <w:t xml:space="preserve"> H, Vigil SA.</w:t>
      </w:r>
      <w:proofErr w:type="gramEnd"/>
      <w:r w:rsidRPr="00363E3F">
        <w:rPr>
          <w:rFonts w:ascii="Times New Roman" w:hAnsi="Times New Roman" w:cs="Times New Roman"/>
        </w:rPr>
        <w:t xml:space="preserve"> 1993. </w:t>
      </w:r>
      <w:r w:rsidRPr="00363E3F">
        <w:rPr>
          <w:rFonts w:ascii="Times New Roman" w:hAnsi="Times New Roman" w:cs="Times New Roman"/>
          <w:i/>
        </w:rPr>
        <w:t xml:space="preserve">Integrated Solid Waste </w:t>
      </w:r>
      <w:proofErr w:type="gramStart"/>
      <w:r w:rsidRPr="00363E3F">
        <w:rPr>
          <w:rFonts w:ascii="Times New Roman" w:hAnsi="Times New Roman" w:cs="Times New Roman"/>
          <w:i/>
        </w:rPr>
        <w:t>Management :</w:t>
      </w:r>
      <w:proofErr w:type="gramEnd"/>
      <w:r w:rsidRPr="00363E3F">
        <w:rPr>
          <w:rFonts w:ascii="Times New Roman" w:hAnsi="Times New Roman" w:cs="Times New Roman"/>
          <w:i/>
        </w:rPr>
        <w:t xml:space="preserve"> Engineering Principles and </w:t>
      </w:r>
      <w:proofErr w:type="spellStart"/>
      <w:r w:rsidRPr="00363E3F">
        <w:rPr>
          <w:rFonts w:ascii="Times New Roman" w:hAnsi="Times New Roman" w:cs="Times New Roman"/>
          <w:i/>
        </w:rPr>
        <w:t>Manajement</w:t>
      </w:r>
      <w:proofErr w:type="spellEnd"/>
      <w:r w:rsidRPr="00363E3F">
        <w:rPr>
          <w:rFonts w:ascii="Times New Roman" w:hAnsi="Times New Roman" w:cs="Times New Roman"/>
          <w:i/>
        </w:rPr>
        <w:t xml:space="preserve"> Issues. </w:t>
      </w:r>
      <w:proofErr w:type="gramStart"/>
      <w:r w:rsidRPr="00363E3F">
        <w:rPr>
          <w:rFonts w:ascii="Times New Roman" w:hAnsi="Times New Roman" w:cs="Times New Roman"/>
        </w:rPr>
        <w:t>McGraw-Hill, Inc., N. Y.</w:t>
      </w:r>
      <w:proofErr w:type="gramEnd"/>
    </w:p>
    <w:p w:rsidR="0018686B" w:rsidRPr="00363E3F" w:rsidRDefault="0018686B" w:rsidP="0018686B">
      <w:pPr>
        <w:spacing w:line="240" w:lineRule="auto"/>
        <w:ind w:left="720" w:hanging="720"/>
        <w:rPr>
          <w:rFonts w:ascii="Times New Roman" w:hAnsi="Times New Roman" w:cs="Times New Roman"/>
        </w:rPr>
      </w:pPr>
      <w:proofErr w:type="spellStart"/>
      <w:proofErr w:type="gramStart"/>
      <w:r w:rsidRPr="00363E3F">
        <w:rPr>
          <w:rFonts w:ascii="Times New Roman" w:hAnsi="Times New Roman" w:cs="Times New Roman"/>
        </w:rPr>
        <w:lastRenderedPageBreak/>
        <w:t>Peraturan</w:t>
      </w:r>
      <w:proofErr w:type="spellEnd"/>
      <w:r w:rsidRPr="00363E3F">
        <w:rPr>
          <w:rFonts w:ascii="Times New Roman" w:hAnsi="Times New Roman" w:cs="Times New Roman"/>
        </w:rPr>
        <w:t xml:space="preserve"> Daerah </w:t>
      </w:r>
      <w:proofErr w:type="spellStart"/>
      <w:r w:rsidRPr="00363E3F">
        <w:rPr>
          <w:rFonts w:ascii="Times New Roman" w:hAnsi="Times New Roman" w:cs="Times New Roman"/>
        </w:rPr>
        <w:t>Provinsi</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Jawa</w:t>
      </w:r>
      <w:proofErr w:type="spellEnd"/>
      <w:r w:rsidRPr="00363E3F">
        <w:rPr>
          <w:rFonts w:ascii="Times New Roman" w:hAnsi="Times New Roman" w:cs="Times New Roman"/>
        </w:rPr>
        <w:t xml:space="preserve"> Tengah </w:t>
      </w:r>
      <w:proofErr w:type="spellStart"/>
      <w:r w:rsidRPr="00363E3F">
        <w:rPr>
          <w:rFonts w:ascii="Times New Roman" w:hAnsi="Times New Roman" w:cs="Times New Roman"/>
        </w:rPr>
        <w:t>Nomor</w:t>
      </w:r>
      <w:proofErr w:type="spellEnd"/>
      <w:r w:rsidRPr="00363E3F">
        <w:rPr>
          <w:rFonts w:ascii="Times New Roman" w:hAnsi="Times New Roman" w:cs="Times New Roman"/>
        </w:rPr>
        <w:t xml:space="preserve"> 5 </w:t>
      </w:r>
      <w:proofErr w:type="spellStart"/>
      <w:r w:rsidRPr="00363E3F">
        <w:rPr>
          <w:rFonts w:ascii="Times New Roman" w:hAnsi="Times New Roman" w:cs="Times New Roman"/>
        </w:rPr>
        <w:t>Tahun</w:t>
      </w:r>
      <w:proofErr w:type="spellEnd"/>
      <w:r w:rsidRPr="00363E3F">
        <w:rPr>
          <w:rFonts w:ascii="Times New Roman" w:hAnsi="Times New Roman" w:cs="Times New Roman"/>
        </w:rPr>
        <w:t xml:space="preserve"> 2012.</w:t>
      </w:r>
      <w:proofErr w:type="gramEnd"/>
      <w:r w:rsidRPr="00363E3F">
        <w:rPr>
          <w:rFonts w:ascii="Times New Roman" w:hAnsi="Times New Roman" w:cs="Times New Roman"/>
        </w:rPr>
        <w:t xml:space="preserve"> </w:t>
      </w:r>
      <w:proofErr w:type="gramStart"/>
      <w:r w:rsidRPr="00363E3F">
        <w:rPr>
          <w:rFonts w:ascii="Times New Roman" w:hAnsi="Times New Roman" w:cs="Times New Roman"/>
          <w:i/>
        </w:rPr>
        <w:t xml:space="preserve">Baku </w:t>
      </w:r>
      <w:proofErr w:type="spellStart"/>
      <w:r w:rsidRPr="00363E3F">
        <w:rPr>
          <w:rFonts w:ascii="Times New Roman" w:hAnsi="Times New Roman" w:cs="Times New Roman"/>
          <w:i/>
        </w:rPr>
        <w:t>Mutu</w:t>
      </w:r>
      <w:proofErr w:type="spellEnd"/>
      <w:r w:rsidRPr="00363E3F">
        <w:rPr>
          <w:rFonts w:ascii="Times New Roman" w:hAnsi="Times New Roman" w:cs="Times New Roman"/>
          <w:i/>
        </w:rPr>
        <w:t xml:space="preserve"> Air </w:t>
      </w:r>
      <w:proofErr w:type="spellStart"/>
      <w:r w:rsidRPr="00363E3F">
        <w:rPr>
          <w:rFonts w:ascii="Times New Roman" w:hAnsi="Times New Roman" w:cs="Times New Roman"/>
          <w:i/>
        </w:rPr>
        <w:t>Limbah</w:t>
      </w:r>
      <w:proofErr w:type="spellEnd"/>
      <w:r w:rsidRPr="00363E3F">
        <w:rPr>
          <w:rFonts w:ascii="Times New Roman" w:hAnsi="Times New Roman" w:cs="Times New Roman"/>
          <w:i/>
        </w:rPr>
        <w:t>.</w:t>
      </w:r>
      <w:proofErr w:type="gramEnd"/>
      <w:r w:rsidRPr="00363E3F">
        <w:rPr>
          <w:rFonts w:ascii="Times New Roman" w:hAnsi="Times New Roman" w:cs="Times New Roman"/>
          <w:i/>
        </w:rPr>
        <w:t xml:space="preserve"> </w:t>
      </w:r>
    </w:p>
    <w:p w:rsidR="0018686B" w:rsidRPr="00363E3F" w:rsidRDefault="0018686B" w:rsidP="0018686B">
      <w:pPr>
        <w:spacing w:line="240" w:lineRule="auto"/>
        <w:ind w:left="720" w:hanging="720"/>
        <w:rPr>
          <w:rFonts w:ascii="Times New Roman" w:hAnsi="Times New Roman" w:cs="Times New Roman"/>
        </w:rPr>
      </w:pPr>
      <w:proofErr w:type="spellStart"/>
      <w:r w:rsidRPr="00363E3F">
        <w:rPr>
          <w:rFonts w:ascii="Times New Roman" w:hAnsi="Times New Roman" w:cs="Times New Roman"/>
        </w:rPr>
        <w:t>Kurniawan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Bambang</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i/>
        </w:rPr>
        <w:t>Analisis</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Kualitas</w:t>
      </w:r>
      <w:proofErr w:type="spellEnd"/>
      <w:r w:rsidRPr="00363E3F">
        <w:rPr>
          <w:rFonts w:ascii="Times New Roman" w:hAnsi="Times New Roman" w:cs="Times New Roman"/>
          <w:i/>
        </w:rPr>
        <w:t xml:space="preserve"> Air </w:t>
      </w:r>
      <w:proofErr w:type="spellStart"/>
      <w:r w:rsidRPr="00363E3F">
        <w:rPr>
          <w:rFonts w:ascii="Times New Roman" w:hAnsi="Times New Roman" w:cs="Times New Roman"/>
          <w:i/>
        </w:rPr>
        <w:t>Sumur</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Sekitar</w:t>
      </w:r>
      <w:proofErr w:type="spellEnd"/>
      <w:r w:rsidRPr="00363E3F">
        <w:rPr>
          <w:rFonts w:ascii="Times New Roman" w:hAnsi="Times New Roman" w:cs="Times New Roman"/>
          <w:i/>
        </w:rPr>
        <w:t xml:space="preserve"> Wilayah </w:t>
      </w:r>
      <w:proofErr w:type="spellStart"/>
      <w:r w:rsidRPr="00363E3F">
        <w:rPr>
          <w:rFonts w:ascii="Times New Roman" w:hAnsi="Times New Roman" w:cs="Times New Roman"/>
          <w:i/>
        </w:rPr>
        <w:t>Tempat</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Pembuangan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Akhir</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Sampah</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Studi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Kasus</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di</w:t>
      </w:r>
      <w:proofErr w:type="spellEnd"/>
      <w:r w:rsidRPr="00363E3F">
        <w:rPr>
          <w:rFonts w:ascii="Times New Roman" w:hAnsi="Times New Roman" w:cs="Times New Roman"/>
          <w:i/>
        </w:rPr>
        <w:t xml:space="preserve"> TPA </w:t>
      </w:r>
      <w:proofErr w:type="spellStart"/>
      <w:r w:rsidRPr="00363E3F">
        <w:rPr>
          <w:rFonts w:ascii="Times New Roman" w:hAnsi="Times New Roman" w:cs="Times New Roman"/>
          <w:i/>
        </w:rPr>
        <w:t>Galuga</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Cibungbulang</w:t>
      </w:r>
      <w:proofErr w:type="spellEnd"/>
      <w:r w:rsidRPr="00363E3F">
        <w:rPr>
          <w:rFonts w:ascii="Times New Roman" w:hAnsi="Times New Roman" w:cs="Times New Roman"/>
          <w:i/>
        </w:rPr>
        <w:t xml:space="preserve"> Bogor). </w:t>
      </w:r>
      <w:proofErr w:type="spellStart"/>
      <w:r w:rsidRPr="00363E3F">
        <w:rPr>
          <w:rFonts w:ascii="Times New Roman" w:hAnsi="Times New Roman" w:cs="Times New Roman"/>
        </w:rPr>
        <w:t>Departemen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Teknologi</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Industri</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Pertanian</w:t>
      </w:r>
      <w:proofErr w:type="spellEnd"/>
      <w:r w:rsidRPr="00363E3F">
        <w:rPr>
          <w:rFonts w:ascii="Times New Roman" w:hAnsi="Times New Roman" w:cs="Times New Roman"/>
        </w:rPr>
        <w:t xml:space="preserve">. </w:t>
      </w:r>
      <w:proofErr w:type="spellStart"/>
      <w:proofErr w:type="gramStart"/>
      <w:r w:rsidRPr="00363E3F">
        <w:rPr>
          <w:rFonts w:ascii="Times New Roman" w:hAnsi="Times New Roman" w:cs="Times New Roman"/>
        </w:rPr>
        <w:t>Institut</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Pertanian</w:t>
      </w:r>
      <w:proofErr w:type="spellEnd"/>
      <w:r w:rsidRPr="00363E3F">
        <w:rPr>
          <w:rFonts w:ascii="Times New Roman" w:hAnsi="Times New Roman" w:cs="Times New Roman"/>
        </w:rPr>
        <w:t xml:space="preserve"> Bogor.</w:t>
      </w:r>
      <w:proofErr w:type="gramEnd"/>
      <w:r w:rsidRPr="00363E3F">
        <w:rPr>
          <w:rFonts w:ascii="Times New Roman" w:hAnsi="Times New Roman" w:cs="Times New Roman"/>
        </w:rPr>
        <w:t xml:space="preserve"> Bogor. 2006.</w:t>
      </w:r>
    </w:p>
    <w:p w:rsidR="0018686B" w:rsidRPr="00363E3F" w:rsidRDefault="0018686B" w:rsidP="0018686B">
      <w:pPr>
        <w:spacing w:line="240" w:lineRule="auto"/>
        <w:ind w:left="720" w:hanging="720"/>
        <w:rPr>
          <w:rFonts w:ascii="Times New Roman" w:hAnsi="Times New Roman" w:cs="Times New Roman"/>
        </w:rPr>
      </w:pPr>
      <w:proofErr w:type="spellStart"/>
      <w:proofErr w:type="gramStart"/>
      <w:r w:rsidRPr="00363E3F">
        <w:rPr>
          <w:rFonts w:ascii="Times New Roman" w:hAnsi="Times New Roman" w:cs="Times New Roman"/>
        </w:rPr>
        <w:t>Ketut</w:t>
      </w:r>
      <w:proofErr w:type="spellEnd"/>
      <w:r w:rsidRPr="00363E3F">
        <w:rPr>
          <w:rFonts w:ascii="Times New Roman" w:hAnsi="Times New Roman" w:cs="Times New Roman"/>
        </w:rPr>
        <w:t>, I Putra.</w:t>
      </w:r>
      <w:proofErr w:type="gramEnd"/>
      <w:r w:rsidRPr="00363E3F">
        <w:rPr>
          <w:rFonts w:ascii="Times New Roman" w:hAnsi="Times New Roman" w:cs="Times New Roman"/>
        </w:rPr>
        <w:t xml:space="preserve"> </w:t>
      </w:r>
      <w:proofErr w:type="spellStart"/>
      <w:proofErr w:type="gramStart"/>
      <w:r w:rsidRPr="00363E3F">
        <w:rPr>
          <w:rFonts w:ascii="Times New Roman" w:hAnsi="Times New Roman" w:cs="Times New Roman"/>
        </w:rPr>
        <w:t>Tesis</w:t>
      </w:r>
      <w:proofErr w:type="spellEnd"/>
      <w:r w:rsidRPr="00363E3F">
        <w:rPr>
          <w:rFonts w:ascii="Times New Roman" w:hAnsi="Times New Roman" w:cs="Times New Roman"/>
        </w:rPr>
        <w:t xml:space="preserve"> :</w:t>
      </w:r>
      <w:proofErr w:type="gramEnd"/>
      <w:r w:rsidRPr="00363E3F">
        <w:rPr>
          <w:rFonts w:ascii="Times New Roman" w:hAnsi="Times New Roman" w:cs="Times New Roman"/>
        </w:rPr>
        <w:t xml:space="preserve"> </w:t>
      </w:r>
      <w:proofErr w:type="spellStart"/>
      <w:r w:rsidRPr="00363E3F">
        <w:rPr>
          <w:rFonts w:ascii="Times New Roman" w:hAnsi="Times New Roman" w:cs="Times New Roman"/>
          <w:i/>
        </w:rPr>
        <w:t>Identifikasi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Arah</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Rembesan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dan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Letak</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Akumulasi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Lindi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dengan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Metode</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Geolistrik</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Resistivitas</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Konfigurasi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Wenner</w:t>
      </w:r>
      <w:proofErr w:type="spellEnd"/>
      <w:r w:rsidRPr="00363E3F">
        <w:rPr>
          <w:rFonts w:ascii="Times New Roman" w:hAnsi="Times New Roman" w:cs="Times New Roman"/>
          <w:i/>
        </w:rPr>
        <w:t xml:space="preserve">-Schlumberger </w:t>
      </w:r>
      <w:proofErr w:type="spellStart"/>
      <w:r w:rsidRPr="00363E3F">
        <w:rPr>
          <w:rFonts w:ascii="Times New Roman" w:hAnsi="Times New Roman" w:cs="Times New Roman"/>
          <w:i/>
        </w:rPr>
        <w:t>di</w:t>
      </w:r>
      <w:proofErr w:type="spellEnd"/>
      <w:r w:rsidRPr="00363E3F">
        <w:rPr>
          <w:rFonts w:ascii="Times New Roman" w:hAnsi="Times New Roman" w:cs="Times New Roman"/>
          <w:i/>
        </w:rPr>
        <w:t xml:space="preserve"> TPA </w:t>
      </w:r>
      <w:proofErr w:type="spellStart"/>
      <w:r w:rsidRPr="00363E3F">
        <w:rPr>
          <w:rFonts w:ascii="Times New Roman" w:hAnsi="Times New Roman" w:cs="Times New Roman"/>
          <w:i/>
        </w:rPr>
        <w:t>Temesi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Kabupaten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Gianyar</w:t>
      </w:r>
      <w:proofErr w:type="spellEnd"/>
      <w:r w:rsidRPr="00363E3F">
        <w:rPr>
          <w:rFonts w:ascii="Times New Roman" w:hAnsi="Times New Roman" w:cs="Times New Roman"/>
          <w:i/>
        </w:rPr>
        <w:t xml:space="preserve">. </w:t>
      </w:r>
      <w:r w:rsidRPr="00363E3F">
        <w:rPr>
          <w:rFonts w:ascii="Times New Roman" w:hAnsi="Times New Roman" w:cs="Times New Roman"/>
        </w:rPr>
        <w:t xml:space="preserve">Program </w:t>
      </w:r>
      <w:proofErr w:type="spellStart"/>
      <w:r w:rsidRPr="00363E3F">
        <w:rPr>
          <w:rFonts w:ascii="Times New Roman" w:hAnsi="Times New Roman" w:cs="Times New Roman"/>
        </w:rPr>
        <w:t>Pascasarjana</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Universitas</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Udayana</w:t>
      </w:r>
      <w:proofErr w:type="spellEnd"/>
      <w:r w:rsidRPr="00363E3F">
        <w:rPr>
          <w:rFonts w:ascii="Times New Roman" w:hAnsi="Times New Roman" w:cs="Times New Roman"/>
        </w:rPr>
        <w:t xml:space="preserve">. </w:t>
      </w:r>
      <w:proofErr w:type="spellStart"/>
      <w:proofErr w:type="gramStart"/>
      <w:r w:rsidRPr="00363E3F">
        <w:rPr>
          <w:rFonts w:ascii="Times New Roman" w:hAnsi="Times New Roman" w:cs="Times New Roman"/>
        </w:rPr>
        <w:t>Denpasar</w:t>
      </w:r>
      <w:proofErr w:type="spellEnd"/>
      <w:r w:rsidRPr="00363E3F">
        <w:rPr>
          <w:rFonts w:ascii="Times New Roman" w:hAnsi="Times New Roman" w:cs="Times New Roman"/>
        </w:rPr>
        <w:t>.</w:t>
      </w:r>
      <w:proofErr w:type="gramEnd"/>
      <w:r w:rsidRPr="00363E3F">
        <w:rPr>
          <w:rFonts w:ascii="Times New Roman" w:hAnsi="Times New Roman" w:cs="Times New Roman"/>
        </w:rPr>
        <w:t xml:space="preserve"> 2012.</w:t>
      </w:r>
    </w:p>
    <w:p w:rsidR="0018686B" w:rsidRPr="00363E3F" w:rsidRDefault="0018686B" w:rsidP="0018686B">
      <w:pPr>
        <w:spacing w:line="240" w:lineRule="auto"/>
        <w:ind w:left="720" w:hanging="720"/>
        <w:rPr>
          <w:rFonts w:ascii="Times New Roman" w:hAnsi="Times New Roman" w:cs="Times New Roman"/>
        </w:rPr>
      </w:pPr>
      <w:proofErr w:type="spellStart"/>
      <w:r w:rsidRPr="00363E3F">
        <w:rPr>
          <w:rFonts w:ascii="Times New Roman" w:hAnsi="Times New Roman" w:cs="Times New Roman"/>
        </w:rPr>
        <w:t>Hendtlass</w:t>
      </w:r>
      <w:proofErr w:type="spellEnd"/>
      <w:r w:rsidRPr="00363E3F">
        <w:rPr>
          <w:rFonts w:ascii="Times New Roman" w:hAnsi="Times New Roman" w:cs="Times New Roman"/>
        </w:rPr>
        <w:t xml:space="preserve">, </w:t>
      </w:r>
      <w:proofErr w:type="gramStart"/>
      <w:r w:rsidRPr="00363E3F">
        <w:rPr>
          <w:rFonts w:ascii="Times New Roman" w:hAnsi="Times New Roman" w:cs="Times New Roman"/>
        </w:rPr>
        <w:t>Charles.,</w:t>
      </w:r>
      <w:proofErr w:type="gramEnd"/>
      <w:r w:rsidRPr="00363E3F">
        <w:rPr>
          <w:rFonts w:ascii="Times New Roman" w:hAnsi="Times New Roman" w:cs="Times New Roman"/>
        </w:rPr>
        <w:t xml:space="preserve"> et </w:t>
      </w:r>
      <w:proofErr w:type="spellStart"/>
      <w:r w:rsidRPr="00363E3F">
        <w:rPr>
          <w:rFonts w:ascii="Times New Roman" w:hAnsi="Times New Roman" w:cs="Times New Roman"/>
        </w:rPr>
        <w:t>all</w:t>
      </w:r>
      <w:proofErr w:type="spellEnd"/>
      <w:r w:rsidRPr="00363E3F">
        <w:rPr>
          <w:rFonts w:ascii="Times New Roman" w:hAnsi="Times New Roman" w:cs="Times New Roman"/>
        </w:rPr>
        <w:t xml:space="preserve">. 2000. </w:t>
      </w:r>
      <w:r w:rsidRPr="00363E3F">
        <w:rPr>
          <w:rFonts w:ascii="Times New Roman" w:hAnsi="Times New Roman" w:cs="Times New Roman"/>
          <w:i/>
        </w:rPr>
        <w:t>Landfill Guidelines.</w:t>
      </w:r>
      <w:r w:rsidRPr="00363E3F">
        <w:rPr>
          <w:rFonts w:ascii="Times New Roman" w:hAnsi="Times New Roman" w:cs="Times New Roman"/>
        </w:rPr>
        <w:t xml:space="preserve"> Centre for Advanced Engineering. </w:t>
      </w:r>
      <w:proofErr w:type="gramStart"/>
      <w:r w:rsidRPr="00363E3F">
        <w:rPr>
          <w:rFonts w:ascii="Times New Roman" w:hAnsi="Times New Roman" w:cs="Times New Roman"/>
        </w:rPr>
        <w:t>University of Canterbury.</w:t>
      </w:r>
      <w:proofErr w:type="gramEnd"/>
      <w:r w:rsidRPr="00363E3F">
        <w:rPr>
          <w:rFonts w:ascii="Times New Roman" w:hAnsi="Times New Roman" w:cs="Times New Roman"/>
        </w:rPr>
        <w:t xml:space="preserve"> New Zealand.</w:t>
      </w:r>
    </w:p>
    <w:p w:rsidR="0018686B" w:rsidRPr="00363E3F" w:rsidRDefault="0018686B" w:rsidP="0018686B">
      <w:pPr>
        <w:spacing w:line="240" w:lineRule="auto"/>
        <w:ind w:left="720" w:hanging="720"/>
        <w:rPr>
          <w:rFonts w:ascii="Times New Roman" w:hAnsi="Times New Roman" w:cs="Times New Roman"/>
        </w:rPr>
      </w:pPr>
      <w:proofErr w:type="spellStart"/>
      <w:proofErr w:type="gramStart"/>
      <w:r w:rsidRPr="00363E3F">
        <w:rPr>
          <w:rFonts w:ascii="Times New Roman" w:hAnsi="Times New Roman" w:cs="Times New Roman"/>
        </w:rPr>
        <w:t>Diharto</w:t>
      </w:r>
      <w:proofErr w:type="spellEnd"/>
      <w:r w:rsidRPr="00363E3F">
        <w:rPr>
          <w:rFonts w:ascii="Times New Roman" w:hAnsi="Times New Roman" w:cs="Times New Roman"/>
        </w:rPr>
        <w:t>.</w:t>
      </w:r>
      <w:proofErr w:type="gramEnd"/>
      <w:r w:rsidRPr="00363E3F">
        <w:rPr>
          <w:rFonts w:ascii="Times New Roman" w:hAnsi="Times New Roman" w:cs="Times New Roman"/>
        </w:rPr>
        <w:t xml:space="preserve"> </w:t>
      </w:r>
      <w:proofErr w:type="spellStart"/>
      <w:proofErr w:type="gramStart"/>
      <w:r w:rsidRPr="00363E3F">
        <w:rPr>
          <w:rFonts w:ascii="Times New Roman" w:hAnsi="Times New Roman" w:cs="Times New Roman"/>
          <w:i/>
        </w:rPr>
        <w:t>Studi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Perencanaan</w:t>
      </w:r>
      <w:proofErr w:type="spellEnd"/>
      <w:r w:rsidRPr="00363E3F">
        <w:rPr>
          <w:rFonts w:ascii="Times New Roman" w:hAnsi="Times New Roman" w:cs="Times New Roman"/>
          <w:i/>
        </w:rPr>
        <w:t xml:space="preserve"> TPA </w:t>
      </w:r>
      <w:proofErr w:type="spellStart"/>
      <w:r w:rsidRPr="00363E3F">
        <w:rPr>
          <w:rFonts w:ascii="Times New Roman" w:hAnsi="Times New Roman" w:cs="Times New Roman"/>
          <w:i/>
        </w:rPr>
        <w:t>Buluminung</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Penajam</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Paser</w:t>
      </w:r>
      <w:proofErr w:type="spellEnd"/>
      <w:r w:rsidRPr="00363E3F">
        <w:rPr>
          <w:rFonts w:ascii="Times New Roman" w:hAnsi="Times New Roman" w:cs="Times New Roman"/>
          <w:i/>
        </w:rPr>
        <w:t xml:space="preserve"> Utara </w:t>
      </w:r>
      <w:proofErr w:type="spellStart"/>
      <w:r w:rsidRPr="00363E3F">
        <w:rPr>
          <w:rFonts w:ascii="Times New Roman" w:hAnsi="Times New Roman" w:cs="Times New Roman"/>
          <w:i/>
        </w:rPr>
        <w:t>Dengan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Sistem</w:t>
      </w:r>
      <w:proofErr w:type="spellEnd"/>
      <w:r w:rsidRPr="00363E3F">
        <w:rPr>
          <w:rFonts w:ascii="Times New Roman" w:hAnsi="Times New Roman" w:cs="Times New Roman"/>
          <w:i/>
        </w:rPr>
        <w:t xml:space="preserve"> Sanitary Landfill.</w:t>
      </w:r>
      <w:proofErr w:type="gramEnd"/>
      <w:r w:rsidRPr="00363E3F">
        <w:rPr>
          <w:rFonts w:ascii="Times New Roman" w:hAnsi="Times New Roman" w:cs="Times New Roman"/>
          <w:i/>
        </w:rPr>
        <w:t xml:space="preserve"> </w:t>
      </w:r>
      <w:proofErr w:type="spellStart"/>
      <w:proofErr w:type="gramStart"/>
      <w:r w:rsidRPr="00363E3F">
        <w:rPr>
          <w:rFonts w:ascii="Times New Roman" w:hAnsi="Times New Roman" w:cs="Times New Roman"/>
        </w:rPr>
        <w:t>Jurnal</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Teknik</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Sipil</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dan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Perencanaan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Universitas</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Negeri</w:t>
      </w:r>
      <w:proofErr w:type="spellEnd"/>
      <w:r w:rsidRPr="00363E3F">
        <w:rPr>
          <w:rFonts w:ascii="Times New Roman" w:hAnsi="Times New Roman" w:cs="Times New Roman"/>
        </w:rPr>
        <w:t xml:space="preserve"> Semarang.</w:t>
      </w:r>
      <w:proofErr w:type="gramEnd"/>
      <w:r w:rsidRPr="00363E3F">
        <w:rPr>
          <w:rFonts w:ascii="Times New Roman" w:hAnsi="Times New Roman" w:cs="Times New Roman"/>
        </w:rPr>
        <w:t xml:space="preserve"> </w:t>
      </w:r>
      <w:proofErr w:type="spellStart"/>
      <w:proofErr w:type="gramStart"/>
      <w:r w:rsidRPr="00363E3F">
        <w:rPr>
          <w:rFonts w:ascii="Times New Roman" w:hAnsi="Times New Roman" w:cs="Times New Roman"/>
        </w:rPr>
        <w:t>Nomor</w:t>
      </w:r>
      <w:proofErr w:type="spellEnd"/>
      <w:r w:rsidRPr="00363E3F">
        <w:rPr>
          <w:rFonts w:ascii="Times New Roman" w:hAnsi="Times New Roman" w:cs="Times New Roman"/>
        </w:rPr>
        <w:t xml:space="preserve"> 2 Volume 11.</w:t>
      </w:r>
      <w:proofErr w:type="gramEnd"/>
      <w:r w:rsidRPr="00363E3F">
        <w:rPr>
          <w:rFonts w:ascii="Times New Roman" w:hAnsi="Times New Roman" w:cs="Times New Roman"/>
        </w:rPr>
        <w:t xml:space="preserve"> </w:t>
      </w:r>
      <w:proofErr w:type="spellStart"/>
      <w:proofErr w:type="gramStart"/>
      <w:r w:rsidRPr="00363E3F">
        <w:rPr>
          <w:rFonts w:ascii="Times New Roman" w:hAnsi="Times New Roman" w:cs="Times New Roman"/>
        </w:rPr>
        <w:t>Juli</w:t>
      </w:r>
      <w:proofErr w:type="spellEnd"/>
      <w:r w:rsidRPr="00363E3F">
        <w:rPr>
          <w:rFonts w:ascii="Times New Roman" w:hAnsi="Times New Roman" w:cs="Times New Roman"/>
        </w:rPr>
        <w:t>, 2009.</w:t>
      </w:r>
      <w:proofErr w:type="gramEnd"/>
    </w:p>
    <w:p w:rsidR="0018686B" w:rsidRPr="00363E3F" w:rsidRDefault="0018686B" w:rsidP="0018686B">
      <w:pPr>
        <w:spacing w:line="240" w:lineRule="auto"/>
        <w:ind w:left="720" w:hanging="720"/>
        <w:rPr>
          <w:rFonts w:ascii="Times New Roman" w:hAnsi="Times New Roman" w:cs="Times New Roman"/>
        </w:rPr>
      </w:pPr>
      <w:proofErr w:type="spellStart"/>
      <w:r w:rsidRPr="00363E3F">
        <w:rPr>
          <w:rFonts w:ascii="Times New Roman" w:hAnsi="Times New Roman" w:cs="Times New Roman"/>
        </w:rPr>
        <w:t>Purwanta</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Wahyu</w:t>
      </w:r>
      <w:proofErr w:type="spellEnd"/>
      <w:r w:rsidRPr="00363E3F">
        <w:rPr>
          <w:rFonts w:ascii="Times New Roman" w:hAnsi="Times New Roman" w:cs="Times New Roman"/>
        </w:rPr>
        <w:t xml:space="preserve">. </w:t>
      </w:r>
      <w:proofErr w:type="spellStart"/>
      <w:proofErr w:type="gramStart"/>
      <w:r w:rsidRPr="00363E3F">
        <w:rPr>
          <w:rFonts w:ascii="Times New Roman" w:hAnsi="Times New Roman" w:cs="Times New Roman"/>
          <w:i/>
        </w:rPr>
        <w:t>Tinjauan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Teknologi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Pengolahan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Leachate</w:t>
      </w:r>
      <w:proofErr w:type="spellEnd"/>
      <w:r w:rsidRPr="00363E3F">
        <w:rPr>
          <w:rFonts w:ascii="Times New Roman" w:hAnsi="Times New Roman" w:cs="Times New Roman"/>
          <w:i/>
        </w:rPr>
        <w:t xml:space="preserve"> Di </w:t>
      </w:r>
      <w:proofErr w:type="spellStart"/>
      <w:r w:rsidRPr="00363E3F">
        <w:rPr>
          <w:rFonts w:ascii="Times New Roman" w:hAnsi="Times New Roman" w:cs="Times New Roman"/>
          <w:i/>
        </w:rPr>
        <w:t>Tempat</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Pembuangan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Akhir</w:t>
      </w:r>
      <w:proofErr w:type="spellEnd"/>
      <w:r w:rsidRPr="00363E3F">
        <w:rPr>
          <w:rFonts w:ascii="Times New Roman" w:hAnsi="Times New Roman" w:cs="Times New Roman"/>
          <w:i/>
        </w:rPr>
        <w:t xml:space="preserve"> (TPA) </w:t>
      </w:r>
      <w:proofErr w:type="spellStart"/>
      <w:r w:rsidRPr="00363E3F">
        <w:rPr>
          <w:rFonts w:ascii="Times New Roman" w:hAnsi="Times New Roman" w:cs="Times New Roman"/>
          <w:i/>
        </w:rPr>
        <w:t>Sampah</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Perkotaan</w:t>
      </w:r>
      <w:proofErr w:type="spellEnd"/>
      <w:r w:rsidRPr="00363E3F">
        <w:rPr>
          <w:rFonts w:ascii="Times New Roman" w:hAnsi="Times New Roman" w:cs="Times New Roman"/>
          <w:i/>
        </w:rPr>
        <w:t>.</w:t>
      </w:r>
      <w:proofErr w:type="gramEnd"/>
      <w:r w:rsidRPr="00363E3F">
        <w:rPr>
          <w:rFonts w:ascii="Times New Roman" w:hAnsi="Times New Roman" w:cs="Times New Roman"/>
          <w:i/>
        </w:rPr>
        <w:t xml:space="preserve"> </w:t>
      </w:r>
      <w:proofErr w:type="spellStart"/>
      <w:r w:rsidRPr="00363E3F">
        <w:rPr>
          <w:rFonts w:ascii="Times New Roman" w:hAnsi="Times New Roman" w:cs="Times New Roman"/>
        </w:rPr>
        <w:t>Pusat</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Teknologi</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Lingkungan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Badan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Pengkajian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dan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Penerapan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Teknologi</w:t>
      </w:r>
      <w:proofErr w:type="spellEnd"/>
      <w:r w:rsidRPr="00363E3F">
        <w:rPr>
          <w:rFonts w:ascii="Times New Roman" w:hAnsi="Times New Roman" w:cs="Times New Roman"/>
        </w:rPr>
        <w:t xml:space="preserve"> (BPPT). JAI Vol. 2, No.1. 2006.</w:t>
      </w:r>
    </w:p>
    <w:p w:rsidR="0018686B" w:rsidRPr="00363E3F" w:rsidRDefault="0018686B" w:rsidP="0018686B">
      <w:pPr>
        <w:spacing w:line="240" w:lineRule="auto"/>
        <w:ind w:left="720" w:hanging="720"/>
        <w:rPr>
          <w:rFonts w:ascii="Times New Roman" w:hAnsi="Times New Roman" w:cs="Times New Roman"/>
        </w:rPr>
      </w:pPr>
      <w:proofErr w:type="spellStart"/>
      <w:r w:rsidRPr="00363E3F">
        <w:rPr>
          <w:rFonts w:ascii="Times New Roman" w:hAnsi="Times New Roman" w:cs="Times New Roman"/>
        </w:rPr>
        <w:t>Xie</w:t>
      </w:r>
      <w:proofErr w:type="spellEnd"/>
      <w:r w:rsidRPr="00363E3F">
        <w:rPr>
          <w:rFonts w:ascii="Times New Roman" w:hAnsi="Times New Roman" w:cs="Times New Roman"/>
        </w:rPr>
        <w:t xml:space="preserve">, </w:t>
      </w:r>
      <w:proofErr w:type="spellStart"/>
      <w:proofErr w:type="gramStart"/>
      <w:r w:rsidRPr="00363E3F">
        <w:rPr>
          <w:rFonts w:ascii="Times New Roman" w:hAnsi="Times New Roman" w:cs="Times New Roman"/>
        </w:rPr>
        <w:t>Haijian</w:t>
      </w:r>
      <w:proofErr w:type="spellEnd"/>
      <w:r w:rsidRPr="00363E3F">
        <w:rPr>
          <w:rFonts w:ascii="Times New Roman" w:hAnsi="Times New Roman" w:cs="Times New Roman"/>
        </w:rPr>
        <w:t>.,</w:t>
      </w:r>
      <w:proofErr w:type="gramEnd"/>
      <w:r w:rsidRPr="00363E3F">
        <w:rPr>
          <w:rFonts w:ascii="Times New Roman" w:hAnsi="Times New Roman" w:cs="Times New Roman"/>
        </w:rPr>
        <w:t xml:space="preserve"> </w:t>
      </w:r>
      <w:proofErr w:type="spellStart"/>
      <w:r w:rsidRPr="00363E3F">
        <w:rPr>
          <w:rFonts w:ascii="Times New Roman" w:hAnsi="Times New Roman" w:cs="Times New Roman"/>
        </w:rPr>
        <w:t>dkk</w:t>
      </w:r>
      <w:proofErr w:type="spellEnd"/>
      <w:r w:rsidRPr="00363E3F">
        <w:rPr>
          <w:rFonts w:ascii="Times New Roman" w:hAnsi="Times New Roman" w:cs="Times New Roman"/>
        </w:rPr>
        <w:t xml:space="preserve">. </w:t>
      </w:r>
      <w:proofErr w:type="gramStart"/>
      <w:r w:rsidRPr="00363E3F">
        <w:rPr>
          <w:rFonts w:ascii="Times New Roman" w:hAnsi="Times New Roman" w:cs="Times New Roman"/>
          <w:i/>
        </w:rPr>
        <w:t xml:space="preserve">An </w:t>
      </w:r>
      <w:proofErr w:type="spellStart"/>
      <w:r w:rsidRPr="00363E3F">
        <w:rPr>
          <w:rFonts w:ascii="Times New Roman" w:hAnsi="Times New Roman" w:cs="Times New Roman"/>
          <w:i/>
        </w:rPr>
        <w:t>Analitical</w:t>
      </w:r>
      <w:proofErr w:type="spellEnd"/>
      <w:r w:rsidRPr="00363E3F">
        <w:rPr>
          <w:rFonts w:ascii="Times New Roman" w:hAnsi="Times New Roman" w:cs="Times New Roman"/>
          <w:i/>
        </w:rPr>
        <w:t xml:space="preserve"> Solution to Organic Contaminant Diffusion </w:t>
      </w:r>
      <w:proofErr w:type="spellStart"/>
      <w:r w:rsidRPr="00363E3F">
        <w:rPr>
          <w:rFonts w:ascii="Times New Roman" w:hAnsi="Times New Roman" w:cs="Times New Roman"/>
          <w:i/>
        </w:rPr>
        <w:t>Trrough</w:t>
      </w:r>
      <w:proofErr w:type="spellEnd"/>
      <w:r w:rsidRPr="00363E3F">
        <w:rPr>
          <w:rFonts w:ascii="Times New Roman" w:hAnsi="Times New Roman" w:cs="Times New Roman"/>
          <w:i/>
        </w:rPr>
        <w:t xml:space="preserve"> Composite Liners Considering the Effect of Degradation.</w:t>
      </w:r>
      <w:proofErr w:type="gramEnd"/>
      <w:r w:rsidRPr="00363E3F">
        <w:rPr>
          <w:rFonts w:ascii="Times New Roman" w:hAnsi="Times New Roman" w:cs="Times New Roman"/>
          <w:i/>
        </w:rPr>
        <w:t xml:space="preserve"> </w:t>
      </w:r>
      <w:proofErr w:type="gramStart"/>
      <w:r w:rsidRPr="00363E3F">
        <w:rPr>
          <w:rFonts w:ascii="Times New Roman" w:hAnsi="Times New Roman" w:cs="Times New Roman"/>
        </w:rPr>
        <w:t>Institute of Hydrology and Water Resources Engineering, Zhejiang University, Hangzhou 310058, PR China.</w:t>
      </w:r>
      <w:proofErr w:type="gramEnd"/>
      <w:r w:rsidRPr="00363E3F">
        <w:rPr>
          <w:rFonts w:ascii="Times New Roman" w:hAnsi="Times New Roman" w:cs="Times New Roman"/>
        </w:rPr>
        <w:t xml:space="preserve"> 2012.</w:t>
      </w:r>
    </w:p>
    <w:p w:rsidR="0018686B" w:rsidRPr="00363E3F" w:rsidRDefault="0018686B" w:rsidP="0018686B">
      <w:pPr>
        <w:spacing w:line="240" w:lineRule="auto"/>
        <w:ind w:left="720" w:hanging="720"/>
        <w:rPr>
          <w:rFonts w:ascii="Times New Roman" w:hAnsi="Times New Roman" w:cs="Times New Roman"/>
        </w:rPr>
      </w:pPr>
      <w:proofErr w:type="spellStart"/>
      <w:r w:rsidRPr="00363E3F">
        <w:rPr>
          <w:rFonts w:ascii="Times New Roman" w:hAnsi="Times New Roman" w:cs="Times New Roman"/>
        </w:rPr>
        <w:t>Irawan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Hendra</w:t>
      </w:r>
      <w:proofErr w:type="spellEnd"/>
      <w:r w:rsidRPr="00363E3F">
        <w:rPr>
          <w:rFonts w:ascii="Times New Roman" w:hAnsi="Times New Roman" w:cs="Times New Roman"/>
        </w:rPr>
        <w:t xml:space="preserve">. </w:t>
      </w:r>
      <w:proofErr w:type="spellStart"/>
      <w:proofErr w:type="gramStart"/>
      <w:r w:rsidRPr="00363E3F">
        <w:rPr>
          <w:rFonts w:ascii="Times New Roman" w:hAnsi="Times New Roman" w:cs="Times New Roman"/>
          <w:i/>
        </w:rPr>
        <w:t>Korelasi</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Permeabilitas</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Berdasarkan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Ukuran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Butiran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dan</w:t>
      </w:r>
      <w:proofErr w:type="spellEnd"/>
      <w:r w:rsidRPr="00363E3F">
        <w:rPr>
          <w:rFonts w:ascii="Times New Roman" w:hAnsi="Times New Roman" w:cs="Times New Roman"/>
          <w:i/>
        </w:rPr>
        <w:t xml:space="preserve"> </w:t>
      </w:r>
      <w:proofErr w:type="spellStart"/>
      <w:r w:rsidRPr="00363E3F">
        <w:rPr>
          <w:rFonts w:ascii="Times New Roman" w:hAnsi="Times New Roman" w:cs="Times New Roman"/>
          <w:i/>
        </w:rPr>
        <w:t>Plastisitas</w:t>
      </w:r>
      <w:proofErr w:type="spellEnd"/>
      <w:r w:rsidRPr="00363E3F">
        <w:rPr>
          <w:rFonts w:ascii="Times New Roman" w:hAnsi="Times New Roman" w:cs="Times New Roman"/>
          <w:i/>
        </w:rPr>
        <w:t xml:space="preserve"> Tanah.</w:t>
      </w:r>
      <w:proofErr w:type="gramEnd"/>
      <w:r w:rsidRPr="00363E3F">
        <w:rPr>
          <w:rFonts w:ascii="Times New Roman" w:hAnsi="Times New Roman" w:cs="Times New Roman"/>
          <w:i/>
        </w:rPr>
        <w:t xml:space="preserve"> </w:t>
      </w:r>
      <w:proofErr w:type="spellStart"/>
      <w:r w:rsidRPr="00363E3F">
        <w:rPr>
          <w:rFonts w:ascii="Times New Roman" w:hAnsi="Times New Roman" w:cs="Times New Roman"/>
        </w:rPr>
        <w:t>Teknik</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Sipil</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Universitas</w:t>
      </w:r>
      <w:proofErr w:type="spellEnd"/>
      <w:r w:rsidRPr="00363E3F">
        <w:rPr>
          <w:rFonts w:ascii="Times New Roman" w:hAnsi="Times New Roman" w:cs="Times New Roman"/>
        </w:rPr>
        <w:t xml:space="preserve"> Riau. 2012.</w:t>
      </w:r>
    </w:p>
    <w:p w:rsidR="0018686B" w:rsidRPr="00363E3F" w:rsidRDefault="0018686B" w:rsidP="0018686B">
      <w:pPr>
        <w:spacing w:line="240" w:lineRule="auto"/>
        <w:ind w:left="720" w:hanging="720"/>
        <w:rPr>
          <w:rFonts w:ascii="Times New Roman" w:hAnsi="Times New Roman" w:cs="Times New Roman"/>
        </w:rPr>
      </w:pPr>
      <w:proofErr w:type="spellStart"/>
      <w:r w:rsidRPr="00363E3F">
        <w:rPr>
          <w:rFonts w:ascii="Times New Roman" w:hAnsi="Times New Roman" w:cs="Times New Roman"/>
        </w:rPr>
        <w:t>Linsley</w:t>
      </w:r>
      <w:proofErr w:type="spellEnd"/>
      <w:r w:rsidRPr="00363E3F">
        <w:rPr>
          <w:rFonts w:ascii="Times New Roman" w:hAnsi="Times New Roman" w:cs="Times New Roman"/>
        </w:rPr>
        <w:t xml:space="preserve">, Ray K. 1988. </w:t>
      </w:r>
      <w:r w:rsidRPr="00363E3F">
        <w:rPr>
          <w:rFonts w:ascii="Times New Roman" w:hAnsi="Times New Roman" w:cs="Times New Roman"/>
          <w:i/>
        </w:rPr>
        <w:t xml:space="preserve">Hydrology </w:t>
      </w:r>
      <w:proofErr w:type="gramStart"/>
      <w:r w:rsidRPr="00363E3F">
        <w:rPr>
          <w:rFonts w:ascii="Times New Roman" w:hAnsi="Times New Roman" w:cs="Times New Roman"/>
          <w:i/>
        </w:rPr>
        <w:t>For</w:t>
      </w:r>
      <w:proofErr w:type="gramEnd"/>
      <w:r w:rsidRPr="00363E3F">
        <w:rPr>
          <w:rFonts w:ascii="Times New Roman" w:hAnsi="Times New Roman" w:cs="Times New Roman"/>
          <w:i/>
        </w:rPr>
        <w:t xml:space="preserve"> Engineers, SI </w:t>
      </w:r>
      <w:proofErr w:type="spellStart"/>
      <w:r w:rsidRPr="00363E3F">
        <w:rPr>
          <w:rFonts w:ascii="Times New Roman" w:hAnsi="Times New Roman" w:cs="Times New Roman"/>
          <w:i/>
        </w:rPr>
        <w:t>Mtric</w:t>
      </w:r>
      <w:proofErr w:type="spellEnd"/>
      <w:r w:rsidRPr="00363E3F">
        <w:rPr>
          <w:rFonts w:ascii="Times New Roman" w:hAnsi="Times New Roman" w:cs="Times New Roman"/>
          <w:i/>
        </w:rPr>
        <w:t xml:space="preserve"> Edition. </w:t>
      </w:r>
      <w:r w:rsidRPr="00363E3F">
        <w:rPr>
          <w:rFonts w:ascii="Times New Roman" w:hAnsi="Times New Roman" w:cs="Times New Roman"/>
        </w:rPr>
        <w:t>Mc-</w:t>
      </w:r>
      <w:proofErr w:type="spellStart"/>
      <w:r w:rsidRPr="00363E3F">
        <w:rPr>
          <w:rFonts w:ascii="Times New Roman" w:hAnsi="Times New Roman" w:cs="Times New Roman"/>
        </w:rPr>
        <w:t>Graw</w:t>
      </w:r>
      <w:proofErr w:type="spellEnd"/>
      <w:r w:rsidRPr="00363E3F">
        <w:rPr>
          <w:rFonts w:ascii="Times New Roman" w:hAnsi="Times New Roman" w:cs="Times New Roman"/>
        </w:rPr>
        <w:t>-Hill Book Company. Singapore.</w:t>
      </w:r>
    </w:p>
    <w:p w:rsidR="0018686B" w:rsidRPr="00363E3F" w:rsidRDefault="0018686B" w:rsidP="0018686B">
      <w:pPr>
        <w:spacing w:line="240" w:lineRule="auto"/>
        <w:ind w:left="720" w:hanging="720"/>
        <w:rPr>
          <w:rFonts w:ascii="Times New Roman" w:hAnsi="Times New Roman" w:cs="Times New Roman"/>
        </w:rPr>
      </w:pPr>
      <w:proofErr w:type="spellStart"/>
      <w:r w:rsidRPr="00363E3F">
        <w:rPr>
          <w:rFonts w:ascii="Times New Roman" w:hAnsi="Times New Roman" w:cs="Times New Roman"/>
        </w:rPr>
        <w:t>Shukla</w:t>
      </w:r>
      <w:proofErr w:type="spellEnd"/>
      <w:r w:rsidRPr="00363E3F">
        <w:rPr>
          <w:rFonts w:ascii="Times New Roman" w:hAnsi="Times New Roman" w:cs="Times New Roman"/>
        </w:rPr>
        <w:t xml:space="preserve">, Sanjay Kumar., </w:t>
      </w:r>
      <w:proofErr w:type="spellStart"/>
      <w:r w:rsidRPr="00363E3F">
        <w:rPr>
          <w:rFonts w:ascii="Times New Roman" w:hAnsi="Times New Roman" w:cs="Times New Roman"/>
        </w:rPr>
        <w:t>dan</w:t>
      </w:r>
      <w:proofErr w:type="spellEnd"/>
      <w:r w:rsidRPr="00363E3F">
        <w:rPr>
          <w:rFonts w:ascii="Times New Roman" w:hAnsi="Times New Roman" w:cs="Times New Roman"/>
        </w:rPr>
        <w:t xml:space="preserve"> </w:t>
      </w:r>
      <w:proofErr w:type="spellStart"/>
      <w:r w:rsidRPr="00363E3F">
        <w:rPr>
          <w:rFonts w:ascii="Times New Roman" w:hAnsi="Times New Roman" w:cs="Times New Roman"/>
        </w:rPr>
        <w:t>Jian-Hua</w:t>
      </w:r>
      <w:proofErr w:type="spellEnd"/>
      <w:r w:rsidRPr="00363E3F">
        <w:rPr>
          <w:rFonts w:ascii="Times New Roman" w:hAnsi="Times New Roman" w:cs="Times New Roman"/>
        </w:rPr>
        <w:t xml:space="preserve"> Yin. 2006. </w:t>
      </w:r>
      <w:r w:rsidRPr="00363E3F">
        <w:rPr>
          <w:rFonts w:ascii="Times New Roman" w:hAnsi="Times New Roman" w:cs="Times New Roman"/>
          <w:i/>
        </w:rPr>
        <w:t xml:space="preserve">Fundamentals of </w:t>
      </w:r>
      <w:proofErr w:type="spellStart"/>
      <w:r w:rsidRPr="00363E3F">
        <w:rPr>
          <w:rFonts w:ascii="Times New Roman" w:hAnsi="Times New Roman" w:cs="Times New Roman"/>
          <w:i/>
        </w:rPr>
        <w:t>Geosynthetic</w:t>
      </w:r>
      <w:proofErr w:type="spellEnd"/>
      <w:r w:rsidRPr="00363E3F">
        <w:rPr>
          <w:rFonts w:ascii="Times New Roman" w:hAnsi="Times New Roman" w:cs="Times New Roman"/>
          <w:i/>
        </w:rPr>
        <w:t xml:space="preserve"> Engineering. </w:t>
      </w:r>
      <w:proofErr w:type="gramStart"/>
      <w:r w:rsidRPr="00363E3F">
        <w:rPr>
          <w:rFonts w:ascii="Times New Roman" w:hAnsi="Times New Roman" w:cs="Times New Roman"/>
        </w:rPr>
        <w:t>Taylor &amp; Francis.</w:t>
      </w:r>
      <w:proofErr w:type="gramEnd"/>
      <w:r w:rsidRPr="00363E3F">
        <w:rPr>
          <w:rFonts w:ascii="Times New Roman" w:hAnsi="Times New Roman" w:cs="Times New Roman"/>
        </w:rPr>
        <w:t xml:space="preserve"> London.</w:t>
      </w:r>
    </w:p>
    <w:p w:rsidR="0018686B" w:rsidRPr="00363E3F" w:rsidRDefault="0018686B" w:rsidP="0018686B">
      <w:pPr>
        <w:spacing w:line="240" w:lineRule="auto"/>
        <w:ind w:left="720" w:hanging="720"/>
        <w:rPr>
          <w:rFonts w:ascii="Times New Roman" w:hAnsi="Times New Roman" w:cs="Times New Roman"/>
          <w:lang w:val="id-ID"/>
        </w:rPr>
      </w:pPr>
      <w:proofErr w:type="spellStart"/>
      <w:r w:rsidRPr="00363E3F">
        <w:rPr>
          <w:rFonts w:ascii="Times New Roman" w:hAnsi="Times New Roman" w:cs="Times New Roman"/>
        </w:rPr>
        <w:t>Troldborg</w:t>
      </w:r>
      <w:proofErr w:type="spellEnd"/>
      <w:r w:rsidRPr="00363E3F">
        <w:rPr>
          <w:rFonts w:ascii="Times New Roman" w:hAnsi="Times New Roman" w:cs="Times New Roman"/>
        </w:rPr>
        <w:t xml:space="preserve">, </w:t>
      </w:r>
      <w:proofErr w:type="spellStart"/>
      <w:proofErr w:type="gramStart"/>
      <w:r w:rsidRPr="00363E3F">
        <w:rPr>
          <w:rFonts w:ascii="Times New Roman" w:hAnsi="Times New Roman" w:cs="Times New Roman"/>
        </w:rPr>
        <w:t>Mard</w:t>
      </w:r>
      <w:proofErr w:type="spellEnd"/>
      <w:r w:rsidRPr="00363E3F">
        <w:rPr>
          <w:rFonts w:ascii="Times New Roman" w:hAnsi="Times New Roman" w:cs="Times New Roman"/>
        </w:rPr>
        <w:t>.,</w:t>
      </w:r>
      <w:proofErr w:type="gramEnd"/>
      <w:r w:rsidRPr="00363E3F">
        <w:rPr>
          <w:rFonts w:ascii="Times New Roman" w:hAnsi="Times New Roman" w:cs="Times New Roman"/>
        </w:rPr>
        <w:t xml:space="preserve"> et </w:t>
      </w:r>
      <w:proofErr w:type="spellStart"/>
      <w:r w:rsidRPr="00363E3F">
        <w:rPr>
          <w:rFonts w:ascii="Times New Roman" w:hAnsi="Times New Roman" w:cs="Times New Roman"/>
        </w:rPr>
        <w:t>all</w:t>
      </w:r>
      <w:proofErr w:type="spellEnd"/>
      <w:r w:rsidRPr="00363E3F">
        <w:rPr>
          <w:rFonts w:ascii="Times New Roman" w:hAnsi="Times New Roman" w:cs="Times New Roman"/>
        </w:rPr>
        <w:t xml:space="preserve">. </w:t>
      </w:r>
      <w:proofErr w:type="gramStart"/>
      <w:r w:rsidRPr="00363E3F">
        <w:rPr>
          <w:rFonts w:ascii="Times New Roman" w:hAnsi="Times New Roman" w:cs="Times New Roman"/>
          <w:i/>
        </w:rPr>
        <w:t xml:space="preserve">Unsaturated zone leaching models for assessing risk to groundwater of </w:t>
      </w:r>
      <w:proofErr w:type="spellStart"/>
      <w:r w:rsidRPr="00363E3F">
        <w:rPr>
          <w:rFonts w:ascii="Times New Roman" w:hAnsi="Times New Roman" w:cs="Times New Roman"/>
          <w:i/>
        </w:rPr>
        <w:t>contaminanted</w:t>
      </w:r>
      <w:proofErr w:type="spellEnd"/>
      <w:r w:rsidRPr="00363E3F">
        <w:rPr>
          <w:rFonts w:ascii="Times New Roman" w:hAnsi="Times New Roman" w:cs="Times New Roman"/>
          <w:i/>
        </w:rPr>
        <w:t xml:space="preserve"> sites.</w:t>
      </w:r>
      <w:proofErr w:type="gramEnd"/>
      <w:r w:rsidRPr="00363E3F">
        <w:rPr>
          <w:rFonts w:ascii="Times New Roman" w:hAnsi="Times New Roman" w:cs="Times New Roman"/>
          <w:i/>
        </w:rPr>
        <w:t xml:space="preserve"> </w:t>
      </w:r>
      <w:r w:rsidRPr="00363E3F">
        <w:rPr>
          <w:rFonts w:ascii="Times New Roman" w:hAnsi="Times New Roman" w:cs="Times New Roman"/>
        </w:rPr>
        <w:t xml:space="preserve">Journal of Contaminant Hydrology 105 (2009) 28-37. </w:t>
      </w:r>
      <w:proofErr w:type="spellStart"/>
      <w:proofErr w:type="gramStart"/>
      <w:r w:rsidRPr="00363E3F">
        <w:rPr>
          <w:rFonts w:ascii="Times New Roman" w:hAnsi="Times New Roman" w:cs="Times New Roman"/>
        </w:rPr>
        <w:t>Departement</w:t>
      </w:r>
      <w:proofErr w:type="spellEnd"/>
      <w:r w:rsidRPr="00363E3F">
        <w:rPr>
          <w:rFonts w:ascii="Times New Roman" w:hAnsi="Times New Roman" w:cs="Times New Roman"/>
        </w:rPr>
        <w:t xml:space="preserve"> of </w:t>
      </w:r>
      <w:proofErr w:type="spellStart"/>
      <w:r w:rsidRPr="00363E3F">
        <w:rPr>
          <w:rFonts w:ascii="Times New Roman" w:hAnsi="Times New Roman" w:cs="Times New Roman"/>
        </w:rPr>
        <w:lastRenderedPageBreak/>
        <w:t>Enviromental</w:t>
      </w:r>
      <w:proofErr w:type="spellEnd"/>
      <w:r w:rsidRPr="00363E3F">
        <w:rPr>
          <w:rFonts w:ascii="Times New Roman" w:hAnsi="Times New Roman" w:cs="Times New Roman"/>
        </w:rPr>
        <w:t xml:space="preserve"> Engineering, Technical University of Denmark.</w:t>
      </w:r>
      <w:proofErr w:type="gramEnd"/>
      <w:r w:rsidRPr="00363E3F">
        <w:rPr>
          <w:rFonts w:ascii="Times New Roman" w:hAnsi="Times New Roman" w:cs="Times New Roman"/>
        </w:rPr>
        <w:t xml:space="preserve"> </w:t>
      </w:r>
    </w:p>
    <w:p w:rsidR="0018686B" w:rsidRPr="00363E3F" w:rsidRDefault="0018686B" w:rsidP="0018686B">
      <w:pPr>
        <w:spacing w:line="240" w:lineRule="auto"/>
        <w:ind w:left="720" w:hanging="720"/>
        <w:rPr>
          <w:rFonts w:ascii="Times New Roman" w:hAnsi="Times New Roman" w:cs="Times New Roman"/>
          <w:lang w:val="id-ID"/>
        </w:rPr>
      </w:pPr>
      <w:r w:rsidRPr="00363E3F">
        <w:rPr>
          <w:rFonts w:ascii="Times New Roman" w:hAnsi="Times New Roman" w:cs="Times New Roman"/>
          <w:lang w:val="id-ID"/>
        </w:rPr>
        <w:t xml:space="preserve">Salami, Lukmon, et all. June, 2013. </w:t>
      </w:r>
      <w:r w:rsidRPr="00363E3F">
        <w:rPr>
          <w:rFonts w:ascii="Times New Roman" w:hAnsi="Times New Roman" w:cs="Times New Roman"/>
          <w:i/>
          <w:lang w:val="id-ID"/>
        </w:rPr>
        <w:t xml:space="preserve">Prediction of Concentration Profiles of Contaminants in Groundwater Polluted by Leachates From a Landfill Site. </w:t>
      </w:r>
      <w:r w:rsidRPr="00363E3F">
        <w:rPr>
          <w:rFonts w:ascii="Times New Roman" w:hAnsi="Times New Roman" w:cs="Times New Roman"/>
          <w:lang w:val="id-ID"/>
        </w:rPr>
        <w:t xml:space="preserve">Nigeria. </w:t>
      </w:r>
    </w:p>
    <w:p w:rsidR="0018686B" w:rsidRPr="00363E3F" w:rsidRDefault="0018686B" w:rsidP="0018686B">
      <w:pPr>
        <w:spacing w:line="240" w:lineRule="auto"/>
        <w:ind w:left="709" w:hanging="709"/>
        <w:rPr>
          <w:rFonts w:ascii="Times New Roman" w:hAnsi="Times New Roman" w:cs="Times New Roman"/>
          <w:lang w:val="id-ID"/>
        </w:rPr>
      </w:pPr>
      <w:r w:rsidRPr="00363E3F">
        <w:rPr>
          <w:rFonts w:ascii="Times New Roman" w:hAnsi="Times New Roman" w:cs="Times New Roman"/>
          <w:lang w:val="id-ID"/>
        </w:rPr>
        <w:t xml:space="preserve">Bear, Jacob and Alexander H.D. Cheng. 2010. </w:t>
      </w:r>
      <w:r w:rsidRPr="00363E3F">
        <w:rPr>
          <w:rFonts w:ascii="Times New Roman" w:hAnsi="Times New Roman" w:cs="Times New Roman"/>
          <w:i/>
          <w:lang w:val="id-ID"/>
        </w:rPr>
        <w:t xml:space="preserve">Theory and Applications of Transport in Porous Media. </w:t>
      </w:r>
      <w:r w:rsidRPr="00363E3F">
        <w:rPr>
          <w:rFonts w:ascii="Times New Roman" w:hAnsi="Times New Roman" w:cs="Times New Roman"/>
          <w:lang w:val="id-ID"/>
        </w:rPr>
        <w:t>Modeling Groundwater Flow and Contaminant Transport. Springer Dordrecht Heidelberg London, New York.</w:t>
      </w:r>
    </w:p>
    <w:p w:rsidR="0018686B" w:rsidRPr="00363E3F" w:rsidRDefault="0018686B" w:rsidP="0018686B">
      <w:pPr>
        <w:spacing w:line="240" w:lineRule="auto"/>
        <w:ind w:left="709" w:hanging="709"/>
        <w:rPr>
          <w:rFonts w:ascii="Times New Roman" w:hAnsi="Times New Roman" w:cs="Times New Roman"/>
          <w:lang w:val="id-ID"/>
        </w:rPr>
      </w:pPr>
      <w:r w:rsidRPr="00363E3F">
        <w:rPr>
          <w:rFonts w:ascii="Times New Roman" w:hAnsi="Times New Roman" w:cs="Times New Roman"/>
          <w:lang w:val="id-ID"/>
        </w:rPr>
        <w:t xml:space="preserve">Robinson, H. 2005. </w:t>
      </w:r>
      <w:r w:rsidRPr="00363E3F">
        <w:rPr>
          <w:rFonts w:ascii="Times New Roman" w:hAnsi="Times New Roman" w:cs="Times New Roman"/>
          <w:i/>
          <w:lang w:val="id-ID"/>
        </w:rPr>
        <w:t xml:space="preserve">The Composition of Leachates From Very Large Landfills : An International Review. </w:t>
      </w:r>
      <w:r w:rsidRPr="00363E3F">
        <w:rPr>
          <w:rFonts w:ascii="Times New Roman" w:hAnsi="Times New Roman" w:cs="Times New Roman"/>
          <w:lang w:val="id-ID"/>
        </w:rPr>
        <w:t xml:space="preserve">CISA, Enviromental Sanitary Engineering Centre, Italy. </w:t>
      </w:r>
    </w:p>
    <w:p w:rsidR="0018686B" w:rsidRPr="00363E3F" w:rsidRDefault="0018686B" w:rsidP="0018686B">
      <w:pPr>
        <w:spacing w:line="240" w:lineRule="auto"/>
        <w:ind w:left="709" w:hanging="709"/>
        <w:rPr>
          <w:rFonts w:ascii="Times New Roman" w:hAnsi="Times New Roman" w:cs="Times New Roman"/>
          <w:lang w:val="id-ID"/>
        </w:rPr>
      </w:pPr>
      <w:r w:rsidRPr="00363E3F">
        <w:rPr>
          <w:rFonts w:ascii="Times New Roman" w:hAnsi="Times New Roman" w:cs="Times New Roman"/>
          <w:lang w:val="id-ID"/>
        </w:rPr>
        <w:t xml:space="preserve">Yaqout, Anwar and Hamoda, Mohamed. 2004. </w:t>
      </w:r>
      <w:r w:rsidRPr="00363E3F">
        <w:rPr>
          <w:rFonts w:ascii="Times New Roman" w:hAnsi="Times New Roman" w:cs="Times New Roman"/>
          <w:i/>
          <w:lang w:val="id-ID"/>
        </w:rPr>
        <w:t xml:space="preserve">Pediction of Contaminants Migration at Unlined Landfill Sites in An Arid Climate – A Case Study. </w:t>
      </w:r>
      <w:r w:rsidRPr="00363E3F">
        <w:rPr>
          <w:rFonts w:ascii="Times New Roman" w:hAnsi="Times New Roman" w:cs="Times New Roman"/>
          <w:lang w:val="id-ID"/>
        </w:rPr>
        <w:t xml:space="preserve">Departement of Civil Engineering, Kuwait University. Kuwait. </w:t>
      </w:r>
    </w:p>
    <w:p w:rsidR="0018686B" w:rsidRPr="00363E3F" w:rsidRDefault="0018686B" w:rsidP="0018686B">
      <w:pPr>
        <w:spacing w:line="240" w:lineRule="auto"/>
        <w:ind w:left="709" w:hanging="709"/>
        <w:rPr>
          <w:rFonts w:ascii="Times New Roman" w:hAnsi="Times New Roman" w:cs="Times New Roman"/>
          <w:lang w:val="id-ID"/>
        </w:rPr>
      </w:pPr>
      <w:r w:rsidRPr="00363E3F">
        <w:rPr>
          <w:rFonts w:ascii="Times New Roman" w:hAnsi="Times New Roman" w:cs="Times New Roman"/>
          <w:lang w:val="id-ID"/>
        </w:rPr>
        <w:t xml:space="preserve">Rowe, R. Kerry. 2009. </w:t>
      </w:r>
      <w:r w:rsidRPr="00363E3F">
        <w:rPr>
          <w:rFonts w:ascii="Times New Roman" w:hAnsi="Times New Roman" w:cs="Times New Roman"/>
          <w:i/>
          <w:lang w:val="id-ID"/>
        </w:rPr>
        <w:t xml:space="preserve">Systems Engineering The Design and Operation of Municipal Solid waste Landfills to Minimize Contamination of Groundwater. </w:t>
      </w:r>
      <w:r w:rsidRPr="00363E3F">
        <w:rPr>
          <w:rFonts w:ascii="Times New Roman" w:hAnsi="Times New Roman" w:cs="Times New Roman"/>
          <w:lang w:val="id-ID"/>
        </w:rPr>
        <w:t>Symposium on Geoenviromental Engineering. Huangzhou, China.</w:t>
      </w:r>
    </w:p>
    <w:p w:rsidR="0018686B" w:rsidRPr="00363E3F" w:rsidRDefault="0018686B" w:rsidP="00554C0D">
      <w:pPr>
        <w:spacing w:line="240" w:lineRule="auto"/>
        <w:ind w:left="-11" w:firstLine="0"/>
        <w:rPr>
          <w:rFonts w:ascii="Times New Roman" w:hAnsi="Times New Roman" w:cs="Times New Roman"/>
          <w:b/>
          <w:lang w:val="id-ID"/>
        </w:rPr>
      </w:pPr>
    </w:p>
    <w:sectPr w:rsidR="0018686B" w:rsidRPr="00363E3F" w:rsidSect="001B4F64">
      <w:type w:val="continuous"/>
      <w:pgSz w:w="11906" w:h="16838"/>
      <w:pgMar w:top="1440" w:right="1440" w:bottom="1440" w:left="1440" w:header="709" w:footer="709" w:gutter="0"/>
      <w:cols w:num="2" w:space="282"/>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D2DC7"/>
    <w:multiLevelType w:val="hybridMultilevel"/>
    <w:tmpl w:val="211A2FD0"/>
    <w:lvl w:ilvl="0" w:tplc="AA6A2872">
      <w:start w:val="1"/>
      <w:numFmt w:val="decimal"/>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8F9306C"/>
    <w:multiLevelType w:val="hybridMultilevel"/>
    <w:tmpl w:val="BEB23646"/>
    <w:lvl w:ilvl="0" w:tplc="3C726950">
      <w:start w:val="1"/>
      <w:numFmt w:val="decimal"/>
      <w:pStyle w:val="NoSpacing"/>
      <w:lvlText w:val="5.%1"/>
      <w:lvlJc w:val="left"/>
      <w:pPr>
        <w:ind w:left="360" w:hanging="360"/>
      </w:pPr>
      <w:rPr>
        <w:rFonts w:hint="default"/>
      </w:rPr>
    </w:lvl>
    <w:lvl w:ilvl="1" w:tplc="04090019">
      <w:start w:val="1"/>
      <w:numFmt w:val="lowerLetter"/>
      <w:lvlText w:val="%2."/>
      <w:lvlJc w:val="left"/>
      <w:pPr>
        <w:ind w:left="2160" w:hanging="360"/>
      </w:pPr>
    </w:lvl>
    <w:lvl w:ilvl="2" w:tplc="04906FB4">
      <w:start w:val="1"/>
      <w:numFmt w:val="lowerLetter"/>
      <w:lvlText w:val="(%3)"/>
      <w:lvlJc w:val="left"/>
      <w:pPr>
        <w:ind w:left="3060" w:hanging="36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BB211BB"/>
    <w:multiLevelType w:val="hybridMultilevel"/>
    <w:tmpl w:val="B62AE5EA"/>
    <w:lvl w:ilvl="0" w:tplc="E342D882">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5FA0648"/>
    <w:multiLevelType w:val="hybridMultilevel"/>
    <w:tmpl w:val="B9BCED58"/>
    <w:lvl w:ilvl="0" w:tplc="CA84CD5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B295F57"/>
    <w:multiLevelType w:val="hybridMultilevel"/>
    <w:tmpl w:val="339C5996"/>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5EE7AF6"/>
    <w:multiLevelType w:val="hybridMultilevel"/>
    <w:tmpl w:val="0E08849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C2FF4"/>
    <w:rsid w:val="00087866"/>
    <w:rsid w:val="000A62B7"/>
    <w:rsid w:val="000B3AFA"/>
    <w:rsid w:val="000C6E2B"/>
    <w:rsid w:val="0011797A"/>
    <w:rsid w:val="00172CDC"/>
    <w:rsid w:val="0018686B"/>
    <w:rsid w:val="001A3383"/>
    <w:rsid w:val="001B4F64"/>
    <w:rsid w:val="00236BDC"/>
    <w:rsid w:val="002440C4"/>
    <w:rsid w:val="00261E8C"/>
    <w:rsid w:val="002C0975"/>
    <w:rsid w:val="00351D80"/>
    <w:rsid w:val="00363E3F"/>
    <w:rsid w:val="00376975"/>
    <w:rsid w:val="00446924"/>
    <w:rsid w:val="00537F2C"/>
    <w:rsid w:val="00554C0D"/>
    <w:rsid w:val="00572853"/>
    <w:rsid w:val="005A1F47"/>
    <w:rsid w:val="005A3FCE"/>
    <w:rsid w:val="005E202C"/>
    <w:rsid w:val="00621731"/>
    <w:rsid w:val="006C06D2"/>
    <w:rsid w:val="006D2C0F"/>
    <w:rsid w:val="00722B32"/>
    <w:rsid w:val="00785625"/>
    <w:rsid w:val="007C2007"/>
    <w:rsid w:val="007D514D"/>
    <w:rsid w:val="007F301C"/>
    <w:rsid w:val="00804C29"/>
    <w:rsid w:val="00810970"/>
    <w:rsid w:val="00866541"/>
    <w:rsid w:val="008A5594"/>
    <w:rsid w:val="008C3BE7"/>
    <w:rsid w:val="008E5313"/>
    <w:rsid w:val="00901815"/>
    <w:rsid w:val="00955EEF"/>
    <w:rsid w:val="009B5781"/>
    <w:rsid w:val="009D1CD4"/>
    <w:rsid w:val="00AD6734"/>
    <w:rsid w:val="00B53288"/>
    <w:rsid w:val="00BB4F6A"/>
    <w:rsid w:val="00BC35AA"/>
    <w:rsid w:val="00C266B2"/>
    <w:rsid w:val="00C80BAF"/>
    <w:rsid w:val="00CE02EF"/>
    <w:rsid w:val="00D46FFE"/>
    <w:rsid w:val="00DB30B1"/>
    <w:rsid w:val="00DC3036"/>
    <w:rsid w:val="00E53105"/>
    <w:rsid w:val="00E73958"/>
    <w:rsid w:val="00E86343"/>
    <w:rsid w:val="00EC2FF4"/>
    <w:rsid w:val="00F01FE6"/>
    <w:rsid w:val="00F50531"/>
    <w:rsid w:val="00FA3625"/>
    <w:rsid w:val="00FE0863"/>
    <w:rsid w:val="00FE5A7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FF4"/>
    <w:pPr>
      <w:spacing w:after="0" w:line="360" w:lineRule="auto"/>
      <w:ind w:firstLine="720"/>
      <w:jc w:val="both"/>
    </w:pPr>
    <w:rPr>
      <w:lang w:val="en-US"/>
    </w:rPr>
  </w:style>
  <w:style w:type="paragraph" w:styleId="Heading1">
    <w:name w:val="heading 1"/>
    <w:basedOn w:val="Normal"/>
    <w:next w:val="Normal"/>
    <w:link w:val="Heading1Char"/>
    <w:uiPriority w:val="9"/>
    <w:qFormat/>
    <w:rsid w:val="001A3383"/>
    <w:pPr>
      <w:keepNext/>
      <w:keepLines/>
      <w:ind w:firstLine="0"/>
      <w:outlineLvl w:val="0"/>
    </w:pPr>
    <w:rPr>
      <w:rFonts w:ascii="Times New Roman" w:eastAsiaTheme="majorEastAsia" w:hAnsi="Times New Roman" w:cstheme="majorBidi"/>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853"/>
    <w:pPr>
      <w:ind w:left="720"/>
      <w:contextualSpacing/>
    </w:pPr>
  </w:style>
  <w:style w:type="character" w:customStyle="1" w:styleId="Heading1Char">
    <w:name w:val="Heading 1 Char"/>
    <w:basedOn w:val="DefaultParagraphFont"/>
    <w:link w:val="Heading1"/>
    <w:uiPriority w:val="9"/>
    <w:rsid w:val="001A3383"/>
    <w:rPr>
      <w:rFonts w:ascii="Times New Roman" w:eastAsiaTheme="majorEastAsia" w:hAnsi="Times New Roman" w:cstheme="majorBidi"/>
      <w:bCs/>
      <w:sz w:val="24"/>
      <w:szCs w:val="28"/>
      <w:lang w:val="en-US"/>
    </w:rPr>
  </w:style>
  <w:style w:type="paragraph" w:styleId="NoSpacing">
    <w:name w:val="No Spacing"/>
    <w:aliases w:val="1"/>
    <w:uiPriority w:val="1"/>
    <w:qFormat/>
    <w:rsid w:val="00236BDC"/>
    <w:pPr>
      <w:numPr>
        <w:numId w:val="3"/>
      </w:numPr>
      <w:spacing w:after="0" w:line="360" w:lineRule="auto"/>
      <w:jc w:val="both"/>
    </w:pPr>
    <w:rPr>
      <w:rFonts w:ascii="Times New Roman" w:eastAsiaTheme="majorEastAsia" w:hAnsi="Times New Roman" w:cstheme="majorBidi"/>
      <w:b/>
      <w:bCs/>
      <w:szCs w:val="28"/>
      <w:lang w:val="en-US"/>
    </w:rPr>
  </w:style>
  <w:style w:type="table" w:styleId="LightList-Accent5">
    <w:name w:val="Light List Accent 5"/>
    <w:basedOn w:val="TableNormal"/>
    <w:uiPriority w:val="61"/>
    <w:rsid w:val="00FA3625"/>
    <w:pPr>
      <w:spacing w:after="0" w:line="240" w:lineRule="auto"/>
      <w:ind w:firstLine="720"/>
      <w:jc w:val="both"/>
    </w:pPr>
    <w:rPr>
      <w:lang w:val="en-U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BalloonText">
    <w:name w:val="Balloon Text"/>
    <w:basedOn w:val="Normal"/>
    <w:link w:val="BalloonTextChar"/>
    <w:uiPriority w:val="99"/>
    <w:semiHidden/>
    <w:unhideWhenUsed/>
    <w:rsid w:val="00804C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C29"/>
    <w:rPr>
      <w:rFonts w:ascii="Tahoma" w:hAnsi="Tahoma" w:cs="Tahoma"/>
      <w:sz w:val="16"/>
      <w:szCs w:val="16"/>
      <w:lang w:val="en-US"/>
    </w:rPr>
  </w:style>
  <w:style w:type="table" w:styleId="MediumShading1-Accent6">
    <w:name w:val="Medium Shading 1 Accent 6"/>
    <w:basedOn w:val="TableNormal"/>
    <w:uiPriority w:val="63"/>
    <w:rsid w:val="007D514D"/>
    <w:pPr>
      <w:spacing w:after="0" w:line="240" w:lineRule="auto"/>
      <w:ind w:firstLine="720"/>
      <w:jc w:val="both"/>
    </w:pPr>
    <w:rPr>
      <w:lang w:val="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Footer">
    <w:name w:val="footer"/>
    <w:basedOn w:val="Normal"/>
    <w:link w:val="FooterChar"/>
    <w:uiPriority w:val="99"/>
    <w:semiHidden/>
    <w:unhideWhenUsed/>
    <w:rsid w:val="0011797A"/>
    <w:pPr>
      <w:tabs>
        <w:tab w:val="center" w:pos="4680"/>
        <w:tab w:val="right" w:pos="9360"/>
      </w:tabs>
      <w:spacing w:line="240" w:lineRule="auto"/>
    </w:pPr>
    <w:rPr>
      <w:rFonts w:ascii="Times New Roman" w:hAnsi="Times New Roman"/>
      <w:sz w:val="24"/>
    </w:rPr>
  </w:style>
  <w:style w:type="character" w:customStyle="1" w:styleId="FooterChar">
    <w:name w:val="Footer Char"/>
    <w:basedOn w:val="DefaultParagraphFont"/>
    <w:link w:val="Footer"/>
    <w:uiPriority w:val="99"/>
    <w:semiHidden/>
    <w:rsid w:val="0011797A"/>
    <w:rPr>
      <w:rFonts w:ascii="Times New Roman" w:hAnsi="Times New Roman"/>
      <w:sz w:val="24"/>
      <w:lang w:val="en-US"/>
    </w:rPr>
  </w:style>
  <w:style w:type="table" w:styleId="LightShading-Accent6">
    <w:name w:val="Light Shading Accent 6"/>
    <w:basedOn w:val="TableNormal"/>
    <w:uiPriority w:val="60"/>
    <w:rsid w:val="00E73958"/>
    <w:pPr>
      <w:spacing w:after="0" w:line="240" w:lineRule="auto"/>
      <w:ind w:firstLine="720"/>
      <w:jc w:val="both"/>
    </w:pPr>
    <w:rPr>
      <w:color w:val="E36C0A" w:themeColor="accent6" w:themeShade="BF"/>
      <w:lang w:val="en-U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Shading1-Accent3">
    <w:name w:val="Medium Shading 1 Accent 3"/>
    <w:basedOn w:val="TableNormal"/>
    <w:uiPriority w:val="63"/>
    <w:rsid w:val="00E73958"/>
    <w:pPr>
      <w:spacing w:after="0" w:line="240" w:lineRule="auto"/>
      <w:ind w:firstLine="720"/>
      <w:jc w:val="both"/>
    </w:pPr>
    <w:rPr>
      <w:lang w:val="en-US"/>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TA\laporan%20TA\presentas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TA\laporan%20TA\presenta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18293094673116592"/>
          <c:y val="0.13538814884090236"/>
          <c:w val="0.75380523925365073"/>
          <c:h val="0.619588024411592"/>
        </c:manualLayout>
      </c:layout>
      <c:lineChart>
        <c:grouping val="standard"/>
        <c:ser>
          <c:idx val="1"/>
          <c:order val="0"/>
          <c:tx>
            <c:strRef>
              <c:f>'15 thn'!$D$1:$D$2</c:f>
              <c:strCache>
                <c:ptCount val="1"/>
                <c:pt idx="0">
                  <c:v>Selisih Konsentrasi</c:v>
                </c:pt>
              </c:strCache>
            </c:strRef>
          </c:tx>
          <c:spPr>
            <a:ln w="31750">
              <a:solidFill>
                <a:srgbClr val="00B050"/>
              </a:solidFill>
            </a:ln>
          </c:spPr>
          <c:marker>
            <c:symbol val="circle"/>
            <c:size val="3"/>
            <c:spPr>
              <a:solidFill>
                <a:srgbClr val="92D050"/>
              </a:solidFill>
              <a:ln>
                <a:solidFill>
                  <a:srgbClr val="92D050"/>
                </a:solidFill>
              </a:ln>
            </c:spPr>
          </c:marker>
          <c:cat>
            <c:numRef>
              <c:f>'15 thn'!$F$4:$F$17</c:f>
              <c:numCache>
                <c:formatCode>General</c:formatCode>
                <c:ptCount val="14"/>
                <c:pt idx="0">
                  <c:v>2</c:v>
                </c:pt>
                <c:pt idx="1">
                  <c:v>3</c:v>
                </c:pt>
                <c:pt idx="2">
                  <c:v>4</c:v>
                </c:pt>
                <c:pt idx="3">
                  <c:v>5</c:v>
                </c:pt>
                <c:pt idx="4">
                  <c:v>6</c:v>
                </c:pt>
                <c:pt idx="5">
                  <c:v>7</c:v>
                </c:pt>
                <c:pt idx="6">
                  <c:v>8</c:v>
                </c:pt>
                <c:pt idx="7">
                  <c:v>9</c:v>
                </c:pt>
                <c:pt idx="8">
                  <c:v>10</c:v>
                </c:pt>
                <c:pt idx="9">
                  <c:v>11</c:v>
                </c:pt>
                <c:pt idx="10">
                  <c:v>12</c:v>
                </c:pt>
                <c:pt idx="11">
                  <c:v>13</c:v>
                </c:pt>
                <c:pt idx="12">
                  <c:v>14</c:v>
                </c:pt>
                <c:pt idx="13">
                  <c:v>15</c:v>
                </c:pt>
              </c:numCache>
            </c:numRef>
          </c:cat>
          <c:val>
            <c:numRef>
              <c:f>'15 thn'!$D$4:$D$17</c:f>
              <c:numCache>
                <c:formatCode>General</c:formatCode>
                <c:ptCount val="14"/>
                <c:pt idx="0">
                  <c:v>9.9100000000000037</c:v>
                </c:pt>
                <c:pt idx="1">
                  <c:v>4.9499999999999904</c:v>
                </c:pt>
                <c:pt idx="2">
                  <c:v>3.1200000000000045</c:v>
                </c:pt>
                <c:pt idx="3">
                  <c:v>2.1899999999999982</c:v>
                </c:pt>
                <c:pt idx="4">
                  <c:v>1.6599999999999908</c:v>
                </c:pt>
                <c:pt idx="5">
                  <c:v>1.300000000000012</c:v>
                </c:pt>
                <c:pt idx="6">
                  <c:v>1.0599999999999814</c:v>
                </c:pt>
                <c:pt idx="7">
                  <c:v>0.89000000000000101</c:v>
                </c:pt>
                <c:pt idx="8">
                  <c:v>0.760000000000008</c:v>
                </c:pt>
                <c:pt idx="9">
                  <c:v>0.65000000000000846</c:v>
                </c:pt>
                <c:pt idx="10">
                  <c:v>0.56999999999999362</c:v>
                </c:pt>
                <c:pt idx="11">
                  <c:v>0.51000000000000512</c:v>
                </c:pt>
                <c:pt idx="12">
                  <c:v>0.45000000000000284</c:v>
                </c:pt>
                <c:pt idx="13">
                  <c:v>0.40999999999999848</c:v>
                </c:pt>
              </c:numCache>
            </c:numRef>
          </c:val>
        </c:ser>
        <c:marker val="1"/>
        <c:axId val="56355456"/>
        <c:axId val="56779520"/>
      </c:lineChart>
      <c:catAx>
        <c:axId val="56355456"/>
        <c:scaling>
          <c:orientation val="minMax"/>
        </c:scaling>
        <c:axPos val="b"/>
        <c:numFmt formatCode="General" sourceLinked="1"/>
        <c:majorTickMark val="none"/>
        <c:tickLblPos val="nextTo"/>
        <c:txPr>
          <a:bodyPr/>
          <a:lstStyle/>
          <a:p>
            <a:pPr>
              <a:defRPr sz="700">
                <a:latin typeface="Times New Roman" pitchFamily="18" charset="0"/>
                <a:cs typeface="Times New Roman" pitchFamily="18" charset="0"/>
              </a:defRPr>
            </a:pPr>
            <a:endParaRPr lang="id-ID"/>
          </a:p>
        </c:txPr>
        <c:crossAx val="56779520"/>
        <c:crosses val="autoZero"/>
        <c:auto val="1"/>
        <c:lblAlgn val="ctr"/>
        <c:lblOffset val="100"/>
      </c:catAx>
      <c:valAx>
        <c:axId val="56779520"/>
        <c:scaling>
          <c:orientation val="minMax"/>
        </c:scaling>
        <c:axPos val="l"/>
        <c:majorGridlines/>
        <c:title>
          <c:tx>
            <c:rich>
              <a:bodyPr/>
              <a:lstStyle/>
              <a:p>
                <a:pPr>
                  <a:defRPr sz="700" b="0">
                    <a:latin typeface="Times New Roman" pitchFamily="18" charset="0"/>
                    <a:cs typeface="Times New Roman" pitchFamily="18" charset="0"/>
                  </a:defRPr>
                </a:pPr>
                <a:r>
                  <a:rPr lang="id-ID" sz="700" b="0">
                    <a:latin typeface="Times New Roman" pitchFamily="18" charset="0"/>
                    <a:cs typeface="Times New Roman" pitchFamily="18" charset="0"/>
                  </a:rPr>
                  <a:t>Selisih Konsentrasi</a:t>
                </a:r>
              </a:p>
            </c:rich>
          </c:tx>
        </c:title>
        <c:numFmt formatCode="General" sourceLinked="1"/>
        <c:majorTickMark val="none"/>
        <c:tickLblPos val="nextTo"/>
        <c:txPr>
          <a:bodyPr/>
          <a:lstStyle/>
          <a:p>
            <a:pPr>
              <a:defRPr sz="700">
                <a:latin typeface="Times New Roman" pitchFamily="18" charset="0"/>
                <a:cs typeface="Times New Roman" pitchFamily="18" charset="0"/>
              </a:defRPr>
            </a:pPr>
            <a:endParaRPr lang="id-ID"/>
          </a:p>
        </c:txPr>
        <c:crossAx val="56355456"/>
        <c:crosses val="autoZero"/>
        <c:crossBetween val="between"/>
        <c:majorUnit val="2.5"/>
      </c:valAx>
    </c:plotArea>
    <c:legend>
      <c:legendPos val="b"/>
      <c:layout>
        <c:manualLayout>
          <c:xMode val="edge"/>
          <c:yMode val="edge"/>
          <c:x val="0.25257255256955252"/>
          <c:y val="0.88856188725609153"/>
          <c:w val="0.49485456876727768"/>
          <c:h val="0.11143811274390868"/>
        </c:manualLayout>
      </c:layout>
      <c:spPr>
        <a:noFill/>
        <a:ln>
          <a:noFill/>
        </a:ln>
      </c:spPr>
      <c:txPr>
        <a:bodyPr/>
        <a:lstStyle/>
        <a:p>
          <a:pPr>
            <a:defRPr sz="700"/>
          </a:pPr>
          <a:endParaRPr lang="id-ID"/>
        </a:p>
      </c:txPr>
    </c:legend>
    <c:plotVisOnly val="1"/>
  </c:chart>
  <c:spPr>
    <a:solidFill>
      <a:schemeClr val="accent5">
        <a:lumMod val="20000"/>
        <a:lumOff val="80000"/>
      </a:schemeClr>
    </a:soli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manualLayout>
          <c:layoutTarget val="inner"/>
          <c:xMode val="edge"/>
          <c:yMode val="edge"/>
          <c:x val="0.20970771760682894"/>
          <c:y val="0.14397012873390821"/>
          <c:w val="0.71929122071877283"/>
          <c:h val="0.63913448318960142"/>
        </c:manualLayout>
      </c:layout>
      <c:lineChart>
        <c:grouping val="standard"/>
        <c:ser>
          <c:idx val="1"/>
          <c:order val="0"/>
          <c:tx>
            <c:strRef>
              <c:f>'15 thn'!$D$21:$D$22</c:f>
              <c:strCache>
                <c:ptCount val="1"/>
                <c:pt idx="0">
                  <c:v>Selisih Konsentrasi</c:v>
                </c:pt>
              </c:strCache>
            </c:strRef>
          </c:tx>
          <c:spPr>
            <a:ln>
              <a:solidFill>
                <a:srgbClr val="7030A0"/>
              </a:solidFill>
            </a:ln>
          </c:spPr>
          <c:marker>
            <c:symbol val="circle"/>
            <c:size val="3"/>
            <c:spPr>
              <a:solidFill>
                <a:schemeClr val="accent4">
                  <a:lumMod val="60000"/>
                  <a:lumOff val="40000"/>
                </a:schemeClr>
              </a:solidFill>
              <a:ln>
                <a:solidFill>
                  <a:schemeClr val="accent4">
                    <a:lumMod val="60000"/>
                    <a:lumOff val="40000"/>
                  </a:schemeClr>
                </a:solidFill>
              </a:ln>
            </c:spPr>
          </c:marker>
          <c:cat>
            <c:numRef>
              <c:f>'15 thn'!$F$24:$F$37</c:f>
              <c:numCache>
                <c:formatCode>General</c:formatCode>
                <c:ptCount val="14"/>
                <c:pt idx="0">
                  <c:v>2</c:v>
                </c:pt>
                <c:pt idx="1">
                  <c:v>3</c:v>
                </c:pt>
                <c:pt idx="2">
                  <c:v>4</c:v>
                </c:pt>
                <c:pt idx="3">
                  <c:v>5</c:v>
                </c:pt>
                <c:pt idx="4">
                  <c:v>6</c:v>
                </c:pt>
                <c:pt idx="5">
                  <c:v>7</c:v>
                </c:pt>
                <c:pt idx="6">
                  <c:v>8</c:v>
                </c:pt>
                <c:pt idx="7">
                  <c:v>9</c:v>
                </c:pt>
                <c:pt idx="8">
                  <c:v>10</c:v>
                </c:pt>
                <c:pt idx="9">
                  <c:v>11</c:v>
                </c:pt>
                <c:pt idx="10">
                  <c:v>12</c:v>
                </c:pt>
                <c:pt idx="11">
                  <c:v>13</c:v>
                </c:pt>
                <c:pt idx="12">
                  <c:v>14</c:v>
                </c:pt>
                <c:pt idx="13">
                  <c:v>15</c:v>
                </c:pt>
              </c:numCache>
            </c:numRef>
          </c:cat>
          <c:val>
            <c:numRef>
              <c:f>'15 thn'!$D$24:$D$37</c:f>
              <c:numCache>
                <c:formatCode>General</c:formatCode>
                <c:ptCount val="14"/>
                <c:pt idx="0">
                  <c:v>5.3300000000000014E-2</c:v>
                </c:pt>
                <c:pt idx="1">
                  <c:v>2.6200000000000011E-2</c:v>
                </c:pt>
                <c:pt idx="2">
                  <c:v>1.6299999999999978E-2</c:v>
                </c:pt>
                <c:pt idx="3">
                  <c:v>1.1400000000000087E-2</c:v>
                </c:pt>
                <c:pt idx="4">
                  <c:v>8.6000000000000208E-3</c:v>
                </c:pt>
                <c:pt idx="5">
                  <c:v>6.8000000000000022E-3</c:v>
                </c:pt>
                <c:pt idx="6">
                  <c:v>5.5000000000000292E-3</c:v>
                </c:pt>
                <c:pt idx="7">
                  <c:v>4.5000000000000083E-3</c:v>
                </c:pt>
                <c:pt idx="8">
                  <c:v>3.9000000000000289E-3</c:v>
                </c:pt>
                <c:pt idx="9">
                  <c:v>3.3999999999999586E-3</c:v>
                </c:pt>
                <c:pt idx="10">
                  <c:v>2.9000000000000202E-3</c:v>
                </c:pt>
                <c:pt idx="11">
                  <c:v>2.6000000000000606E-3</c:v>
                </c:pt>
                <c:pt idx="12">
                  <c:v>2.2999999999999692E-3</c:v>
                </c:pt>
                <c:pt idx="13">
                  <c:v>2.0999999999999912E-3</c:v>
                </c:pt>
              </c:numCache>
            </c:numRef>
          </c:val>
        </c:ser>
        <c:marker val="1"/>
        <c:axId val="64843776"/>
        <c:axId val="64845696"/>
      </c:lineChart>
      <c:catAx>
        <c:axId val="64843776"/>
        <c:scaling>
          <c:orientation val="minMax"/>
        </c:scaling>
        <c:axPos val="b"/>
        <c:numFmt formatCode="General" sourceLinked="1"/>
        <c:majorTickMark val="none"/>
        <c:tickLblPos val="nextTo"/>
        <c:txPr>
          <a:bodyPr/>
          <a:lstStyle/>
          <a:p>
            <a:pPr>
              <a:defRPr sz="700"/>
            </a:pPr>
            <a:endParaRPr lang="id-ID"/>
          </a:p>
        </c:txPr>
        <c:crossAx val="64845696"/>
        <c:crosses val="autoZero"/>
        <c:auto val="1"/>
        <c:lblAlgn val="ctr"/>
        <c:lblOffset val="100"/>
      </c:catAx>
      <c:valAx>
        <c:axId val="64845696"/>
        <c:scaling>
          <c:orientation val="minMax"/>
        </c:scaling>
        <c:axPos val="l"/>
        <c:majorGridlines/>
        <c:title>
          <c:tx>
            <c:rich>
              <a:bodyPr/>
              <a:lstStyle/>
              <a:p>
                <a:pPr>
                  <a:defRPr sz="700" b="0">
                    <a:latin typeface="Times New Roman" pitchFamily="18" charset="0"/>
                    <a:cs typeface="Times New Roman" pitchFamily="18" charset="0"/>
                  </a:defRPr>
                </a:pPr>
                <a:r>
                  <a:rPr lang="id-ID" sz="700" b="0">
                    <a:latin typeface="Times New Roman" pitchFamily="18" charset="0"/>
                    <a:cs typeface="Times New Roman" pitchFamily="18" charset="0"/>
                  </a:rPr>
                  <a:t>Selisih</a:t>
                </a:r>
                <a:r>
                  <a:rPr lang="id-ID" sz="700" b="0" baseline="0">
                    <a:latin typeface="Times New Roman" pitchFamily="18" charset="0"/>
                    <a:cs typeface="Times New Roman" pitchFamily="18" charset="0"/>
                  </a:rPr>
                  <a:t> Konsentrasi</a:t>
                </a:r>
                <a:endParaRPr lang="id-ID" sz="700" b="0">
                  <a:latin typeface="Times New Roman" pitchFamily="18" charset="0"/>
                  <a:cs typeface="Times New Roman" pitchFamily="18" charset="0"/>
                </a:endParaRPr>
              </a:p>
            </c:rich>
          </c:tx>
        </c:title>
        <c:numFmt formatCode="General" sourceLinked="1"/>
        <c:majorTickMark val="none"/>
        <c:tickLblPos val="nextTo"/>
        <c:txPr>
          <a:bodyPr/>
          <a:lstStyle/>
          <a:p>
            <a:pPr>
              <a:defRPr sz="700"/>
            </a:pPr>
            <a:endParaRPr lang="id-ID"/>
          </a:p>
        </c:txPr>
        <c:crossAx val="64843776"/>
        <c:crosses val="autoZero"/>
        <c:crossBetween val="between"/>
        <c:majorUnit val="1.0000000000000005E-2"/>
      </c:valAx>
    </c:plotArea>
    <c:legend>
      <c:legendPos val="b"/>
      <c:layout>
        <c:manualLayout>
          <c:xMode val="edge"/>
          <c:yMode val="edge"/>
          <c:x val="0.23726394367162912"/>
          <c:y val="0.88314471700426966"/>
          <c:w val="0.52547211265674332"/>
          <c:h val="0.11685528299573039"/>
        </c:manualLayout>
      </c:layout>
      <c:txPr>
        <a:bodyPr/>
        <a:lstStyle/>
        <a:p>
          <a:pPr>
            <a:defRPr sz="700">
              <a:latin typeface="Times New Roman" pitchFamily="18" charset="0"/>
              <a:cs typeface="Times New Roman" pitchFamily="18" charset="0"/>
            </a:defRPr>
          </a:pPr>
          <a:endParaRPr lang="id-ID"/>
        </a:p>
      </c:txPr>
    </c:legend>
    <c:plotVisOnly val="1"/>
  </c:chart>
  <c:spPr>
    <a:solidFill>
      <a:srgbClr val="4BACC6">
        <a:lumMod val="20000"/>
        <a:lumOff val="80000"/>
      </a:srgb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95E58-FEE9-467C-B18C-417D08154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2731</Words>
  <Characters>15570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5</cp:revision>
  <cp:lastPrinted>2013-09-09T00:49:00Z</cp:lastPrinted>
  <dcterms:created xsi:type="dcterms:W3CDTF">2013-09-29T22:56:00Z</dcterms:created>
  <dcterms:modified xsi:type="dcterms:W3CDTF">2013-10-07T04:38:00Z</dcterms:modified>
</cp:coreProperties>
</file>