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04" w:rsidRPr="00171423" w:rsidRDefault="00027504" w:rsidP="00027504">
      <w:pPr>
        <w:numPr>
          <w:ilvl w:val="2"/>
          <w:numId w:val="26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Ruang Lingkup Lokasi</w:t>
      </w:r>
    </w:p>
    <w:p w:rsidR="00027504" w:rsidRPr="00171423" w:rsidRDefault="00027504" w:rsidP="00027504">
      <w:pPr>
        <w:tabs>
          <w:tab w:val="left" w:pos="720"/>
        </w:tabs>
        <w:spacing w:after="0" w:line="480" w:lineRule="auto"/>
        <w:ind w:left="720" w:firstLine="69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Lokasi pada penelitian ini adalah wilayah kerja Dinas Kesehatan Kabupeten Jepara.</w:t>
      </w:r>
    </w:p>
    <w:p w:rsidR="00027504" w:rsidRPr="00171423" w:rsidRDefault="00027504" w:rsidP="00027504">
      <w:pPr>
        <w:numPr>
          <w:ilvl w:val="2"/>
          <w:numId w:val="26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Ruang Lingkup Waktu</w:t>
      </w:r>
    </w:p>
    <w:p w:rsidR="00027504" w:rsidRPr="00171423" w:rsidRDefault="00027504" w:rsidP="00027504">
      <w:pPr>
        <w:spacing w:after="0" w:line="480" w:lineRule="auto"/>
        <w:ind w:left="720" w:firstLine="69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 xml:space="preserve">Penelitian ini dilakukan pada tahun 2011 dengan </w:t>
      </w:r>
      <w:r>
        <w:rPr>
          <w:rFonts w:ascii="Arial" w:hAnsi="Arial" w:cs="Arial"/>
        </w:rPr>
        <w:t xml:space="preserve">menjelaskan </w:t>
      </w:r>
      <w:r w:rsidRPr="00171423">
        <w:rPr>
          <w:rFonts w:ascii="Arial" w:hAnsi="Arial" w:cs="Arial"/>
        </w:rPr>
        <w:t xml:space="preserve">penerapan implementasi kebijakan Pemberantasan Sarang Nyamuk di wilayah kerja Dinas Kesehatan Kabupaten Jepara tahun 2010. Direncanakan mulai bulan November 2010 sampai dengan </w:t>
      </w:r>
      <w:r>
        <w:rPr>
          <w:rFonts w:ascii="Arial" w:hAnsi="Arial" w:cs="Arial"/>
        </w:rPr>
        <w:t>Maret</w:t>
      </w:r>
      <w:r w:rsidRPr="00171423">
        <w:rPr>
          <w:rFonts w:ascii="Arial" w:hAnsi="Arial" w:cs="Arial"/>
        </w:rPr>
        <w:t xml:space="preserve"> 2011.</w:t>
      </w:r>
    </w:p>
    <w:p w:rsidR="00027504" w:rsidRPr="00171423" w:rsidRDefault="00027504" w:rsidP="00027504">
      <w:pPr>
        <w:numPr>
          <w:ilvl w:val="2"/>
          <w:numId w:val="26"/>
        </w:numPr>
        <w:spacing w:after="0" w:line="480" w:lineRule="auto"/>
        <w:ind w:left="709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Ruang Lingkup Metode</w:t>
      </w:r>
    </w:p>
    <w:p w:rsidR="00027504" w:rsidRPr="00171423" w:rsidRDefault="00027504" w:rsidP="00027504">
      <w:pPr>
        <w:spacing w:after="0" w:line="480" w:lineRule="auto"/>
        <w:ind w:left="720" w:firstLine="69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Metode yang digunakan adalah metode kualitatif.</w:t>
      </w:r>
    </w:p>
    <w:p w:rsidR="00027504" w:rsidRPr="00171423" w:rsidRDefault="00027504" w:rsidP="00027504">
      <w:pPr>
        <w:spacing w:after="0" w:line="480" w:lineRule="auto"/>
        <w:ind w:left="720" w:firstLine="840"/>
        <w:jc w:val="both"/>
        <w:rPr>
          <w:rFonts w:ascii="Arial" w:hAnsi="Arial" w:cs="Arial"/>
        </w:rPr>
      </w:pPr>
    </w:p>
    <w:p w:rsidR="00027504" w:rsidRPr="00171423" w:rsidRDefault="00027504" w:rsidP="00027504">
      <w:pPr>
        <w:numPr>
          <w:ilvl w:val="0"/>
          <w:numId w:val="27"/>
        </w:numPr>
        <w:spacing w:after="0" w:line="480" w:lineRule="auto"/>
        <w:ind w:left="360"/>
        <w:jc w:val="both"/>
        <w:rPr>
          <w:rFonts w:ascii="Arial" w:hAnsi="Arial" w:cs="Arial"/>
          <w:b/>
        </w:rPr>
      </w:pPr>
      <w:r w:rsidRPr="00171423">
        <w:rPr>
          <w:rFonts w:ascii="Arial" w:hAnsi="Arial" w:cs="Arial"/>
          <w:b/>
        </w:rPr>
        <w:t>Keaslian Penelitian</w:t>
      </w:r>
    </w:p>
    <w:p w:rsidR="00027504" w:rsidRPr="00171423" w:rsidRDefault="00027504" w:rsidP="00027504">
      <w:pPr>
        <w:spacing w:after="0" w:line="480" w:lineRule="auto"/>
        <w:ind w:left="426" w:firstLine="70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>Penelitian ini difokuskan pada Implementasi Kebijakan Pemberantasan Sarang Nyamuk (PSN) Dalam Upaya Pengendalian</w:t>
      </w:r>
      <w:r>
        <w:rPr>
          <w:rFonts w:ascii="Arial" w:hAnsi="Arial" w:cs="Arial"/>
        </w:rPr>
        <w:t xml:space="preserve"> Demam Berdarah Dengue (DBD) di</w:t>
      </w:r>
      <w:r w:rsidRPr="00171423">
        <w:rPr>
          <w:rFonts w:ascii="Arial" w:hAnsi="Arial" w:cs="Arial"/>
        </w:rPr>
        <w:t xml:space="preserve"> wilayah kerja Dinas Kesehatan Kabupaten Jepara Tahun 2010. Penelitian tentang implementasi kebijakan PSN di Kabupaten Jepara belum pernah dilaksanakan.</w:t>
      </w:r>
    </w:p>
    <w:p w:rsidR="00027504" w:rsidRDefault="00027504" w:rsidP="00027504">
      <w:pPr>
        <w:spacing w:after="0" w:line="480" w:lineRule="auto"/>
        <w:ind w:left="426" w:firstLine="708"/>
        <w:jc w:val="both"/>
        <w:rPr>
          <w:rFonts w:ascii="Arial" w:hAnsi="Arial" w:cs="Arial"/>
          <w:lang w:val="id-ID"/>
        </w:rPr>
      </w:pPr>
      <w:r w:rsidRPr="00171423">
        <w:rPr>
          <w:rFonts w:ascii="Arial" w:hAnsi="Arial" w:cs="Arial"/>
        </w:rPr>
        <w:t>Ada penelitian serupa yang pernah dilaksanakan, namun perbedaan dengan pen</w:t>
      </w:r>
      <w:r>
        <w:rPr>
          <w:rFonts w:ascii="Arial" w:hAnsi="Arial" w:cs="Arial"/>
        </w:rPr>
        <w:t>elitian ini dapat dilihat pada T</w:t>
      </w:r>
      <w:r w:rsidRPr="00171423">
        <w:rPr>
          <w:rFonts w:ascii="Arial" w:hAnsi="Arial" w:cs="Arial"/>
        </w:rPr>
        <w:t xml:space="preserve">abel </w:t>
      </w:r>
      <w:r>
        <w:rPr>
          <w:rFonts w:ascii="Arial" w:hAnsi="Arial" w:cs="Arial"/>
        </w:rPr>
        <w:t xml:space="preserve">1.2 </w:t>
      </w:r>
      <w:r w:rsidRPr="00171423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 xml:space="preserve">                                                         </w:t>
      </w:r>
    </w:p>
    <w:p w:rsidR="00027504" w:rsidRPr="00171423" w:rsidRDefault="00027504" w:rsidP="0002750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Tabel 1.2</w:t>
      </w:r>
    </w:p>
    <w:p w:rsidR="00027504" w:rsidRPr="0078287A" w:rsidRDefault="00027504" w:rsidP="00027504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171423">
        <w:rPr>
          <w:rFonts w:ascii="Arial" w:hAnsi="Arial" w:cs="Arial"/>
        </w:rPr>
        <w:t>Perbedaan Penelit</w:t>
      </w:r>
      <w:r>
        <w:rPr>
          <w:rFonts w:ascii="Arial" w:hAnsi="Arial" w:cs="Arial"/>
        </w:rPr>
        <w:t>ia</w:t>
      </w:r>
      <w:r>
        <w:rPr>
          <w:rFonts w:ascii="Arial" w:hAnsi="Arial" w:cs="Arial"/>
          <w:lang w:val="id-ID"/>
        </w:rPr>
        <w:t>n</w:t>
      </w: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9"/>
        <w:gridCol w:w="2268"/>
        <w:gridCol w:w="2977"/>
      </w:tblGrid>
      <w:tr w:rsidR="00027504" w:rsidRPr="00BB7E6A" w:rsidTr="005C4EC1">
        <w:trPr>
          <w:trHeight w:val="280"/>
        </w:trPr>
        <w:tc>
          <w:tcPr>
            <w:tcW w:w="425" w:type="dxa"/>
            <w:vAlign w:val="center"/>
          </w:tcPr>
          <w:p w:rsidR="00027504" w:rsidRPr="00BB7E6A" w:rsidRDefault="00027504" w:rsidP="005C4EC1">
            <w:pPr>
              <w:spacing w:after="0" w:line="240" w:lineRule="auto"/>
              <w:ind w:left="-90" w:right="-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6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59" w:type="dxa"/>
            <w:vAlign w:val="center"/>
          </w:tcPr>
          <w:p w:rsidR="00027504" w:rsidRPr="00BB7E6A" w:rsidRDefault="00027504" w:rsidP="005C4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Judul/</w:t>
            </w:r>
            <w:r w:rsidRPr="00BB7E6A">
              <w:rPr>
                <w:rFonts w:ascii="Arial" w:hAnsi="Arial" w:cs="Arial"/>
                <w:b/>
                <w:sz w:val="18"/>
                <w:szCs w:val="18"/>
              </w:rPr>
              <w:t>Peneli</w:t>
            </w:r>
            <w:r>
              <w:rPr>
                <w:rFonts w:ascii="Arial" w:hAnsi="Arial" w:cs="Arial"/>
                <w:b/>
                <w:sz w:val="18"/>
                <w:szCs w:val="18"/>
              </w:rPr>
              <w:t>ti/ Tahun</w:t>
            </w:r>
          </w:p>
        </w:tc>
        <w:tc>
          <w:tcPr>
            <w:tcW w:w="2268" w:type="dxa"/>
            <w:vAlign w:val="center"/>
          </w:tcPr>
          <w:p w:rsidR="00027504" w:rsidRPr="00BB7E6A" w:rsidRDefault="00027504" w:rsidP="005C4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6A">
              <w:rPr>
                <w:rFonts w:ascii="Arial" w:hAnsi="Arial" w:cs="Arial"/>
                <w:b/>
                <w:sz w:val="18"/>
                <w:szCs w:val="18"/>
              </w:rPr>
              <w:t>Rancangan Penelitian</w:t>
            </w:r>
          </w:p>
        </w:tc>
        <w:tc>
          <w:tcPr>
            <w:tcW w:w="2977" w:type="dxa"/>
            <w:vAlign w:val="center"/>
          </w:tcPr>
          <w:p w:rsidR="00027504" w:rsidRPr="00BB7E6A" w:rsidRDefault="00027504" w:rsidP="005C4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E6A">
              <w:rPr>
                <w:rFonts w:ascii="Arial" w:hAnsi="Arial" w:cs="Arial"/>
                <w:b/>
                <w:sz w:val="18"/>
                <w:szCs w:val="18"/>
              </w:rPr>
              <w:t>Hasil Penelitian</w:t>
            </w:r>
          </w:p>
        </w:tc>
      </w:tr>
      <w:tr w:rsidR="00027504" w:rsidRPr="00BB7E6A" w:rsidTr="005C4EC1">
        <w:tc>
          <w:tcPr>
            <w:tcW w:w="425" w:type="dxa"/>
          </w:tcPr>
          <w:p w:rsidR="00027504" w:rsidRPr="00BB7E6A" w:rsidRDefault="00027504" w:rsidP="005C4E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027504" w:rsidRPr="00BB7E6A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 xml:space="preserve">Studi kasus kinerja organisasi Dinkes Kota Semarang dalam pencegahan DBD dari perspektif proses internal &amp; perspektif </w:t>
            </w:r>
            <w:r w:rsidRPr="00BB7E6A">
              <w:rPr>
                <w:rFonts w:ascii="Arial" w:hAnsi="Arial" w:cs="Arial"/>
                <w:sz w:val="18"/>
                <w:szCs w:val="18"/>
              </w:rPr>
              <w:lastRenderedPageBreak/>
              <w:t>pembelajaran.</w:t>
            </w:r>
          </w:p>
          <w:p w:rsidR="00027504" w:rsidRPr="00BB7E6A" w:rsidRDefault="00027504" w:rsidP="005C4EC1">
            <w:pPr>
              <w:spacing w:after="0" w:line="240" w:lineRule="auto"/>
              <w:ind w:right="-166"/>
              <w:rPr>
                <w:rFonts w:ascii="Arial" w:hAnsi="Arial" w:cs="Arial"/>
                <w:bCs/>
                <w:sz w:val="18"/>
                <w:szCs w:val="18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>(Wiwik Trapsilo- wati</w:t>
            </w:r>
          </w:p>
          <w:p w:rsidR="00027504" w:rsidRPr="00BB7E6A" w:rsidRDefault="00027504" w:rsidP="005C4EC1">
            <w:pPr>
              <w:spacing w:after="0" w:line="240" w:lineRule="auto"/>
              <w:ind w:right="-166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 xml:space="preserve"> Tahun 2005)</w:t>
            </w:r>
          </w:p>
        </w:tc>
        <w:tc>
          <w:tcPr>
            <w:tcW w:w="2268" w:type="dxa"/>
          </w:tcPr>
          <w:p w:rsidR="00027504" w:rsidRPr="00BB7E6A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lastRenderedPageBreak/>
              <w:t xml:space="preserve">Deskriptif </w:t>
            </w:r>
            <w:r>
              <w:rPr>
                <w:rFonts w:ascii="Arial" w:hAnsi="Arial" w:cs="Arial"/>
                <w:sz w:val="18"/>
                <w:szCs w:val="18"/>
              </w:rPr>
              <w:t xml:space="preserve">Eksploratif </w:t>
            </w:r>
            <w:r w:rsidRPr="00BB7E6A">
              <w:rPr>
                <w:rFonts w:ascii="Arial" w:hAnsi="Arial" w:cs="Arial"/>
                <w:sz w:val="18"/>
                <w:szCs w:val="18"/>
              </w:rPr>
              <w:t>Studi Kualitatif.</w:t>
            </w:r>
          </w:p>
          <w:p w:rsidR="00027504" w:rsidRDefault="00027504" w:rsidP="005C4EC1">
            <w:pPr>
              <w:pStyle w:val="NoSpacing"/>
            </w:pPr>
            <w:r>
              <w:t>Variabel penelitian</w:t>
            </w:r>
          </w:p>
          <w:p w:rsidR="00027504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Proses internal :</w:t>
            </w:r>
          </w:p>
          <w:p w:rsidR="00027504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Pelaksanaan prosedur pelayanan, penanganan keluhan, program peningkatan mutu layanan berkelanjutan.</w:t>
            </w:r>
          </w:p>
          <w:p w:rsidR="00027504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Pembelajaran :</w:t>
            </w:r>
          </w:p>
          <w:p w:rsidR="00027504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Pelatihan dan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pembimbingan, pemberdayaan karyawan.</w:t>
            </w:r>
          </w:p>
          <w:p w:rsidR="00027504" w:rsidRPr="00BB7E6A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Kinerja DKK dalam pencegahan DBD.</w:t>
            </w:r>
          </w:p>
        </w:tc>
        <w:tc>
          <w:tcPr>
            <w:tcW w:w="2977" w:type="dxa"/>
          </w:tcPr>
          <w:p w:rsidR="00027504" w:rsidRPr="00697972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Kinerja Dinkes Kota Semarang dalam program pencegahan DBD sudah baik.</w:t>
            </w:r>
          </w:p>
          <w:p w:rsidR="00027504" w:rsidRPr="00697972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Transparansi dan akuntabilitas penyelenggaraan pelayanan publik dengan membentuk tim penanganan keluhan masyarakat.</w:t>
            </w:r>
          </w:p>
          <w:p w:rsidR="00027504" w:rsidRPr="00697972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Penggerakan PSN melalui kebijakan Kepala Dinas Kesehatan Kota dan Walikota.</w:t>
            </w:r>
          </w:p>
          <w:p w:rsidR="00027504" w:rsidRPr="00697972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Peningkatan profesionalisme petugas ditinjau setiap tahun.</w:t>
            </w:r>
          </w:p>
          <w:p w:rsidR="00027504" w:rsidRPr="00BB7E6A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Pelatihan formal petugas P2 DBD belum dilakukan.</w:t>
            </w:r>
          </w:p>
          <w:p w:rsidR="00027504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Pemberdayaan karyawan melalui pemberian tugas dan wewenang secara berjenjang.</w:t>
            </w:r>
          </w:p>
          <w:p w:rsidR="00027504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 pelaksanaan program P2 DBD dan SPM masih belum mencukupi, perlu diupayakan lebih lanjut untuk peningkatan program DBD pada waktu mendatang.</w:t>
            </w:r>
          </w:p>
          <w:p w:rsidR="00027504" w:rsidRPr="002F5D6F" w:rsidRDefault="00027504" w:rsidP="00027504">
            <w:pPr>
              <w:numPr>
                <w:ilvl w:val="0"/>
                <w:numId w:val="28"/>
              </w:numPr>
              <w:spacing w:after="0" w:line="240" w:lineRule="auto"/>
              <w:ind w:left="98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Indikator output program penanggulangan DBD kota Semarang tahun 2004 secara umum dapat tercapai.</w:t>
            </w:r>
          </w:p>
        </w:tc>
      </w:tr>
      <w:tr w:rsidR="00027504" w:rsidRPr="00697972" w:rsidTr="005C4EC1">
        <w:tc>
          <w:tcPr>
            <w:tcW w:w="425" w:type="dxa"/>
          </w:tcPr>
          <w:p w:rsidR="00027504" w:rsidRPr="00BB7E6A" w:rsidRDefault="00027504" w:rsidP="005C4E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9" w:type="dxa"/>
          </w:tcPr>
          <w:p w:rsidR="00027504" w:rsidRPr="00BB7E6A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Hubungan Sumber daya manusia terhadap kinerja Pokja DBD tingkat kelurahan di Kota Tasikmalaya.</w:t>
            </w:r>
          </w:p>
          <w:p w:rsidR="00027504" w:rsidRPr="00BB7E6A" w:rsidRDefault="00027504" w:rsidP="005C4EC1">
            <w:pPr>
              <w:spacing w:after="0" w:line="240" w:lineRule="auto"/>
              <w:ind w:hanging="4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>(Ida Siti Zubaedah</w:t>
            </w:r>
          </w:p>
          <w:p w:rsidR="00027504" w:rsidRPr="00BB7E6A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>Tahun 2007)</w:t>
            </w:r>
          </w:p>
        </w:tc>
        <w:tc>
          <w:tcPr>
            <w:tcW w:w="2268" w:type="dxa"/>
          </w:tcPr>
          <w:p w:rsidR="00027504" w:rsidRPr="00697972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fr-CH"/>
              </w:rPr>
              <w:t>Studi Kuantitatif dan Kualitatif.</w:t>
            </w:r>
          </w:p>
          <w:p w:rsidR="00027504" w:rsidRPr="00697972" w:rsidRDefault="00027504" w:rsidP="005C4EC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 w:rsidRPr="00697972">
              <w:rPr>
                <w:rFonts w:ascii="Arial" w:hAnsi="Arial" w:cs="Arial"/>
                <w:i/>
                <w:sz w:val="18"/>
                <w:szCs w:val="18"/>
                <w:lang w:val="fr-CH"/>
              </w:rPr>
              <w:t>Desain Crossectional</w:t>
            </w:r>
          </w:p>
          <w:p w:rsidR="00027504" w:rsidRPr="00697972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Variabel bebas : pengetahuan, beban kerja, motivasi, sikap, imbalan.</w:t>
            </w:r>
          </w:p>
          <w:p w:rsidR="00027504" w:rsidRPr="00697972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Variabel terikat : kinerja Pokja DBD.</w:t>
            </w:r>
          </w:p>
        </w:tc>
        <w:tc>
          <w:tcPr>
            <w:tcW w:w="2977" w:type="dxa"/>
          </w:tcPr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26" w:hanging="168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Ada hubungan antara pengetahuan dengan kinerja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26" w:hanging="168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Tidak ada hubungan antara persepsi, beban kerja dengan kinerja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26" w:hanging="168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Tidak ada hubungan antara persepsi, motivasi dengan kinerja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26" w:hanging="168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Tidak ada hubungan sikap dengan kinerja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26" w:hanging="168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Tidak ada hubungan antara persepsi, imbalan dengan kinerja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26" w:hanging="168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Hasil FGD: Pokja DBD mengetahui tentang DBD dari media massa, Pokja DBD sebagai tugas tambahan, motivasi tinggi karena harapan masyarakat sehat.</w:t>
            </w:r>
          </w:p>
        </w:tc>
      </w:tr>
      <w:tr w:rsidR="00027504" w:rsidRPr="00BB7E6A" w:rsidTr="005C4EC1">
        <w:tc>
          <w:tcPr>
            <w:tcW w:w="425" w:type="dxa"/>
          </w:tcPr>
          <w:p w:rsidR="00027504" w:rsidRPr="00BB7E6A" w:rsidRDefault="00027504" w:rsidP="005C4E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027504" w:rsidRPr="00BB7E6A" w:rsidRDefault="00027504" w:rsidP="005C4E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Analisis program pemberantasan DBD pada organisasi pelaksana dalam  rangka menyusun model struktur sistem sosial PSM di Kota Semarang.</w:t>
            </w:r>
          </w:p>
          <w:p w:rsidR="00027504" w:rsidRPr="00BB7E6A" w:rsidRDefault="00027504" w:rsidP="005C4EC1">
            <w:pPr>
              <w:spacing w:after="0" w:line="240" w:lineRule="auto"/>
              <w:ind w:hanging="4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>(Slamet Gunarto</w:t>
            </w:r>
          </w:p>
          <w:p w:rsidR="00027504" w:rsidRPr="00BB7E6A" w:rsidRDefault="00027504" w:rsidP="005C4E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>Tahun 2008)</w:t>
            </w:r>
          </w:p>
        </w:tc>
        <w:tc>
          <w:tcPr>
            <w:tcW w:w="2268" w:type="dxa"/>
          </w:tcPr>
          <w:p w:rsidR="00027504" w:rsidRPr="00BB7E6A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Deskriptif Studi Kualitatif.</w:t>
            </w:r>
          </w:p>
          <w:p w:rsidR="00027504" w:rsidRPr="00BB7E6A" w:rsidRDefault="00027504" w:rsidP="005C4EC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7E6A">
              <w:rPr>
                <w:rFonts w:ascii="Arial" w:hAnsi="Arial" w:cs="Arial"/>
                <w:i/>
                <w:sz w:val="18"/>
                <w:szCs w:val="18"/>
              </w:rPr>
              <w:t>Desain Crossectional</w:t>
            </w:r>
          </w:p>
          <w:p w:rsidR="00027504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Variabel penelitian :</w:t>
            </w:r>
          </w:p>
          <w:p w:rsidR="00027504" w:rsidRPr="00963A5F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Organisasi pelaksana program, pelaksanaan program, keadaan pemanfaatan pelayanan masyarakat, peran serta masyarakat dalam DBD.</w:t>
            </w:r>
          </w:p>
        </w:tc>
        <w:tc>
          <w:tcPr>
            <w:tcW w:w="2977" w:type="dxa"/>
          </w:tcPr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Puskesmas berfungsi sebagai motivator dan penggerak pelaksanaan P2 DBD di tingkat kecamatan.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Pemanfaatan SDM, dana, sarana prasarana dan metode sangat tergantung Dinkes Kota.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Kegiatan Puskesmas tidak berbeda jauh dengan Dinkes Kota.</w:t>
            </w:r>
          </w:p>
          <w:p w:rsidR="00027504" w:rsidRPr="00697972" w:rsidRDefault="00027504" w:rsidP="005C4EC1">
            <w:pPr>
              <w:spacing w:after="0" w:line="240" w:lineRule="auto"/>
              <w:ind w:left="14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PSN dan pemantauan jentik paling banyak dimanfaatkan karena murah dan mudah.</w:t>
            </w:r>
          </w:p>
          <w:p w:rsidR="00027504" w:rsidRPr="00697972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sv-SE"/>
              </w:rPr>
              <w:t>Kelompok ekonomi menengah ke bawah masih menjunjung tinggi nilai-nilai budaya gotong royong dan kebersamaan.</w:t>
            </w:r>
          </w:p>
          <w:p w:rsidR="00027504" w:rsidRPr="00BB7E6A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Kualitas PSN rendah.</w:t>
            </w:r>
          </w:p>
          <w:p w:rsidR="00027504" w:rsidRPr="00BB7E6A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Pemantauan jentik kurang baik.</w:t>
            </w:r>
          </w:p>
          <w:p w:rsidR="00027504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Kualitas fogging kurang baik.</w:t>
            </w:r>
          </w:p>
          <w:p w:rsidR="00027504" w:rsidRPr="00BB7E6A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Pengetahuan ibu-ibu tentang P2 DBD sudah baik.</w:t>
            </w:r>
          </w:p>
          <w:p w:rsidR="00027504" w:rsidRPr="00BB7E6A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Pengetahuan bapak-bapak tentang P2 DBD kurang.</w:t>
            </w:r>
          </w:p>
          <w:p w:rsidR="00027504" w:rsidRPr="00BB7E6A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>Sikap masyarakat terhadap program P2 DBD cukup baik dan setuju.</w:t>
            </w:r>
          </w:p>
          <w:p w:rsidR="00027504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E6A">
              <w:rPr>
                <w:rFonts w:ascii="Arial" w:hAnsi="Arial" w:cs="Arial"/>
                <w:sz w:val="18"/>
                <w:szCs w:val="18"/>
              </w:rPr>
              <w:t xml:space="preserve">Upaya pemberantasan DBD </w:t>
            </w:r>
            <w:r w:rsidRPr="00BB7E6A">
              <w:rPr>
                <w:rFonts w:ascii="Arial" w:hAnsi="Arial" w:cs="Arial"/>
                <w:sz w:val="18"/>
                <w:szCs w:val="18"/>
              </w:rPr>
              <w:lastRenderedPageBreak/>
              <w:t>terkendala biaya.</w:t>
            </w:r>
          </w:p>
          <w:p w:rsidR="00027504" w:rsidRPr="00443200" w:rsidRDefault="00027504" w:rsidP="00027504">
            <w:pPr>
              <w:numPr>
                <w:ilvl w:val="0"/>
                <w:numId w:val="29"/>
              </w:numPr>
              <w:spacing w:after="0" w:line="240" w:lineRule="auto"/>
              <w:ind w:left="140" w:hanging="1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200">
              <w:rPr>
                <w:rFonts w:ascii="Arial" w:hAnsi="Arial" w:cs="Arial"/>
                <w:sz w:val="18"/>
                <w:szCs w:val="18"/>
              </w:rPr>
              <w:t>Model peran serta masyarakat (PSM): dibentuk model PSM kelompok bapak-bapak dan ibu-ibu, model pemantauan jentik dan model penyuluhan.</w:t>
            </w:r>
          </w:p>
        </w:tc>
      </w:tr>
      <w:tr w:rsidR="00027504" w:rsidRPr="00697972" w:rsidTr="005C4EC1">
        <w:tc>
          <w:tcPr>
            <w:tcW w:w="425" w:type="dxa"/>
          </w:tcPr>
          <w:p w:rsidR="00027504" w:rsidRPr="00BB7E6A" w:rsidRDefault="00027504" w:rsidP="005C4E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</w:tcPr>
          <w:p w:rsidR="00027504" w:rsidRPr="00697972" w:rsidRDefault="00027504" w:rsidP="005C4EC1">
            <w:pPr>
              <w:spacing w:after="0" w:line="240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697972">
              <w:rPr>
                <w:rFonts w:ascii="Arial" w:hAnsi="Arial" w:cs="Arial"/>
                <w:sz w:val="18"/>
                <w:szCs w:val="18"/>
              </w:rPr>
              <w:t>Implementasi kebijakan pemberantasan sarang nyamuk (PSN) di puskemas dalam upaya pengendalian demam berdarah dengue (DBD) di wilayah kerja Dinas Kesehatan Kabupaten Jepara</w:t>
            </w:r>
          </w:p>
          <w:p w:rsidR="00027504" w:rsidRPr="00BB7E6A" w:rsidRDefault="00027504" w:rsidP="005C4EC1">
            <w:pPr>
              <w:spacing w:after="0" w:line="240" w:lineRule="auto"/>
              <w:ind w:left="70"/>
              <w:rPr>
                <w:rFonts w:ascii="Arial" w:hAnsi="Arial" w:cs="Arial"/>
                <w:bCs/>
                <w:sz w:val="18"/>
                <w:szCs w:val="18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>(Bambang Dwiposuwignyo</w:t>
            </w:r>
          </w:p>
          <w:p w:rsidR="00027504" w:rsidRPr="00443200" w:rsidRDefault="00027504" w:rsidP="005C4EC1">
            <w:pPr>
              <w:spacing w:after="0" w:line="240" w:lineRule="auto"/>
              <w:ind w:left="7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B7E6A">
              <w:rPr>
                <w:rFonts w:ascii="Arial" w:hAnsi="Arial" w:cs="Arial"/>
                <w:bCs/>
                <w:sz w:val="18"/>
                <w:szCs w:val="18"/>
              </w:rPr>
              <w:t>Tahun 2010)</w:t>
            </w:r>
          </w:p>
        </w:tc>
        <w:tc>
          <w:tcPr>
            <w:tcW w:w="2268" w:type="dxa"/>
          </w:tcPr>
          <w:p w:rsidR="00027504" w:rsidRPr="00697972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es-ES"/>
              </w:rPr>
              <w:t>Deskriptif Studi Kualitatif.</w:t>
            </w:r>
          </w:p>
          <w:p w:rsidR="00027504" w:rsidRPr="00697972" w:rsidRDefault="00027504" w:rsidP="005C4EC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697972">
              <w:rPr>
                <w:rFonts w:ascii="Arial" w:hAnsi="Arial" w:cs="Arial"/>
                <w:i/>
                <w:sz w:val="18"/>
                <w:szCs w:val="18"/>
                <w:lang w:val="es-ES"/>
              </w:rPr>
              <w:t>Desain Crossectional</w:t>
            </w:r>
          </w:p>
          <w:p w:rsidR="00027504" w:rsidRPr="00697972" w:rsidRDefault="00027504" w:rsidP="005C4E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97972">
              <w:rPr>
                <w:rFonts w:ascii="Arial" w:hAnsi="Arial" w:cs="Arial"/>
                <w:sz w:val="18"/>
                <w:szCs w:val="18"/>
                <w:lang w:val="es-ES"/>
              </w:rPr>
              <w:t>Variabel : komunikasi, sumber daya, disposisi, struktur birokrasi dan implementasi kebijakan PSN di puskesmas dalam upaya pengendalian DBD di wilayah kerja Dinas Kesehatan Kabupaten Jepara.</w:t>
            </w:r>
          </w:p>
        </w:tc>
        <w:tc>
          <w:tcPr>
            <w:tcW w:w="2977" w:type="dxa"/>
          </w:tcPr>
          <w:p w:rsidR="00027504" w:rsidRPr="00697972" w:rsidRDefault="00027504" w:rsidP="005C4EC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027504" w:rsidRPr="00697972" w:rsidRDefault="00027504" w:rsidP="00027504">
      <w:pPr>
        <w:rPr>
          <w:lang w:val="es-ES"/>
        </w:rPr>
      </w:pPr>
    </w:p>
    <w:p w:rsidR="00D04434" w:rsidRPr="0078239C" w:rsidRDefault="00D04434" w:rsidP="00D04434">
      <w:pPr>
        <w:spacing w:after="0" w:line="480" w:lineRule="auto"/>
        <w:ind w:left="1080"/>
        <w:jc w:val="both"/>
        <w:rPr>
          <w:rFonts w:ascii="Arial" w:hAnsi="Arial" w:cs="Arial"/>
        </w:rPr>
      </w:pPr>
    </w:p>
    <w:p w:rsidR="00537D02" w:rsidRPr="0078239C" w:rsidRDefault="00CC2E79" w:rsidP="00AF3FE6"/>
    <w:sectPr w:rsidR="00537D02" w:rsidRPr="0078239C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CC2E7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504">
      <w:rPr>
        <w:noProof/>
      </w:rPr>
      <w:t>3</w:t>
    </w:r>
    <w:r>
      <w:fldChar w:fldCharType="end"/>
    </w:r>
  </w:p>
  <w:p w:rsidR="00620098" w:rsidRDefault="00CC2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8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26"/>
  </w:num>
  <w:num w:numId="12">
    <w:abstractNumId w:val="19"/>
  </w:num>
  <w:num w:numId="13">
    <w:abstractNumId w:val="27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22"/>
  </w:num>
  <w:num w:numId="19">
    <w:abstractNumId w:val="4"/>
  </w:num>
  <w:num w:numId="20">
    <w:abstractNumId w:val="13"/>
  </w:num>
  <w:num w:numId="21">
    <w:abstractNumId w:val="16"/>
  </w:num>
  <w:num w:numId="22">
    <w:abstractNumId w:val="20"/>
  </w:num>
  <w:num w:numId="23">
    <w:abstractNumId w:val="24"/>
  </w:num>
  <w:num w:numId="24">
    <w:abstractNumId w:val="10"/>
  </w:num>
  <w:num w:numId="25">
    <w:abstractNumId w:val="25"/>
  </w:num>
  <w:num w:numId="26">
    <w:abstractNumId w:val="23"/>
  </w:num>
  <w:num w:numId="27">
    <w:abstractNumId w:val="6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27504"/>
    <w:rsid w:val="00032B95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875FC"/>
    <w:rsid w:val="006943FB"/>
    <w:rsid w:val="006C361B"/>
    <w:rsid w:val="00747216"/>
    <w:rsid w:val="0078239C"/>
    <w:rsid w:val="00794909"/>
    <w:rsid w:val="008848C6"/>
    <w:rsid w:val="008F73E2"/>
    <w:rsid w:val="009122B6"/>
    <w:rsid w:val="009334E9"/>
    <w:rsid w:val="009751C9"/>
    <w:rsid w:val="00990FED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A6273"/>
    <w:rsid w:val="00CC2E79"/>
    <w:rsid w:val="00CD381C"/>
    <w:rsid w:val="00CE36DE"/>
    <w:rsid w:val="00D01524"/>
    <w:rsid w:val="00D04434"/>
    <w:rsid w:val="00D323CE"/>
    <w:rsid w:val="00DB264A"/>
    <w:rsid w:val="00E058A6"/>
    <w:rsid w:val="00E1213D"/>
    <w:rsid w:val="00E23FA2"/>
    <w:rsid w:val="00ED6C76"/>
    <w:rsid w:val="00ED6E5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2011-08-15T08:01:00Z</dcterms:created>
  <dcterms:modified xsi:type="dcterms:W3CDTF">2011-08-15T08:01:00Z</dcterms:modified>
</cp:coreProperties>
</file>