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sebaliknya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kunjungan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</w:t>
      </w:r>
      <w:proofErr w:type="spellEnd"/>
      <w:r>
        <w:rPr>
          <w:rFonts w:ascii="Arial" w:hAnsi="Arial" w:cs="Arial"/>
        </w:rPr>
        <w:t xml:space="preserve">.  </w:t>
      </w:r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F6ECB">
        <w:rPr>
          <w:rFonts w:ascii="Arial" w:hAnsi="Arial" w:cs="Arial"/>
        </w:rPr>
        <w:t>tiga</w:t>
      </w:r>
      <w:proofErr w:type="spellEnd"/>
      <w:r w:rsidRPr="007F6ECB">
        <w:rPr>
          <w:rFonts w:ascii="Arial" w:hAnsi="Arial" w:cs="Arial"/>
        </w:rPr>
        <w:t xml:space="preserve"> </w:t>
      </w:r>
      <w:proofErr w:type="spellStart"/>
      <w:r w:rsidRPr="007F6ECB"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593B38" w:rsidRDefault="00593B38" w:rsidP="00593B38">
      <w:pPr>
        <w:spacing w:line="480" w:lineRule="auto"/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1.5 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Kunjungan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2007 - 2009</w:t>
      </w:r>
    </w:p>
    <w:tbl>
      <w:tblPr>
        <w:tblStyle w:val="TableGrid"/>
        <w:tblW w:w="0" w:type="auto"/>
        <w:tblInd w:w="108" w:type="dxa"/>
        <w:tblLook w:val="01E0"/>
      </w:tblPr>
      <w:tblGrid>
        <w:gridCol w:w="2540"/>
        <w:gridCol w:w="1374"/>
        <w:gridCol w:w="1374"/>
        <w:gridCol w:w="1237"/>
        <w:gridCol w:w="1237"/>
      </w:tblGrid>
      <w:tr w:rsidR="00593B38" w:rsidTr="005C4EC1">
        <w:trPr>
          <w:trHeight w:val="255"/>
        </w:trPr>
        <w:tc>
          <w:tcPr>
            <w:tcW w:w="2610" w:type="dxa"/>
            <w:vMerge w:val="restart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2796" w:type="dxa"/>
            <w:gridSpan w:val="2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Pasien</w:t>
            </w:r>
            <w:proofErr w:type="spellEnd"/>
            <w:r w:rsidRPr="001929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Rawat</w:t>
            </w:r>
            <w:proofErr w:type="spellEnd"/>
            <w:r w:rsidRPr="001929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1929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Pasien</w:t>
            </w:r>
            <w:proofErr w:type="spellEnd"/>
            <w:r w:rsidRPr="001929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Rawat</w:t>
            </w:r>
            <w:proofErr w:type="spellEnd"/>
            <w:r w:rsidRPr="001929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Inap</w:t>
            </w:r>
            <w:proofErr w:type="spellEnd"/>
          </w:p>
        </w:tc>
      </w:tr>
      <w:tr w:rsidR="00593B38" w:rsidTr="005C4EC1">
        <w:trPr>
          <w:trHeight w:val="255"/>
        </w:trPr>
        <w:tc>
          <w:tcPr>
            <w:tcW w:w="2610" w:type="dxa"/>
            <w:vMerge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Ps. Lama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 xml:space="preserve">Ps.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Ps. Lama</w:t>
            </w:r>
          </w:p>
        </w:tc>
        <w:tc>
          <w:tcPr>
            <w:tcW w:w="1255" w:type="dxa"/>
            <w:shd w:val="clear" w:color="auto" w:fill="auto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 xml:space="preserve">Ps. </w:t>
            </w:r>
            <w:proofErr w:type="spellStart"/>
            <w:r w:rsidRPr="00192921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</w:p>
        </w:tc>
      </w:tr>
      <w:tr w:rsidR="00593B38" w:rsidTr="005C4EC1">
        <w:tc>
          <w:tcPr>
            <w:tcW w:w="2610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33.577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6535</w:t>
            </w:r>
          </w:p>
        </w:tc>
        <w:tc>
          <w:tcPr>
            <w:tcW w:w="1259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2264</w:t>
            </w:r>
          </w:p>
        </w:tc>
        <w:tc>
          <w:tcPr>
            <w:tcW w:w="1255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17.394</w:t>
            </w:r>
          </w:p>
        </w:tc>
      </w:tr>
      <w:tr w:rsidR="00593B38" w:rsidTr="005C4EC1">
        <w:tc>
          <w:tcPr>
            <w:tcW w:w="2610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35.201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6926</w:t>
            </w:r>
          </w:p>
        </w:tc>
        <w:tc>
          <w:tcPr>
            <w:tcW w:w="1259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1255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16.955</w:t>
            </w:r>
          </w:p>
        </w:tc>
      </w:tr>
      <w:tr w:rsidR="00593B38" w:rsidTr="005C4EC1">
        <w:tc>
          <w:tcPr>
            <w:tcW w:w="2610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31.081</w:t>
            </w:r>
          </w:p>
        </w:tc>
        <w:tc>
          <w:tcPr>
            <w:tcW w:w="1398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13.657</w:t>
            </w:r>
          </w:p>
        </w:tc>
        <w:tc>
          <w:tcPr>
            <w:tcW w:w="1259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1895</w:t>
            </w:r>
          </w:p>
        </w:tc>
        <w:tc>
          <w:tcPr>
            <w:tcW w:w="1255" w:type="dxa"/>
          </w:tcPr>
          <w:p w:rsidR="00593B38" w:rsidRPr="00192921" w:rsidRDefault="00593B38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921">
              <w:rPr>
                <w:rFonts w:ascii="Arial" w:hAnsi="Arial" w:cs="Arial"/>
                <w:sz w:val="18"/>
                <w:szCs w:val="18"/>
              </w:rPr>
              <w:t>15.976</w:t>
            </w:r>
          </w:p>
        </w:tc>
      </w:tr>
    </w:tbl>
    <w:p w:rsidR="00593B38" w:rsidRPr="007F6ECB" w:rsidRDefault="00593B38" w:rsidP="00593B3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Sumber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Rekam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Medik</w:t>
      </w:r>
      <w:proofErr w:type="spellEnd"/>
      <w:r>
        <w:rPr>
          <w:rFonts w:ascii="Arial" w:hAnsi="Arial" w:cs="Arial"/>
          <w:sz w:val="18"/>
          <w:szCs w:val="18"/>
        </w:rPr>
        <w:t xml:space="preserve"> RSUD Dr. M. </w:t>
      </w:r>
      <w:proofErr w:type="spellStart"/>
      <w:r>
        <w:rPr>
          <w:rFonts w:ascii="Arial" w:hAnsi="Arial" w:cs="Arial"/>
          <w:sz w:val="18"/>
          <w:szCs w:val="18"/>
        </w:rPr>
        <w:t>Ashari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Pemalang</w:t>
      </w:r>
      <w:proofErr w:type="spellEnd"/>
      <w:r>
        <w:rPr>
          <w:rFonts w:ascii="Arial" w:hAnsi="Arial" w:cs="Arial"/>
          <w:sz w:val="18"/>
          <w:szCs w:val="18"/>
        </w:rPr>
        <w:t xml:space="preserve"> 1 April 2010</w:t>
      </w:r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1.5 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kunjungan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6C20">
        <w:rPr>
          <w:rFonts w:ascii="Arial" w:hAnsi="Arial" w:cs="Arial"/>
        </w:rPr>
        <w:t>dibandi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sebaliknya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jumlahnya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C7BFC">
        <w:rPr>
          <w:rFonts w:ascii="Arial" w:hAnsi="Arial" w:cs="Arial"/>
        </w:rPr>
        <w:t>hal</w:t>
      </w:r>
      <w:proofErr w:type="spellEnd"/>
      <w:r w:rsidRPr="007C7BFC">
        <w:rPr>
          <w:rFonts w:ascii="Arial" w:hAnsi="Arial" w:cs="Arial"/>
        </w:rPr>
        <w:t xml:space="preserve"> </w:t>
      </w:r>
      <w:proofErr w:type="spellStart"/>
      <w:r w:rsidRPr="007C7BFC">
        <w:rPr>
          <w:rFonts w:ascii="Arial" w:hAnsi="Arial" w:cs="Arial"/>
        </w:rPr>
        <w:t>ini</w:t>
      </w:r>
      <w:proofErr w:type="spellEnd"/>
      <w:r w:rsidRPr="007C7BFC">
        <w:rPr>
          <w:rFonts w:ascii="Arial" w:hAnsi="Arial" w:cs="Arial"/>
        </w:rPr>
        <w:t xml:space="preserve"> </w:t>
      </w:r>
      <w:proofErr w:type="spellStart"/>
      <w:r w:rsidRPr="007C7BFC">
        <w:rPr>
          <w:rFonts w:ascii="Arial" w:hAnsi="Arial" w:cs="Arial"/>
        </w:rPr>
        <w:t>menunjukk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pemanfaatan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jarak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transportasi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keragaman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harga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. </w:t>
      </w:r>
      <w:r w:rsidRPr="005E3971">
        <w:rPr>
          <w:rFonts w:ascii="Arial" w:hAnsi="Arial" w:cs="Arial"/>
          <w:vertAlign w:val="superscript"/>
        </w:rPr>
        <w:t>5</w:t>
      </w:r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kunjungan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I, II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III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 – 2009 </w:t>
      </w:r>
      <w:proofErr w:type="spellStart"/>
      <w:r>
        <w:rPr>
          <w:rFonts w:ascii="Arial" w:hAnsi="Arial" w:cs="Arial"/>
        </w:rPr>
        <w:t>tersaji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</w:p>
    <w:p w:rsidR="00537D02" w:rsidRPr="00593B38" w:rsidRDefault="00382990" w:rsidP="00593B38"/>
    <w:sectPr w:rsidR="00537D02" w:rsidRPr="00593B38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38299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B38">
      <w:rPr>
        <w:noProof/>
      </w:rPr>
      <w:t>1</w:t>
    </w:r>
    <w:r>
      <w:fldChar w:fldCharType="end"/>
    </w:r>
  </w:p>
  <w:p w:rsidR="00620098" w:rsidRDefault="00382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305EE1"/>
    <w:rsid w:val="003220AE"/>
    <w:rsid w:val="003766D6"/>
    <w:rsid w:val="00382990"/>
    <w:rsid w:val="003C09FF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751C9"/>
    <w:rsid w:val="00990FED"/>
    <w:rsid w:val="00AB0A3D"/>
    <w:rsid w:val="00AF7097"/>
    <w:rsid w:val="00B0676F"/>
    <w:rsid w:val="00BB37E2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2011-08-15T07:21:00Z</dcterms:created>
  <dcterms:modified xsi:type="dcterms:W3CDTF">2011-08-15T07:21:00Z</dcterms:modified>
</cp:coreProperties>
</file>