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B6" w:rsidRPr="003741D7" w:rsidRDefault="009122B6" w:rsidP="009122B6">
      <w:pPr>
        <w:spacing w:line="48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Dari </w:t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1.9  </w:t>
      </w:r>
      <w:proofErr w:type="spellStart"/>
      <w:r>
        <w:rPr>
          <w:rFonts w:ascii="Arial" w:hAnsi="Arial" w:cs="Arial"/>
        </w:rPr>
        <w:t>dapat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diamati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persentase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kematian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mengalami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kenaikkan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terakhir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padahal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keseluruhannya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mengalami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penurunan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sehingga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semakin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menurunkan</w:t>
      </w:r>
      <w:proofErr w:type="spellEnd"/>
      <w:r>
        <w:rPr>
          <w:rFonts w:ascii="Arial" w:hAnsi="Arial" w:cs="Arial"/>
        </w:rPr>
        <w:t xml:space="preserve"> image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. </w:t>
      </w:r>
    </w:p>
    <w:p w:rsidR="009122B6" w:rsidRDefault="009122B6" w:rsidP="009122B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pendahuluan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20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inap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diambil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acak</w:t>
      </w:r>
      <w:proofErr w:type="spellEnd"/>
      <w:r>
        <w:rPr>
          <w:rFonts w:ascii="Arial" w:hAnsi="Arial" w:cs="Arial"/>
        </w:rPr>
        <w:t xml:space="preserve">  (</w:t>
      </w:r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kelas</w:t>
      </w:r>
      <w:proofErr w:type="spellEnd"/>
      <w:r>
        <w:rPr>
          <w:rFonts w:ascii="Arial" w:hAnsi="Arial" w:cs="Arial"/>
        </w:rPr>
        <w:t xml:space="preserve"> I &amp; II )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mei</w:t>
      </w:r>
      <w:proofErr w:type="spellEnd"/>
      <w:r>
        <w:rPr>
          <w:rFonts w:ascii="Arial" w:hAnsi="Arial" w:cs="Arial"/>
        </w:rPr>
        <w:t xml:space="preserve"> 2010 </w:t>
      </w:r>
      <w:proofErr w:type="spellStart"/>
      <w:r>
        <w:rPr>
          <w:rFonts w:ascii="Arial" w:hAnsi="Arial" w:cs="Arial"/>
        </w:rPr>
        <w:t>diperlihatkan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 xml:space="preserve"> :</w:t>
      </w:r>
    </w:p>
    <w:p w:rsidR="009122B6" w:rsidRDefault="009122B6" w:rsidP="009122B6">
      <w:pPr>
        <w:spacing w:line="480" w:lineRule="auto"/>
        <w:ind w:left="1440" w:hanging="14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1.10  </w:t>
      </w:r>
      <w:proofErr w:type="spellStart"/>
      <w:r>
        <w:rPr>
          <w:rFonts w:ascii="Arial" w:hAnsi="Arial" w:cs="Arial"/>
        </w:rPr>
        <w:t>Gambaran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Pendahuluan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Umum</w:t>
      </w:r>
      <w:proofErr w:type="spellEnd"/>
      <w:r>
        <w:rPr>
          <w:rFonts w:ascii="Arial" w:hAnsi="Arial" w:cs="Arial"/>
        </w:rPr>
        <w:t xml:space="preserve"> Daerah Dr. M. </w:t>
      </w:r>
      <w:proofErr w:type="spellStart"/>
      <w:r>
        <w:rPr>
          <w:rFonts w:ascii="Arial" w:hAnsi="Arial" w:cs="Arial"/>
        </w:rPr>
        <w:t>Ashari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Pemalang</w:t>
      </w:r>
      <w:proofErr w:type="spellEnd"/>
    </w:p>
    <w:tbl>
      <w:tblPr>
        <w:tblStyle w:val="TableGrid"/>
        <w:tblW w:w="0" w:type="auto"/>
        <w:tblInd w:w="108" w:type="dxa"/>
        <w:tblLook w:val="01E0"/>
      </w:tblPr>
      <w:tblGrid>
        <w:gridCol w:w="689"/>
        <w:gridCol w:w="4143"/>
        <w:gridCol w:w="1006"/>
        <w:gridCol w:w="1046"/>
        <w:gridCol w:w="878"/>
      </w:tblGrid>
      <w:tr w:rsidR="009122B6" w:rsidRPr="004333ED" w:rsidTr="005C4EC1">
        <w:tc>
          <w:tcPr>
            <w:tcW w:w="696" w:type="dxa"/>
          </w:tcPr>
          <w:p w:rsidR="009122B6" w:rsidRPr="00AE00C6" w:rsidRDefault="009122B6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AE00C6">
              <w:rPr>
                <w:rFonts w:ascii="Arial" w:hAnsi="Arial" w:cs="Arial"/>
              </w:rPr>
              <w:t>No.</w:t>
            </w:r>
          </w:p>
        </w:tc>
        <w:tc>
          <w:tcPr>
            <w:tcW w:w="4268" w:type="dxa"/>
          </w:tcPr>
          <w:p w:rsidR="009122B6" w:rsidRPr="00AE00C6" w:rsidRDefault="009122B6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AE00C6">
              <w:rPr>
                <w:rFonts w:ascii="Arial" w:hAnsi="Arial" w:cs="Arial"/>
              </w:rPr>
              <w:t>Mutu</w:t>
            </w:r>
            <w:proofErr w:type="spellEnd"/>
            <w:r w:rsidRPr="00AE00C6">
              <w:rPr>
                <w:rFonts w:ascii="Arial" w:hAnsi="Arial" w:cs="Arial"/>
              </w:rPr>
              <w:t xml:space="preserve"> </w:t>
            </w:r>
            <w:proofErr w:type="spellStart"/>
            <w:r w:rsidRPr="00AE00C6">
              <w:rPr>
                <w:rFonts w:ascii="Arial" w:hAnsi="Arial" w:cs="Arial"/>
              </w:rPr>
              <w:t>Pelayanan</w:t>
            </w:r>
            <w:proofErr w:type="spellEnd"/>
            <w:r w:rsidRPr="00AE00C6">
              <w:rPr>
                <w:rFonts w:ascii="Arial" w:hAnsi="Arial" w:cs="Arial"/>
              </w:rPr>
              <w:t xml:space="preserve"> </w:t>
            </w:r>
            <w:proofErr w:type="spellStart"/>
            <w:r w:rsidRPr="00AE00C6">
              <w:rPr>
                <w:rFonts w:ascii="Arial" w:hAnsi="Arial" w:cs="Arial"/>
              </w:rPr>
              <w:t>Rawat</w:t>
            </w:r>
            <w:proofErr w:type="spellEnd"/>
            <w:r w:rsidRPr="00AE00C6">
              <w:rPr>
                <w:rFonts w:ascii="Arial" w:hAnsi="Arial" w:cs="Arial"/>
              </w:rPr>
              <w:t xml:space="preserve"> </w:t>
            </w:r>
            <w:proofErr w:type="spellStart"/>
            <w:r w:rsidRPr="00AE00C6">
              <w:rPr>
                <w:rFonts w:ascii="Arial" w:hAnsi="Arial" w:cs="Arial"/>
              </w:rPr>
              <w:t>Inap</w:t>
            </w:r>
            <w:proofErr w:type="spellEnd"/>
          </w:p>
        </w:tc>
        <w:tc>
          <w:tcPr>
            <w:tcW w:w="1023" w:type="dxa"/>
          </w:tcPr>
          <w:p w:rsidR="009122B6" w:rsidRPr="00AE00C6" w:rsidRDefault="009122B6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AE00C6">
              <w:rPr>
                <w:rFonts w:ascii="Arial" w:hAnsi="Arial" w:cs="Arial"/>
              </w:rPr>
              <w:t>Baik</w:t>
            </w:r>
            <w:proofErr w:type="spellEnd"/>
          </w:p>
        </w:tc>
        <w:tc>
          <w:tcPr>
            <w:tcW w:w="1054" w:type="dxa"/>
          </w:tcPr>
          <w:p w:rsidR="009122B6" w:rsidRPr="00AE00C6" w:rsidRDefault="009122B6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AE00C6">
              <w:rPr>
                <w:rFonts w:ascii="Arial" w:hAnsi="Arial" w:cs="Arial"/>
              </w:rPr>
              <w:t>Kurang</w:t>
            </w:r>
            <w:proofErr w:type="spellEnd"/>
          </w:p>
        </w:tc>
        <w:tc>
          <w:tcPr>
            <w:tcW w:w="879" w:type="dxa"/>
          </w:tcPr>
          <w:p w:rsidR="009122B6" w:rsidRPr="00AE00C6" w:rsidRDefault="009122B6" w:rsidP="005C4EC1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AE00C6">
              <w:rPr>
                <w:rFonts w:ascii="Arial" w:hAnsi="Arial" w:cs="Arial"/>
              </w:rPr>
              <w:t>Jumlah</w:t>
            </w:r>
            <w:proofErr w:type="spellEnd"/>
          </w:p>
        </w:tc>
      </w:tr>
      <w:tr w:rsidR="009122B6" w:rsidRPr="004333ED" w:rsidTr="005C4EC1">
        <w:tc>
          <w:tcPr>
            <w:tcW w:w="696" w:type="dxa"/>
          </w:tcPr>
          <w:p w:rsidR="009122B6" w:rsidRPr="004333ED" w:rsidRDefault="009122B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3E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268" w:type="dxa"/>
          </w:tcPr>
          <w:p w:rsidR="009122B6" w:rsidRPr="004333ED" w:rsidRDefault="009122B6" w:rsidP="005C4EC1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33ED">
              <w:rPr>
                <w:rFonts w:ascii="Arial" w:hAnsi="Arial" w:cs="Arial"/>
                <w:sz w:val="18"/>
                <w:szCs w:val="18"/>
              </w:rPr>
              <w:t>Kecepatan</w:t>
            </w:r>
            <w:proofErr w:type="spellEnd"/>
            <w:r w:rsidRPr="004333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33ED">
              <w:rPr>
                <w:rFonts w:ascii="Arial" w:hAnsi="Arial" w:cs="Arial"/>
                <w:sz w:val="18"/>
                <w:szCs w:val="18"/>
              </w:rPr>
              <w:t>pelayanan</w:t>
            </w:r>
            <w:proofErr w:type="spellEnd"/>
            <w:r w:rsidRPr="004333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33ED">
              <w:rPr>
                <w:rFonts w:ascii="Arial" w:hAnsi="Arial" w:cs="Arial"/>
                <w:sz w:val="18"/>
                <w:szCs w:val="18"/>
              </w:rPr>
              <w:t>petugas</w:t>
            </w:r>
            <w:proofErr w:type="spellEnd"/>
            <w:r w:rsidRPr="004333ED">
              <w:rPr>
                <w:rFonts w:ascii="Arial" w:hAnsi="Arial" w:cs="Arial"/>
                <w:sz w:val="18"/>
                <w:szCs w:val="18"/>
              </w:rPr>
              <w:t xml:space="preserve"> ( </w:t>
            </w:r>
            <w:proofErr w:type="spellStart"/>
            <w:r w:rsidRPr="004333ED">
              <w:rPr>
                <w:rFonts w:ascii="Arial" w:hAnsi="Arial" w:cs="Arial"/>
                <w:sz w:val="18"/>
                <w:szCs w:val="18"/>
              </w:rPr>
              <w:t>dokter</w:t>
            </w:r>
            <w:proofErr w:type="spellEnd"/>
            <w:r w:rsidRPr="004333ED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4333ED">
              <w:rPr>
                <w:rFonts w:ascii="Arial" w:hAnsi="Arial" w:cs="Arial"/>
                <w:sz w:val="18"/>
                <w:szCs w:val="18"/>
              </w:rPr>
              <w:t>dokter</w:t>
            </w:r>
            <w:proofErr w:type="spellEnd"/>
            <w:r w:rsidRPr="004333ED">
              <w:rPr>
                <w:rFonts w:ascii="Arial" w:hAnsi="Arial" w:cs="Arial"/>
                <w:sz w:val="18"/>
                <w:szCs w:val="18"/>
              </w:rPr>
              <w:t xml:space="preserve"> sp, </w:t>
            </w:r>
            <w:proofErr w:type="spellStart"/>
            <w:r w:rsidRPr="004333ED">
              <w:rPr>
                <w:rFonts w:ascii="Arial" w:hAnsi="Arial" w:cs="Arial"/>
                <w:sz w:val="18"/>
                <w:szCs w:val="18"/>
              </w:rPr>
              <w:t>paramedis</w:t>
            </w:r>
            <w:proofErr w:type="spellEnd"/>
            <w:r w:rsidRPr="004333ED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</w:tc>
        <w:tc>
          <w:tcPr>
            <w:tcW w:w="1023" w:type="dxa"/>
          </w:tcPr>
          <w:p w:rsidR="009122B6" w:rsidRPr="004333ED" w:rsidRDefault="009122B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3ED">
              <w:rPr>
                <w:rFonts w:ascii="Arial" w:hAnsi="Arial" w:cs="Arial"/>
                <w:sz w:val="18"/>
                <w:szCs w:val="18"/>
              </w:rPr>
              <w:t>20 %</w:t>
            </w:r>
          </w:p>
        </w:tc>
        <w:tc>
          <w:tcPr>
            <w:tcW w:w="1054" w:type="dxa"/>
          </w:tcPr>
          <w:p w:rsidR="009122B6" w:rsidRPr="004333ED" w:rsidRDefault="009122B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3ED">
              <w:rPr>
                <w:rFonts w:ascii="Arial" w:hAnsi="Arial" w:cs="Arial"/>
                <w:sz w:val="18"/>
                <w:szCs w:val="18"/>
              </w:rPr>
              <w:t>80 %</w:t>
            </w:r>
          </w:p>
        </w:tc>
        <w:tc>
          <w:tcPr>
            <w:tcW w:w="879" w:type="dxa"/>
          </w:tcPr>
          <w:p w:rsidR="009122B6" w:rsidRPr="004333ED" w:rsidRDefault="009122B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3ED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9122B6" w:rsidRPr="004333ED" w:rsidTr="005C4EC1">
        <w:tc>
          <w:tcPr>
            <w:tcW w:w="696" w:type="dxa"/>
          </w:tcPr>
          <w:p w:rsidR="009122B6" w:rsidRPr="004333ED" w:rsidRDefault="009122B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3E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268" w:type="dxa"/>
          </w:tcPr>
          <w:p w:rsidR="009122B6" w:rsidRPr="004958CB" w:rsidRDefault="009122B6" w:rsidP="005C4EC1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4958CB">
              <w:rPr>
                <w:rFonts w:ascii="Arial" w:hAnsi="Arial" w:cs="Arial"/>
                <w:sz w:val="18"/>
                <w:szCs w:val="18"/>
                <w:lang w:val="fi-FI"/>
              </w:rPr>
              <w:t>Penampilan pelayanan ( kebersihan dan kerapihan petugas )</w:t>
            </w:r>
          </w:p>
        </w:tc>
        <w:tc>
          <w:tcPr>
            <w:tcW w:w="1023" w:type="dxa"/>
          </w:tcPr>
          <w:p w:rsidR="009122B6" w:rsidRPr="004333ED" w:rsidRDefault="009122B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3ED">
              <w:rPr>
                <w:rFonts w:ascii="Arial" w:hAnsi="Arial" w:cs="Arial"/>
                <w:sz w:val="18"/>
                <w:szCs w:val="18"/>
              </w:rPr>
              <w:t>50 %</w:t>
            </w:r>
          </w:p>
        </w:tc>
        <w:tc>
          <w:tcPr>
            <w:tcW w:w="1054" w:type="dxa"/>
          </w:tcPr>
          <w:p w:rsidR="009122B6" w:rsidRPr="004333ED" w:rsidRDefault="009122B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3ED">
              <w:rPr>
                <w:rFonts w:ascii="Arial" w:hAnsi="Arial" w:cs="Arial"/>
                <w:sz w:val="18"/>
                <w:szCs w:val="18"/>
              </w:rPr>
              <w:t>50 %</w:t>
            </w:r>
          </w:p>
        </w:tc>
        <w:tc>
          <w:tcPr>
            <w:tcW w:w="879" w:type="dxa"/>
          </w:tcPr>
          <w:p w:rsidR="009122B6" w:rsidRPr="004333ED" w:rsidRDefault="009122B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3ED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9122B6" w:rsidRPr="004333ED" w:rsidTr="005C4EC1">
        <w:tc>
          <w:tcPr>
            <w:tcW w:w="696" w:type="dxa"/>
          </w:tcPr>
          <w:p w:rsidR="009122B6" w:rsidRPr="004333ED" w:rsidRDefault="009122B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3E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268" w:type="dxa"/>
          </w:tcPr>
          <w:p w:rsidR="009122B6" w:rsidRPr="004958CB" w:rsidRDefault="009122B6" w:rsidP="005C4EC1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4958CB">
              <w:rPr>
                <w:rFonts w:ascii="Arial" w:hAnsi="Arial" w:cs="Arial"/>
                <w:sz w:val="18"/>
                <w:szCs w:val="18"/>
                <w:lang w:val="sv-SE"/>
              </w:rPr>
              <w:t>Petugas menjelaskan kepada pasien dengan baik</w:t>
            </w:r>
          </w:p>
        </w:tc>
        <w:tc>
          <w:tcPr>
            <w:tcW w:w="1023" w:type="dxa"/>
          </w:tcPr>
          <w:p w:rsidR="009122B6" w:rsidRPr="004333ED" w:rsidRDefault="009122B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3ED">
              <w:rPr>
                <w:rFonts w:ascii="Arial" w:hAnsi="Arial" w:cs="Arial"/>
                <w:sz w:val="18"/>
                <w:szCs w:val="18"/>
              </w:rPr>
              <w:t>30 %</w:t>
            </w:r>
          </w:p>
        </w:tc>
        <w:tc>
          <w:tcPr>
            <w:tcW w:w="1054" w:type="dxa"/>
          </w:tcPr>
          <w:p w:rsidR="009122B6" w:rsidRPr="004333ED" w:rsidRDefault="009122B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3ED">
              <w:rPr>
                <w:rFonts w:ascii="Arial" w:hAnsi="Arial" w:cs="Arial"/>
                <w:sz w:val="18"/>
                <w:szCs w:val="18"/>
              </w:rPr>
              <w:t>70 %</w:t>
            </w:r>
          </w:p>
        </w:tc>
        <w:tc>
          <w:tcPr>
            <w:tcW w:w="879" w:type="dxa"/>
          </w:tcPr>
          <w:p w:rsidR="009122B6" w:rsidRPr="004333ED" w:rsidRDefault="009122B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3ED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9122B6" w:rsidRPr="004333ED" w:rsidTr="005C4EC1">
        <w:tc>
          <w:tcPr>
            <w:tcW w:w="696" w:type="dxa"/>
          </w:tcPr>
          <w:p w:rsidR="009122B6" w:rsidRPr="004333ED" w:rsidRDefault="009122B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3E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268" w:type="dxa"/>
          </w:tcPr>
          <w:p w:rsidR="009122B6" w:rsidRPr="004333ED" w:rsidRDefault="009122B6" w:rsidP="005C4EC1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33ED">
              <w:rPr>
                <w:rFonts w:ascii="Arial" w:hAnsi="Arial" w:cs="Arial"/>
                <w:sz w:val="18"/>
                <w:szCs w:val="18"/>
              </w:rPr>
              <w:t>Waktu</w:t>
            </w:r>
            <w:proofErr w:type="spellEnd"/>
            <w:r w:rsidRPr="004333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33ED">
              <w:rPr>
                <w:rFonts w:ascii="Arial" w:hAnsi="Arial" w:cs="Arial"/>
                <w:sz w:val="18"/>
                <w:szCs w:val="18"/>
              </w:rPr>
              <w:t>tunggu</w:t>
            </w:r>
            <w:proofErr w:type="spellEnd"/>
            <w:r w:rsidRPr="004333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33ED">
              <w:rPr>
                <w:rFonts w:ascii="Arial" w:hAnsi="Arial" w:cs="Arial"/>
                <w:sz w:val="18"/>
                <w:szCs w:val="18"/>
              </w:rPr>
              <w:t>pelayanan</w:t>
            </w:r>
            <w:proofErr w:type="spellEnd"/>
          </w:p>
        </w:tc>
        <w:tc>
          <w:tcPr>
            <w:tcW w:w="1023" w:type="dxa"/>
          </w:tcPr>
          <w:p w:rsidR="009122B6" w:rsidRPr="004333ED" w:rsidRDefault="009122B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3ED">
              <w:rPr>
                <w:rFonts w:ascii="Arial" w:hAnsi="Arial" w:cs="Arial"/>
                <w:sz w:val="18"/>
                <w:szCs w:val="18"/>
              </w:rPr>
              <w:t>10 %</w:t>
            </w:r>
          </w:p>
        </w:tc>
        <w:tc>
          <w:tcPr>
            <w:tcW w:w="1054" w:type="dxa"/>
          </w:tcPr>
          <w:p w:rsidR="009122B6" w:rsidRPr="004333ED" w:rsidRDefault="009122B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3ED">
              <w:rPr>
                <w:rFonts w:ascii="Arial" w:hAnsi="Arial" w:cs="Arial"/>
                <w:sz w:val="18"/>
                <w:szCs w:val="18"/>
              </w:rPr>
              <w:t>90 %</w:t>
            </w:r>
          </w:p>
        </w:tc>
        <w:tc>
          <w:tcPr>
            <w:tcW w:w="879" w:type="dxa"/>
          </w:tcPr>
          <w:p w:rsidR="009122B6" w:rsidRPr="004333ED" w:rsidRDefault="009122B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3ED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9122B6" w:rsidRPr="004333ED" w:rsidTr="005C4EC1">
        <w:tc>
          <w:tcPr>
            <w:tcW w:w="696" w:type="dxa"/>
          </w:tcPr>
          <w:p w:rsidR="009122B6" w:rsidRPr="004333ED" w:rsidRDefault="009122B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3E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268" w:type="dxa"/>
          </w:tcPr>
          <w:p w:rsidR="009122B6" w:rsidRPr="004333ED" w:rsidRDefault="009122B6" w:rsidP="005C4EC1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33ED">
              <w:rPr>
                <w:rFonts w:ascii="Arial" w:hAnsi="Arial" w:cs="Arial"/>
                <w:sz w:val="18"/>
                <w:szCs w:val="18"/>
              </w:rPr>
              <w:t>Kebersihan</w:t>
            </w:r>
            <w:proofErr w:type="spellEnd"/>
            <w:r w:rsidRPr="004333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33ED">
              <w:rPr>
                <w:rFonts w:ascii="Arial" w:hAnsi="Arial" w:cs="Arial"/>
                <w:sz w:val="18"/>
                <w:szCs w:val="18"/>
              </w:rPr>
              <w:t>sarana</w:t>
            </w:r>
            <w:proofErr w:type="spellEnd"/>
            <w:r w:rsidRPr="004333ED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4333ED">
              <w:rPr>
                <w:rFonts w:ascii="Arial" w:hAnsi="Arial" w:cs="Arial"/>
                <w:sz w:val="18"/>
                <w:szCs w:val="18"/>
              </w:rPr>
              <w:t>lingkungan</w:t>
            </w:r>
            <w:proofErr w:type="spellEnd"/>
            <w:r w:rsidRPr="004333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33ED">
              <w:rPr>
                <w:rFonts w:ascii="Arial" w:hAnsi="Arial" w:cs="Arial"/>
                <w:sz w:val="18"/>
                <w:szCs w:val="18"/>
              </w:rPr>
              <w:t>pelayanan</w:t>
            </w:r>
            <w:proofErr w:type="spellEnd"/>
            <w:r w:rsidRPr="004333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33ED">
              <w:rPr>
                <w:rFonts w:ascii="Arial" w:hAnsi="Arial" w:cs="Arial"/>
                <w:sz w:val="18"/>
                <w:szCs w:val="18"/>
              </w:rPr>
              <w:t>rawat</w:t>
            </w:r>
            <w:proofErr w:type="spellEnd"/>
            <w:r w:rsidRPr="004333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33ED">
              <w:rPr>
                <w:rFonts w:ascii="Arial" w:hAnsi="Arial" w:cs="Arial"/>
                <w:sz w:val="18"/>
                <w:szCs w:val="18"/>
              </w:rPr>
              <w:t>inap</w:t>
            </w:r>
            <w:proofErr w:type="spellEnd"/>
          </w:p>
        </w:tc>
        <w:tc>
          <w:tcPr>
            <w:tcW w:w="1023" w:type="dxa"/>
          </w:tcPr>
          <w:p w:rsidR="009122B6" w:rsidRPr="004333ED" w:rsidRDefault="009122B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3ED">
              <w:rPr>
                <w:rFonts w:ascii="Arial" w:hAnsi="Arial" w:cs="Arial"/>
                <w:sz w:val="18"/>
                <w:szCs w:val="18"/>
              </w:rPr>
              <w:t>20 %</w:t>
            </w:r>
          </w:p>
        </w:tc>
        <w:tc>
          <w:tcPr>
            <w:tcW w:w="1054" w:type="dxa"/>
          </w:tcPr>
          <w:p w:rsidR="009122B6" w:rsidRPr="004333ED" w:rsidRDefault="009122B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3ED">
              <w:rPr>
                <w:rFonts w:ascii="Arial" w:hAnsi="Arial" w:cs="Arial"/>
                <w:sz w:val="18"/>
                <w:szCs w:val="18"/>
              </w:rPr>
              <w:t>80 %</w:t>
            </w:r>
          </w:p>
        </w:tc>
        <w:tc>
          <w:tcPr>
            <w:tcW w:w="879" w:type="dxa"/>
          </w:tcPr>
          <w:p w:rsidR="009122B6" w:rsidRPr="004333ED" w:rsidRDefault="009122B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3ED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9122B6" w:rsidRPr="004333ED" w:rsidTr="005C4EC1">
        <w:tc>
          <w:tcPr>
            <w:tcW w:w="696" w:type="dxa"/>
          </w:tcPr>
          <w:p w:rsidR="009122B6" w:rsidRPr="004333ED" w:rsidRDefault="009122B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4268" w:type="dxa"/>
          </w:tcPr>
          <w:p w:rsidR="009122B6" w:rsidRPr="004958CB" w:rsidRDefault="009122B6" w:rsidP="005C4EC1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4958CB">
              <w:rPr>
                <w:rFonts w:ascii="Arial" w:hAnsi="Arial" w:cs="Arial"/>
                <w:sz w:val="18"/>
                <w:szCs w:val="18"/>
                <w:lang w:val="sv-SE"/>
              </w:rPr>
              <w:t>Minat kunjungan ulang pelayanan rawat inap</w:t>
            </w:r>
          </w:p>
        </w:tc>
        <w:tc>
          <w:tcPr>
            <w:tcW w:w="1023" w:type="dxa"/>
          </w:tcPr>
          <w:p w:rsidR="009122B6" w:rsidRPr="004333ED" w:rsidRDefault="009122B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25 %</w:t>
            </w:r>
          </w:p>
        </w:tc>
        <w:tc>
          <w:tcPr>
            <w:tcW w:w="1054" w:type="dxa"/>
          </w:tcPr>
          <w:p w:rsidR="009122B6" w:rsidRPr="004333ED" w:rsidRDefault="009122B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75 %</w:t>
            </w:r>
          </w:p>
        </w:tc>
        <w:tc>
          <w:tcPr>
            <w:tcW w:w="879" w:type="dxa"/>
          </w:tcPr>
          <w:p w:rsidR="009122B6" w:rsidRPr="004333ED" w:rsidRDefault="009122B6" w:rsidP="005C4EC1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</w:tbl>
    <w:p w:rsidR="009122B6" w:rsidRDefault="009122B6" w:rsidP="009122B6">
      <w:pPr>
        <w:spacing w:line="480" w:lineRule="auto"/>
        <w:jc w:val="both"/>
        <w:rPr>
          <w:rFonts w:ascii="Arial" w:hAnsi="Arial" w:cs="Arial"/>
        </w:rPr>
      </w:pPr>
    </w:p>
    <w:p w:rsidR="009334E9" w:rsidRDefault="009122B6" w:rsidP="009122B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1.10 </w:t>
      </w:r>
      <w:proofErr w:type="spellStart"/>
      <w:r>
        <w:rPr>
          <w:rFonts w:ascii="Arial" w:hAnsi="Arial" w:cs="Arial"/>
        </w:rPr>
        <w:t>menunjukkan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kecepatan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sebanyak</w:t>
      </w:r>
      <w:proofErr w:type="spellEnd"/>
      <w:r>
        <w:rPr>
          <w:rFonts w:ascii="Arial" w:hAnsi="Arial" w:cs="Arial"/>
        </w:rPr>
        <w:t xml:space="preserve"> 80 %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cepatnya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diterima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penampilan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sebanyak</w:t>
      </w:r>
      <w:proofErr w:type="spellEnd"/>
      <w:r>
        <w:rPr>
          <w:rFonts w:ascii="Arial" w:hAnsi="Arial" w:cs="Arial"/>
        </w:rPr>
        <w:t xml:space="preserve"> 50 %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penampilan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rapih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lastRenderedPageBreak/>
        <w:t>menjelaskan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sebanyak</w:t>
      </w:r>
      <w:proofErr w:type="spellEnd"/>
      <w:r>
        <w:rPr>
          <w:rFonts w:ascii="Arial" w:hAnsi="Arial" w:cs="Arial"/>
        </w:rPr>
        <w:t xml:space="preserve"> 70 %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menjelaskan</w:t>
      </w:r>
      <w:proofErr w:type="spellEnd"/>
    </w:p>
    <w:p w:rsidR="00593B38" w:rsidRDefault="00593B38" w:rsidP="00593B38">
      <w:pPr>
        <w:spacing w:line="480" w:lineRule="auto"/>
        <w:jc w:val="both"/>
        <w:rPr>
          <w:rFonts w:ascii="Arial" w:hAnsi="Arial" w:cs="Arial"/>
        </w:rPr>
      </w:pPr>
    </w:p>
    <w:p w:rsidR="00537D02" w:rsidRPr="00593B38" w:rsidRDefault="00E73C46" w:rsidP="00593B38"/>
    <w:sectPr w:rsidR="00537D02" w:rsidRPr="00593B38" w:rsidSect="00620098">
      <w:headerReference w:type="default" r:id="rId5"/>
      <w:pgSz w:w="11907" w:h="16839" w:code="9"/>
      <w:pgMar w:top="1701" w:right="1985" w:bottom="1701" w:left="226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98" w:rsidRDefault="00E73C4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22B6">
      <w:rPr>
        <w:noProof/>
      </w:rPr>
      <w:t>1</w:t>
    </w:r>
    <w:r>
      <w:fldChar w:fldCharType="end"/>
    </w:r>
  </w:p>
  <w:p w:rsidR="00620098" w:rsidRDefault="00E73C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E5F"/>
    <w:multiLevelType w:val="hybridMultilevel"/>
    <w:tmpl w:val="A8122BF4"/>
    <w:lvl w:ilvl="0" w:tplc="BA00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45426"/>
    <w:multiLevelType w:val="hybridMultilevel"/>
    <w:tmpl w:val="4184D0AA"/>
    <w:lvl w:ilvl="0" w:tplc="0EAC2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D4BCC"/>
    <w:multiLevelType w:val="hybridMultilevel"/>
    <w:tmpl w:val="743477CC"/>
    <w:lvl w:ilvl="0" w:tplc="5562003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1CF5948"/>
    <w:multiLevelType w:val="hybridMultilevel"/>
    <w:tmpl w:val="A3F2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A0D87"/>
    <w:multiLevelType w:val="multilevel"/>
    <w:tmpl w:val="B022A83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</w:abstractNum>
  <w:abstractNum w:abstractNumId="5">
    <w:nsid w:val="1A281FB1"/>
    <w:multiLevelType w:val="hybridMultilevel"/>
    <w:tmpl w:val="F6F47E28"/>
    <w:lvl w:ilvl="0" w:tplc="614AEC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74B45"/>
    <w:multiLevelType w:val="hybridMultilevel"/>
    <w:tmpl w:val="DE2E348C"/>
    <w:lvl w:ilvl="0" w:tplc="40E295D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90AE0"/>
    <w:multiLevelType w:val="hybridMultilevel"/>
    <w:tmpl w:val="15D4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3210A"/>
    <w:multiLevelType w:val="hybridMultilevel"/>
    <w:tmpl w:val="6C3CD2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A0A77"/>
    <w:multiLevelType w:val="hybridMultilevel"/>
    <w:tmpl w:val="467A32AC"/>
    <w:lvl w:ilvl="0" w:tplc="92847A8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applyBreakingRules/>
    <w:useFELayout/>
  </w:compat>
  <w:rsids>
    <w:rsidRoot w:val="008F73E2"/>
    <w:rsid w:val="00032B95"/>
    <w:rsid w:val="00223049"/>
    <w:rsid w:val="0029472C"/>
    <w:rsid w:val="00305EE1"/>
    <w:rsid w:val="003220AE"/>
    <w:rsid w:val="003766D6"/>
    <w:rsid w:val="003C09FF"/>
    <w:rsid w:val="00497D3F"/>
    <w:rsid w:val="00564247"/>
    <w:rsid w:val="00592E85"/>
    <w:rsid w:val="00593B38"/>
    <w:rsid w:val="005E2FB0"/>
    <w:rsid w:val="006875FC"/>
    <w:rsid w:val="006943FB"/>
    <w:rsid w:val="00747216"/>
    <w:rsid w:val="008848C6"/>
    <w:rsid w:val="008F73E2"/>
    <w:rsid w:val="009122B6"/>
    <w:rsid w:val="009334E9"/>
    <w:rsid w:val="009751C9"/>
    <w:rsid w:val="00990FED"/>
    <w:rsid w:val="00AB0A3D"/>
    <w:rsid w:val="00AF7097"/>
    <w:rsid w:val="00B0676F"/>
    <w:rsid w:val="00BB37E2"/>
    <w:rsid w:val="00CA6273"/>
    <w:rsid w:val="00CD381C"/>
    <w:rsid w:val="00D01524"/>
    <w:rsid w:val="00D323CE"/>
    <w:rsid w:val="00DB264A"/>
    <w:rsid w:val="00E058A6"/>
    <w:rsid w:val="00E1213D"/>
    <w:rsid w:val="00E23FA2"/>
    <w:rsid w:val="00E73C46"/>
    <w:rsid w:val="00ED6C76"/>
    <w:rsid w:val="00ED6E59"/>
    <w:rsid w:val="00F5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B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4A"/>
    <w:rPr>
      <w:rFonts w:ascii="Calibri" w:eastAsia="Calibri" w:hAnsi="Calibri" w:cs="Times New Roman"/>
      <w:lang w:eastAsia="en-US" w:bidi="ar-SA"/>
    </w:rPr>
  </w:style>
  <w:style w:type="paragraph" w:styleId="BodyText">
    <w:name w:val="Body Text"/>
    <w:basedOn w:val="Normal"/>
    <w:link w:val="BodyTextChar"/>
    <w:rsid w:val="00E058A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8A6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2F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2FB0"/>
    <w:rPr>
      <w:rFonts w:ascii="Calibri" w:eastAsia="Calibri" w:hAnsi="Calibri" w:cs="Times New Roman"/>
      <w:lang w:eastAsia="en-US" w:bidi="ar-SA"/>
    </w:rPr>
  </w:style>
  <w:style w:type="table" w:styleId="TableGrid">
    <w:name w:val="Table Grid"/>
    <w:basedOn w:val="TableNormal"/>
    <w:rsid w:val="003C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2011-08-15T07:23:00Z</dcterms:created>
  <dcterms:modified xsi:type="dcterms:W3CDTF">2011-08-15T07:23:00Z</dcterms:modified>
</cp:coreProperties>
</file>